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  <w:t xml:space="preserve">Audit Controls Policy</w:t>
              <w:br w:type="textWrapping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AuditControlsPolicy07052015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Policy for audit controls, reporting and logging.</w:t>
              <w:br w:type="textWrapping"/>
              <w:br w:type="textWrapping"/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Compliance / Security, Google BAA</w:t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Administration / IT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Workforce and BAA’s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creating a framework for audit controls.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C.F.R. § 164.312 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1.  Audit Control Mechanisms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EPHI and other materials with high risk must: reside on, be transmitted by, or otherwise interact with systems which logs, stores and otherwise monitors all access attempts, transmission attempts and other system interaction in a manner that makes tampering with the audit controls as difficult as administratively feasible.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Audit logs must be reviewed on a regular basis.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Risk assessment rests with the Chief Compliance Officer and is made in accordance with applicable laws, regulations and these policies.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Each audit log must include, but is not limited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Unique User Identification (UUID)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Login Date/Time,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Accessed EPHI or other High Risk material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Date/Time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User UUID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Workstation ID(s)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Transmitted EPHI or other High Risk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Date/Time and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User UUID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Removed EPHI or other High Risk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Date/Time and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User UUID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Materials otherwise interacted Date/Time and UUID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Date/Time and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360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User UUID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2. Audit Controls and Review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 Audit Control and Review Procedures will be developed for any system that handles EPHI determined to be a risk requiring audit controls.  This must be approved by the Chief Compliance Agent. If the EPHI systems change outside of a BAA, the audit control and review procedures must be reevaluated by the Chief Compliance Agent. These procedures must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 Procedures to log devices, applications and services with reports containing at a minimum the UUID and Date/Time and EPHI accessed, transmitted or otherwise interacted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Procedures to review audit logs and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Violations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Any individual, found to have violated this policy may be subject to disciplinary action up to and including termination of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