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  <w:t xml:space="preserve">Authentication</w:t>
              <w:br w:type="textWrapping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 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AuthenticationPolicy07082015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  <w:t xml:space="preserve">Policy for Person or Entity Authentication</w:t>
              <w:br w:type="textWrapping"/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Security / Compliance / Google BAA</w:t>
              <w:br w:type="textWrapping"/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Administration / IT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Workforce, BAA’s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authentication standards and how to implement procedures to verify that a person or entity seeking access to electronic protected health information is appropriately verified.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45 CFR  § 164.312(d)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Authentication </w:t>
      </w:r>
      <w:r w:rsidDel="00000000" w:rsidR="00000000" w:rsidRPr="00000000">
        <w:rPr>
          <w:rtl w:val="0"/>
        </w:rPr>
        <w:t xml:space="preserve">- This covered entity must ensure all parties handling PHI and EPHI: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so with a unique user identifier (UUID) in full compliance with these policies and the underlying statutes at all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so with an administratively feasible effort made to verify the identities of a person or entity associated with handling PHI and EPHI in direct connection with this covered 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 procedures for documenting and monitoring each of the entities authentication requirements.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Violations: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Workforce members found to have violated this policy, may be subject to disciplinary action up to and including termination of employment.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