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HIPAA POLICIES AND PROCEDURES</w:t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Policy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  <w:t xml:space="preserve">Transmission Security Policy</w:t>
              <w:br w:type="textWrapping"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ID: 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TransmissionSecurityPolicy07102015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rev: 0.8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Approval Date: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00/00/0000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Effective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Revisited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br w:type="textWrapping"/>
              <w:t xml:space="preserve">Policy for ensuring all PHI and EPHI transmission is secure.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Primary Responsible Departments  and/or BAA: 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Security / Compliance / Google BAA</w:t>
              <w:br w:type="textWrapping"/>
              <w:br w:type="textWrapping"/>
              <w:br w:type="textWrapping"/>
              <w:br w:type="textWrapping"/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Review Frequency: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Last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Next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Secondary Responsible Departments and/or BAA: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Administration / IT</w:t>
              <w:br w:type="textWrapping"/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Workforce, BAA’s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 comply with all applicable laws, regulations and our own policies this policy covers transmission security and how to implement procedures to create, document and verify the transmission security.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Authoritative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45 CFR  § 164.312(e)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Policy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Transmission Security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Covered Entities properly authorized agents accessing PHI or EPHI on our behalf must do so with a unique user identifier (UUID) on a registered workstation using only proper and authorized transmission procedures in full compliance with these policies and the underlying statutes at all times.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 administratively feasible effort must be made to verify the identities of all parties associated with a transmission.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   </w:t>
      </w:r>
      <w:r w:rsidDel="00000000" w:rsidR="00000000" w:rsidRPr="00000000">
        <w:rPr>
          <w:b w:val="1"/>
          <w:rtl w:val="0"/>
        </w:rPr>
        <w:t xml:space="preserve"> 2. Implementation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Covered Entity must establish procedures and create necessary documentation for each PHI/EPHI transmission outside of an existing BAA and these procedures must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Integrity and Access Controls per these policies and all applicable law and regulation as is appropriate to the risk for monitoring the transmission.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Security controls and Encryption using acceptable standards per these policies and all applicable law and regulation as is appropriate to the risk for securing the transmission.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Violations: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Workforce members found to have violated this policy, may be subject to disciplinary action up to and including termination of employment.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Related Policies and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Administrative: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Security Management Root Process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Assigned Security Responsibility</w:t>
        <w:br w:type="textWrapping"/>
        <w:t xml:space="preserve">HIPAA Workforce Security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Access Management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Awareness and Training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Incident Procedures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Contingency Plan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Evaluation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Physical: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Device and Media Control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Facility Access Control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Access Control Policy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Audit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Authentication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Workstation Use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Workstation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Integrity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Transmission Security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BAA’s and Other Agreements: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Business Associate and Other Agreement Policy</w:t>
        <w:br w:type="textWrapping"/>
        <w:t xml:space="preserve">Google BAA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