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i w:val="0"/>
          <w:color w:val="2E74B5"/>
          <w:sz w:val="19"/>
        </w:rPr>
        <w:t>AXON TICKETS</w:t>
      </w:r>
    </w:p>
    <w:p>
      <w:pPr>
        <w:spacing w:before="160" w:after="80"/>
      </w:pPr>
      <w:r>
        <w:rPr>
          <w:rFonts w:ascii="Calibri" w:hAnsi="Calibri"/>
          <w:b/>
          <w:i w:val="0"/>
          <w:color w:val="0B2545"/>
          <w:sz w:val="50"/>
        </w:rPr>
        <w:t>CEO Cost Summary</w:t>
      </w:r>
    </w:p>
    <w:p>
      <w:pPr>
        <w:spacing w:before="0" w:after="160" w:line="264" w:lineRule="auto"/>
      </w:pPr>
      <w:r>
        <w:rPr>
          <w:rFonts w:ascii="Calibri" w:hAnsi="Calibri"/>
          <w:b w:val="0"/>
          <w:i w:val="0"/>
          <w:color w:val="5C6874"/>
          <w:sz w:val="24"/>
        </w:rPr>
        <w:t>Costs paid, monthly costs today, and the potential budget for commercialization</w:t>
      </w:r>
    </w:p>
    <w:p>
      <w:pPr>
        <w:pBdr>
          <w:bottom w:val="single" w:sz="12" w:space="6" w:color="2E74B5"/>
        </w:pBdr>
        <w:spacing w:after="200"/>
      </w:pPr>
    </w:p>
    <w:tbl>
      <w:tblPr>
        <w:tblW w:type="dxa" w:w="9120"/>
        <w:jc w:val="center"/>
        <w:tblLayout w:type="fixed"/>
        <w:tblLook w:firstColumn="1" w:firstRow="1" w:lastColumn="0" w:lastRow="0" w:noHBand="0" w:noVBand="1" w:val="04A0"/>
      </w:tblPr>
      <w:tblGrid>
        <w:gridCol w:w="1800"/>
        <w:gridCol w:w="7320"/>
      </w:tblGrid>
      <w:tr>
        <w:tc>
          <w:tcPr>
            <w:tcW w:type="dxa" w:w="1800"/>
            <w:tcBorders>
              <w:top w:val="single" w:sz="0" w:space="0" w:color="FFFFFF"/>
              <w:left w:val="single" w:sz="0" w:space="0" w:color="FFFFFF"/>
              <w:bottom w:val="single" w:sz="0" w:space="0" w:color="FFFFFF"/>
              <w:right w:val="single" w:sz="0" w:space="0" w:color="FFFFFF"/>
            </w:tcBorders>
            <w:tcMar>
              <w:top w:w="90" w:type="dxa"/>
              <w:start w:w="120" w:type="dxa"/>
              <w:bottom w:w="90" w:type="dxa"/>
              <w:end w:w="120" w:type="dxa"/>
            </w:tcMar>
            <w:vAlign w:val="center"/>
          </w:tcPr>
          <w:p>
            <w:pPr>
              <w:spacing w:after="0" w:line="252" w:lineRule="auto"/>
            </w:pPr>
            <w:r/>
            <w:r>
              <w:rPr>
                <w:rFonts w:ascii="Calibri" w:hAnsi="Calibri"/>
                <w:b/>
                <w:i w:val="0"/>
                <w:color w:val="5C6874"/>
                <w:sz w:val="18"/>
              </w:rPr>
              <w:t>Cost position</w:t>
            </w:r>
          </w:p>
        </w:tc>
        <w:tc>
          <w:tcPr>
            <w:tcW w:type="dxa" w:w="7320"/>
            <w:tcBorders>
              <w:top w:val="single" w:sz="0" w:space="0" w:color="FFFFFF"/>
              <w:left w:val="single" w:sz="0" w:space="0" w:color="FFFFFF"/>
              <w:bottom w:val="single" w:sz="0" w:space="0" w:color="FFFFFF"/>
              <w:right w:val="single" w:sz="0" w:space="0" w:color="FFFFFF"/>
            </w:tcBorders>
            <w:tcMar>
              <w:top w:w="90" w:type="dxa"/>
              <w:start w:w="120" w:type="dxa"/>
              <w:bottom w:w="90" w:type="dxa"/>
              <w:end w:w="120" w:type="dxa"/>
            </w:tcMar>
            <w:vAlign w:val="center"/>
          </w:tcPr>
          <w:p>
            <w:pPr>
              <w:spacing w:after="0" w:line="252" w:lineRule="auto"/>
            </w:pPr>
            <w:r/>
            <w:r>
              <w:rPr>
                <w:rFonts w:ascii="Calibri" w:hAnsi="Calibri"/>
                <w:b w:val="0"/>
                <w:i w:val="0"/>
                <w:color w:val="000000"/>
                <w:sz w:val="18"/>
              </w:rPr>
              <w:t>As of June 21, 2026</w:t>
            </w:r>
          </w:p>
        </w:tc>
      </w:tr>
      <w:tr>
        <w:tc>
          <w:tcPr>
            <w:tcW w:type="dxa" w:w="1800"/>
            <w:tcBorders>
              <w:top w:val="single" w:sz="0" w:space="0" w:color="FFFFFF"/>
              <w:left w:val="single" w:sz="0" w:space="0" w:color="FFFFFF"/>
              <w:bottom w:val="single" w:sz="0" w:space="0" w:color="FFFFFF"/>
              <w:right w:val="single" w:sz="0" w:space="0" w:color="FFFFFF"/>
            </w:tcBorders>
            <w:tcMar>
              <w:top w:w="90" w:type="dxa"/>
              <w:start w:w="120" w:type="dxa"/>
              <w:bottom w:w="90" w:type="dxa"/>
              <w:end w:w="120" w:type="dxa"/>
            </w:tcMar>
            <w:vAlign w:val="center"/>
          </w:tcPr>
          <w:p>
            <w:pPr>
              <w:spacing w:after="0" w:line="252" w:lineRule="auto"/>
            </w:pPr>
            <w:r/>
            <w:r>
              <w:rPr>
                <w:rFonts w:ascii="Calibri" w:hAnsi="Calibri"/>
                <w:b/>
                <w:i w:val="0"/>
                <w:color w:val="5C6874"/>
                <w:sz w:val="18"/>
              </w:rPr>
              <w:t>Planning rate</w:t>
            </w:r>
          </w:p>
        </w:tc>
        <w:tc>
          <w:tcPr>
            <w:tcW w:type="dxa" w:w="7320"/>
            <w:tcBorders>
              <w:top w:val="single" w:sz="0" w:space="0" w:color="FFFFFF"/>
              <w:left w:val="single" w:sz="0" w:space="0" w:color="FFFFFF"/>
              <w:bottom w:val="single" w:sz="0" w:space="0" w:color="FFFFFF"/>
              <w:right w:val="single" w:sz="0" w:space="0" w:color="FFFFFF"/>
            </w:tcBorders>
            <w:tcMar>
              <w:top w:w="90" w:type="dxa"/>
              <w:start w:w="120" w:type="dxa"/>
              <w:bottom w:w="90" w:type="dxa"/>
              <w:end w:w="120" w:type="dxa"/>
            </w:tcMar>
            <w:vAlign w:val="center"/>
          </w:tcPr>
          <w:p>
            <w:pPr>
              <w:spacing w:after="0" w:line="252" w:lineRule="auto"/>
            </w:pPr>
            <w:r/>
            <w:r>
              <w:rPr>
                <w:rFonts w:ascii="Calibri" w:hAnsi="Calibri"/>
                <w:b w:val="0"/>
                <w:i w:val="0"/>
                <w:color w:val="000000"/>
                <w:sz w:val="18"/>
              </w:rPr>
              <w:t>USD 1 = PHP 58</w:t>
            </w:r>
          </w:p>
        </w:tc>
      </w:tr>
    </w:tbl>
    <w:p>
      <w:pPr>
        <w:spacing w:after="80"/>
      </w:pPr>
    </w:p>
    <w:tbl>
      <w:tblPr>
        <w:tblW w:type="dxa" w:w="9120"/>
        <w:jc w:val="center"/>
        <w:tblLayout w:type="fixed"/>
        <w:tblLook w:firstColumn="1" w:firstRow="1" w:lastColumn="0" w:lastRow="0" w:noHBand="0" w:noVBand="1" w:val="04A0"/>
      </w:tblPr>
      <w:tblGrid>
        <w:gridCol w:w="3000"/>
        <w:gridCol w:w="3120"/>
        <w:gridCol w:w="3000"/>
      </w:tblGrid>
      <w:tr>
        <w:tc>
          <w:tcPr>
            <w:tcW w:type="dxa" w:w="3000"/>
            <w:shd w:fill="EAF5EF"/>
            <w:tcBorders>
              <w:top w:val="single" w:sz="6" w:space="0" w:color="C9D3DF"/>
              <w:left w:val="single" w:sz="6" w:space="0" w:color="C9D3DF"/>
              <w:bottom w:val="single" w:sz="6" w:space="0" w:color="C9D3DF"/>
              <w:right w:val="single" w:sz="6" w:space="0" w:color="C9D3DF"/>
            </w:tcBorders>
            <w:tcMar>
              <w:top w:w="90" w:type="dxa"/>
              <w:start w:w="120" w:type="dxa"/>
              <w:bottom w:w="90" w:type="dxa"/>
              <w:end w:w="120" w:type="dxa"/>
            </w:tcMar>
            <w:vAlign w:val="center"/>
          </w:tcPr>
          <w:p>
            <w:pPr>
              <w:spacing w:after="0" w:line="252" w:lineRule="auto"/>
              <w:jc w:val="center"/>
            </w:pPr>
            <w:r/>
            <w:r>
              <w:rPr>
                <w:rFonts w:ascii="Calibri" w:hAnsi="Calibri"/>
                <w:b/>
                <w:i w:val="0"/>
                <w:color w:val="5C6874"/>
                <w:sz w:val="17"/>
              </w:rPr>
              <w:t>Paid Since May</w:t>
            </w:r>
          </w:p>
          <w:p>
            <w:pPr>
              <w:spacing w:after="60"/>
              <w:jc w:val="center"/>
            </w:pPr>
            <w:r>
              <w:rPr>
                <w:rFonts w:ascii="Calibri" w:hAnsi="Calibri"/>
                <w:b/>
                <w:i w:val="0"/>
                <w:color w:val="0B2545"/>
                <w:sz w:val="28"/>
              </w:rPr>
              <w:t>PHP 10,614</w:t>
            </w:r>
          </w:p>
          <w:p>
            <w:pPr>
              <w:spacing w:after="0"/>
              <w:jc w:val="center"/>
            </w:pPr>
            <w:r>
              <w:rPr>
                <w:rFonts w:ascii="Calibri" w:hAnsi="Calibri"/>
                <w:b w:val="0"/>
                <w:i w:val="0"/>
                <w:color w:val="5C6874"/>
                <w:sz w:val="16"/>
              </w:rPr>
              <w:t>USD 183 actually purchased</w:t>
            </w:r>
          </w:p>
        </w:tc>
        <w:tc>
          <w:tcPr>
            <w:tcW w:type="dxa" w:w="3120"/>
            <w:shd w:fill="EAF5EF"/>
            <w:tcBorders>
              <w:top w:val="single" w:sz="6" w:space="0" w:color="C9D3DF"/>
              <w:left w:val="single" w:sz="6" w:space="0" w:color="C9D3DF"/>
              <w:bottom w:val="single" w:sz="6" w:space="0" w:color="C9D3DF"/>
              <w:right w:val="single" w:sz="6" w:space="0" w:color="C9D3DF"/>
            </w:tcBorders>
            <w:tcMar>
              <w:top w:w="90" w:type="dxa"/>
              <w:start w:w="120" w:type="dxa"/>
              <w:bottom w:w="90" w:type="dxa"/>
              <w:end w:w="120" w:type="dxa"/>
            </w:tcMar>
            <w:vAlign w:val="center"/>
          </w:tcPr>
          <w:p>
            <w:pPr>
              <w:spacing w:after="0" w:line="252" w:lineRule="auto"/>
              <w:jc w:val="center"/>
            </w:pPr>
            <w:r/>
            <w:r>
              <w:rPr>
                <w:rFonts w:ascii="Calibri" w:hAnsi="Calibri"/>
                <w:b/>
                <w:i w:val="0"/>
                <w:color w:val="5C6874"/>
                <w:sz w:val="17"/>
              </w:rPr>
              <w:t>Monthly Cost Today</w:t>
            </w:r>
          </w:p>
          <w:p>
            <w:pPr>
              <w:spacing w:after="60"/>
              <w:jc w:val="center"/>
            </w:pPr>
            <w:r>
              <w:rPr>
                <w:rFonts w:ascii="Calibri" w:hAnsi="Calibri"/>
                <w:b/>
                <w:i w:val="0"/>
                <w:color w:val="0B2545"/>
                <w:sz w:val="28"/>
              </w:rPr>
              <w:t>PHP 8,352</w:t>
            </w:r>
          </w:p>
          <w:p>
            <w:pPr>
              <w:spacing w:after="0"/>
              <w:jc w:val="center"/>
            </w:pPr>
            <w:r>
              <w:rPr>
                <w:rFonts w:ascii="Calibri" w:hAnsi="Calibri"/>
                <w:b w:val="0"/>
                <w:i w:val="0"/>
                <w:color w:val="5C6874"/>
                <w:sz w:val="16"/>
              </w:rPr>
              <w:t>USD 144 current recurring cost</w:t>
            </w:r>
          </w:p>
        </w:tc>
        <w:tc>
          <w:tcPr>
            <w:tcW w:type="dxa" w:w="3000"/>
            <w:shd w:fill="FFF4D6"/>
            <w:tcBorders>
              <w:top w:val="single" w:sz="6" w:space="0" w:color="C9D3DF"/>
              <w:left w:val="single" w:sz="6" w:space="0" w:color="C9D3DF"/>
              <w:bottom w:val="single" w:sz="6" w:space="0" w:color="C9D3DF"/>
              <w:right w:val="single" w:sz="6" w:space="0" w:color="C9D3DF"/>
            </w:tcBorders>
            <w:tcMar>
              <w:top w:w="90" w:type="dxa"/>
              <w:start w:w="120" w:type="dxa"/>
              <w:bottom w:w="90" w:type="dxa"/>
              <w:end w:w="120" w:type="dxa"/>
            </w:tcMar>
            <w:vAlign w:val="center"/>
          </w:tcPr>
          <w:p>
            <w:pPr>
              <w:spacing w:after="0" w:line="252" w:lineRule="auto"/>
              <w:jc w:val="center"/>
            </w:pPr>
            <w:r/>
            <w:r>
              <w:rPr>
                <w:rFonts w:ascii="Calibri" w:hAnsi="Calibri"/>
                <w:b/>
                <w:i w:val="0"/>
                <w:color w:val="5C6874"/>
                <w:sz w:val="17"/>
              </w:rPr>
              <w:t>Commercial Monthly Budget</w:t>
            </w:r>
          </w:p>
          <w:p>
            <w:pPr>
              <w:spacing w:after="60"/>
              <w:jc w:val="center"/>
            </w:pPr>
            <w:r>
              <w:rPr>
                <w:rFonts w:ascii="Calibri" w:hAnsi="Calibri"/>
                <w:b/>
                <w:i w:val="0"/>
                <w:color w:val="0B2545"/>
                <w:sz w:val="28"/>
              </w:rPr>
              <w:t>PHP 30,676</w:t>
            </w:r>
          </w:p>
          <w:p>
            <w:pPr>
              <w:spacing w:after="0"/>
              <w:jc w:val="center"/>
            </w:pPr>
            <w:r>
              <w:rPr>
                <w:rFonts w:ascii="Calibri" w:hAnsi="Calibri"/>
                <w:b w:val="0"/>
                <w:i w:val="0"/>
                <w:color w:val="5C6874"/>
                <w:sz w:val="16"/>
              </w:rPr>
              <w:t>potential funded operating cost</w:t>
            </w:r>
          </w:p>
        </w:tc>
      </w:tr>
    </w:tbl>
    <w:tbl>
      <w:tblPr>
        <w:tblW w:type="dxa" w:w="9120"/>
        <w:jc w:val="center"/>
        <w:tblLayout w:type="fixed"/>
        <w:tblLook w:firstColumn="1" w:firstRow="1" w:lastColumn="0" w:lastRow="0" w:noHBand="0" w:noVBand="1" w:val="04A0"/>
      </w:tblPr>
      <w:tblGrid>
        <w:gridCol w:w="9120"/>
      </w:tblGrid>
      <w:tr>
        <w:tc>
          <w:tcPr>
            <w:tcW w:type="dxa" w:w="9120"/>
            <w:shd w:fill="EAF5EF"/>
            <w:tcBorders>
              <w:top w:val="single" w:sz="4" w:space="0" w:color="C7D7EA"/>
              <w:left w:val="single" w:sz="4" w:space="0" w:color="C7D7EA"/>
              <w:bottom w:val="single" w:sz="4" w:space="0" w:color="C7D7EA"/>
              <w:right w:val="single" w:sz="4" w:space="0" w:color="C7D7EA"/>
            </w:tcBorders>
            <w:tcMar>
              <w:top w:w="140" w:type="dxa"/>
              <w:start w:w="180" w:type="dxa"/>
              <w:bottom w:w="140" w:type="dxa"/>
              <w:end w:w="180" w:type="dxa"/>
            </w:tcMar>
          </w:tcPr>
          <w:p>
            <w:pPr>
              <w:spacing w:after="60"/>
            </w:pPr>
            <w:r>
              <w:rPr>
                <w:rFonts w:ascii="Calibri" w:hAnsi="Calibri"/>
                <w:b/>
                <w:i w:val="0"/>
                <w:color w:val="0B2545"/>
                <w:sz w:val="23"/>
              </w:rPr>
              <w:t>CEO Takeaway</w:t>
            </w:r>
          </w:p>
          <w:p>
            <w:pPr>
              <w:spacing w:after="0" w:line="269" w:lineRule="auto"/>
            </w:pPr>
            <w:r>
              <w:rPr>
                <w:rFonts w:ascii="Calibri" w:hAnsi="Calibri"/>
                <w:b w:val="0"/>
                <w:i w:val="0"/>
                <w:color w:val="000000"/>
                <w:sz w:val="21"/>
              </w:rPr>
              <w:t>The company is currently committed to PHP 8,352 per month. A realistic commercialization budget is PHP 30,676 per month. Activate the higher budget only when event volume and funding justify it.</w:t>
            </w:r>
          </w:p>
        </w:tc>
      </w:tr>
    </w:tbl>
    <w:p>
      <w:pPr>
        <w:spacing w:after="40"/>
      </w:pPr>
    </w:p>
    <w:p>
      <w:pPr>
        <w:spacing w:before="320" w:after="160"/>
      </w:pPr>
      <w:r>
        <w:rPr>
          <w:rFonts w:ascii="Calibri" w:hAnsi="Calibri"/>
          <w:b/>
          <w:i w:val="0"/>
          <w:color w:val="2E74B5"/>
          <w:sz w:val="32"/>
        </w:rPr>
        <w:t>What We Pay Every Month Today</w:t>
      </w:r>
    </w:p>
    <w:tbl>
      <w:tblPr>
        <w:tblW w:type="dxa" w:w="8960"/>
        <w:jc w:val="center"/>
        <w:tblLayout w:type="fixed"/>
        <w:tblLook w:firstColumn="1" w:firstRow="1" w:lastColumn="0" w:lastRow="0" w:noHBand="0" w:noVBand="1" w:val="04A0"/>
      </w:tblPr>
      <w:tblGrid>
        <w:gridCol w:w="2600"/>
        <w:gridCol w:w="4400"/>
        <w:gridCol w:w="1960"/>
      </w:tblGrid>
      <w:tr>
        <w:trPr>
          <w:tblHeader w:val="true"/>
        </w:trPr>
        <w:tc>
          <w:tcPr>
            <w:tcW w:type="dxa" w:w="2600"/>
            <w:shd w:fill="F2F4F7"/>
            <w:tcBorders>
              <w:top w:val="single" w:sz="6" w:space="0" w:color="C9D3DF"/>
              <w:left w:val="single" w:sz="6" w:space="0" w:color="C9D3DF"/>
              <w:bottom w:val="single" w:sz="6" w:space="0" w:color="C9D3DF"/>
              <w:right w:val="single" w:sz="6" w:space="0" w:color="C9D3DF"/>
            </w:tcBorders>
            <w:vAlign w:val="center"/>
            <w:tcMar>
              <w:top w:w="90" w:type="dxa"/>
              <w:start w:w="120" w:type="dxa"/>
              <w:bottom w:w="90" w:type="dxa"/>
              <w:end w:w="120" w:type="dxa"/>
            </w:tcMar>
          </w:tcPr>
          <w:p>
            <w:pPr>
              <w:spacing w:after="0" w:line="252" w:lineRule="auto"/>
              <w:jc w:val="center"/>
            </w:pPr>
            <w:r/>
            <w:r>
              <w:rPr>
                <w:rFonts w:ascii="Calibri" w:hAnsi="Calibri"/>
                <w:b/>
                <w:i w:val="0"/>
                <w:color w:val="0B2545"/>
                <w:sz w:val="17"/>
              </w:rPr>
              <w:t>Business Purpose</w:t>
            </w:r>
          </w:p>
        </w:tc>
        <w:tc>
          <w:tcPr>
            <w:tcW w:type="dxa" w:w="4400"/>
            <w:shd w:fill="F2F4F7"/>
            <w:tcBorders>
              <w:top w:val="single" w:sz="6" w:space="0" w:color="C9D3DF"/>
              <w:left w:val="single" w:sz="6" w:space="0" w:color="C9D3DF"/>
              <w:bottom w:val="single" w:sz="6" w:space="0" w:color="C9D3DF"/>
              <w:right w:val="single" w:sz="6" w:space="0" w:color="C9D3DF"/>
            </w:tcBorders>
            <w:vAlign w:val="center"/>
            <w:tcMar>
              <w:top w:w="90" w:type="dxa"/>
              <w:start w:w="120" w:type="dxa"/>
              <w:bottom w:w="90" w:type="dxa"/>
              <w:end w:w="120" w:type="dxa"/>
            </w:tcMar>
          </w:tcPr>
          <w:p>
            <w:pPr>
              <w:spacing w:after="0" w:line="252" w:lineRule="auto"/>
              <w:jc w:val="center"/>
            </w:pPr>
            <w:r/>
            <w:r>
              <w:rPr>
                <w:rFonts w:ascii="Calibri" w:hAnsi="Calibri"/>
                <w:b/>
                <w:i w:val="0"/>
                <w:color w:val="0B2545"/>
                <w:sz w:val="17"/>
              </w:rPr>
              <w:t>What It Covers</w:t>
            </w:r>
          </w:p>
        </w:tc>
        <w:tc>
          <w:tcPr>
            <w:tcW w:type="dxa" w:w="1960"/>
            <w:shd w:fill="F2F4F7"/>
            <w:tcBorders>
              <w:top w:val="single" w:sz="6" w:space="0" w:color="C9D3DF"/>
              <w:left w:val="single" w:sz="6" w:space="0" w:color="C9D3DF"/>
              <w:bottom w:val="single" w:sz="6" w:space="0" w:color="C9D3DF"/>
              <w:right w:val="single" w:sz="6" w:space="0" w:color="C9D3DF"/>
            </w:tcBorders>
            <w:vAlign w:val="center"/>
            <w:tcMar>
              <w:top w:w="90" w:type="dxa"/>
              <w:start w:w="120" w:type="dxa"/>
              <w:bottom w:w="90" w:type="dxa"/>
              <w:end w:w="120" w:type="dxa"/>
            </w:tcMar>
          </w:tcPr>
          <w:p>
            <w:pPr>
              <w:spacing w:after="0" w:line="252" w:lineRule="auto"/>
              <w:jc w:val="center"/>
            </w:pPr>
            <w:r/>
            <w:r>
              <w:rPr>
                <w:rFonts w:ascii="Calibri" w:hAnsi="Calibri"/>
                <w:b/>
                <w:i w:val="0"/>
                <w:color w:val="0B2545"/>
                <w:sz w:val="17"/>
              </w:rPr>
              <w:t>Monthly Cost</w:t>
            </w:r>
          </w:p>
        </w:tc>
      </w:tr>
      <w:tr>
        <w:tc>
          <w:tcPr>
            <w:tcW w:type="dxa" w:w="2600"/>
            <w:tcBorders>
              <w:top w:val="single" w:sz="4" w:space="0" w:color="DDE5EE"/>
              <w:left w:val="single" w:sz="4" w:space="0" w:color="DDE5EE"/>
              <w:bottom w:val="single" w:sz="4" w:space="0" w:color="DDE5EE"/>
              <w:right w:val="single" w:sz="4" w:space="0" w:color="DDE5EE"/>
            </w:tcBorders>
            <w:vAlign w:val="center"/>
            <w:tcMar>
              <w:top w:w="90" w:type="dxa"/>
              <w:start w:w="120" w:type="dxa"/>
              <w:bottom w:w="90" w:type="dxa"/>
              <w:end w:w="120" w:type="dxa"/>
            </w:tcMar>
          </w:tcPr>
          <w:p>
            <w:pPr>
              <w:spacing w:after="0" w:line="252" w:lineRule="auto"/>
            </w:pPr>
            <w:r/>
            <w:r>
              <w:rPr>
                <w:rFonts w:ascii="Calibri" w:hAnsi="Calibri"/>
                <w:b w:val="0"/>
                <w:i w:val="0"/>
                <w:color w:val="000000"/>
                <w:sz w:val="18"/>
              </w:rPr>
              <w:t>Website and application hosting</w:t>
            </w:r>
          </w:p>
        </w:tc>
        <w:tc>
          <w:tcPr>
            <w:tcW w:type="dxa" w:w="4400"/>
            <w:tcBorders>
              <w:top w:val="single" w:sz="4" w:space="0" w:color="DDE5EE"/>
              <w:left w:val="single" w:sz="4" w:space="0" w:color="DDE5EE"/>
              <w:bottom w:val="single" w:sz="4" w:space="0" w:color="DDE5EE"/>
              <w:right w:val="single" w:sz="4" w:space="0" w:color="DDE5EE"/>
            </w:tcBorders>
            <w:vAlign w:val="center"/>
            <w:tcMar>
              <w:top w:w="90" w:type="dxa"/>
              <w:start w:w="120" w:type="dxa"/>
              <w:bottom w:w="90" w:type="dxa"/>
              <w:end w:w="120" w:type="dxa"/>
            </w:tcMar>
          </w:tcPr>
          <w:p>
            <w:pPr>
              <w:spacing w:after="0" w:line="252" w:lineRule="auto"/>
            </w:pPr>
            <w:r/>
            <w:r>
              <w:rPr>
                <w:rFonts w:ascii="Calibri" w:hAnsi="Calibri"/>
                <w:b w:val="0"/>
                <w:i w:val="0"/>
                <w:color w:val="000000"/>
                <w:sz w:val="18"/>
              </w:rPr>
              <w:t>Vercel Pro and Speed Insights</w:t>
            </w:r>
          </w:p>
        </w:tc>
        <w:tc>
          <w:tcPr>
            <w:tcW w:type="dxa" w:w="1960"/>
            <w:tcBorders>
              <w:top w:val="single" w:sz="4" w:space="0" w:color="DDE5EE"/>
              <w:left w:val="single" w:sz="4" w:space="0" w:color="DDE5EE"/>
              <w:bottom w:val="single" w:sz="4" w:space="0" w:color="DDE5EE"/>
              <w:right w:val="single" w:sz="4" w:space="0" w:color="DDE5EE"/>
            </w:tcBorders>
            <w:vAlign w:val="center"/>
            <w:tcMar>
              <w:top w:w="90" w:type="dxa"/>
              <w:start w:w="120" w:type="dxa"/>
              <w:bottom w:w="90" w:type="dxa"/>
              <w:end w:w="120" w:type="dxa"/>
            </w:tcMar>
          </w:tcPr>
          <w:p>
            <w:pPr>
              <w:spacing w:after="0" w:line="252" w:lineRule="auto"/>
              <w:jc w:val="right"/>
            </w:pPr>
            <w:r/>
            <w:r>
              <w:rPr>
                <w:rFonts w:ascii="Calibri" w:hAnsi="Calibri"/>
                <w:b w:val="0"/>
                <w:i w:val="0"/>
                <w:color w:val="000000"/>
                <w:sz w:val="18"/>
              </w:rPr>
              <w:t>PHP 1,740</w:t>
            </w:r>
          </w:p>
        </w:tc>
      </w:tr>
      <w:tr>
        <w:tc>
          <w:tcPr>
            <w:tcW w:type="dxa" w:w="2600"/>
            <w:tcBorders>
              <w:top w:val="single" w:sz="4" w:space="0" w:color="DDE5EE"/>
              <w:left w:val="single" w:sz="4" w:space="0" w:color="DDE5EE"/>
              <w:bottom w:val="single" w:sz="4" w:space="0" w:color="DDE5EE"/>
              <w:right w:val="single" w:sz="4" w:space="0" w:color="DDE5EE"/>
            </w:tcBorders>
            <w:vAlign w:val="center"/>
            <w:tcMar>
              <w:top w:w="90" w:type="dxa"/>
              <w:start w:w="120" w:type="dxa"/>
              <w:bottom w:w="90" w:type="dxa"/>
              <w:end w:w="120" w:type="dxa"/>
            </w:tcMar>
          </w:tcPr>
          <w:p>
            <w:pPr>
              <w:spacing w:after="0" w:line="252" w:lineRule="auto"/>
            </w:pPr>
            <w:r/>
            <w:r>
              <w:rPr>
                <w:rFonts w:ascii="Calibri" w:hAnsi="Calibri"/>
                <w:b w:val="0"/>
                <w:i w:val="0"/>
                <w:color w:val="000000"/>
                <w:sz w:val="18"/>
              </w:rPr>
              <w:t>Production database</w:t>
            </w:r>
          </w:p>
        </w:tc>
        <w:tc>
          <w:tcPr>
            <w:tcW w:type="dxa" w:w="4400"/>
            <w:tcBorders>
              <w:top w:val="single" w:sz="4" w:space="0" w:color="DDE5EE"/>
              <w:left w:val="single" w:sz="4" w:space="0" w:color="DDE5EE"/>
              <w:bottom w:val="single" w:sz="4" w:space="0" w:color="DDE5EE"/>
              <w:right w:val="single" w:sz="4" w:space="0" w:color="DDE5EE"/>
            </w:tcBorders>
            <w:vAlign w:val="center"/>
            <w:tcMar>
              <w:top w:w="90" w:type="dxa"/>
              <w:start w:w="120" w:type="dxa"/>
              <w:bottom w:w="90" w:type="dxa"/>
              <w:end w:w="120" w:type="dxa"/>
            </w:tcMar>
          </w:tcPr>
          <w:p>
            <w:pPr>
              <w:spacing w:after="0" w:line="252" w:lineRule="auto"/>
            </w:pPr>
            <w:r/>
            <w:r>
              <w:rPr>
                <w:rFonts w:ascii="Calibri" w:hAnsi="Calibri"/>
                <w:b w:val="0"/>
                <w:i w:val="0"/>
                <w:color w:val="000000"/>
                <w:sz w:val="18"/>
              </w:rPr>
              <w:t>Supabase Pro for the live application</w:t>
            </w:r>
          </w:p>
        </w:tc>
        <w:tc>
          <w:tcPr>
            <w:tcW w:type="dxa" w:w="1960"/>
            <w:tcBorders>
              <w:top w:val="single" w:sz="4" w:space="0" w:color="DDE5EE"/>
              <w:left w:val="single" w:sz="4" w:space="0" w:color="DDE5EE"/>
              <w:bottom w:val="single" w:sz="4" w:space="0" w:color="DDE5EE"/>
              <w:right w:val="single" w:sz="4" w:space="0" w:color="DDE5EE"/>
            </w:tcBorders>
            <w:vAlign w:val="center"/>
            <w:tcMar>
              <w:top w:w="90" w:type="dxa"/>
              <w:start w:w="120" w:type="dxa"/>
              <w:bottom w:w="90" w:type="dxa"/>
              <w:end w:w="120" w:type="dxa"/>
            </w:tcMar>
          </w:tcPr>
          <w:p>
            <w:pPr>
              <w:spacing w:after="0" w:line="252" w:lineRule="auto"/>
              <w:jc w:val="right"/>
            </w:pPr>
            <w:r/>
            <w:r>
              <w:rPr>
                <w:rFonts w:ascii="Calibri" w:hAnsi="Calibri"/>
                <w:b w:val="0"/>
                <w:i w:val="0"/>
                <w:color w:val="000000"/>
                <w:sz w:val="18"/>
              </w:rPr>
              <w:t>PHP 1,450</w:t>
            </w:r>
          </w:p>
        </w:tc>
      </w:tr>
      <w:tr>
        <w:tc>
          <w:tcPr>
            <w:tcW w:type="dxa" w:w="2600"/>
            <w:tcBorders>
              <w:top w:val="single" w:sz="4" w:space="0" w:color="DDE5EE"/>
              <w:left w:val="single" w:sz="4" w:space="0" w:color="DDE5EE"/>
              <w:bottom w:val="single" w:sz="4" w:space="0" w:color="DDE5EE"/>
              <w:right w:val="single" w:sz="4" w:space="0" w:color="DDE5EE"/>
            </w:tcBorders>
            <w:vAlign w:val="center"/>
            <w:tcMar>
              <w:top w:w="90" w:type="dxa"/>
              <w:start w:w="120" w:type="dxa"/>
              <w:bottom w:w="90" w:type="dxa"/>
              <w:end w:w="120" w:type="dxa"/>
            </w:tcMar>
          </w:tcPr>
          <w:p>
            <w:pPr>
              <w:spacing w:after="0" w:line="252" w:lineRule="auto"/>
            </w:pPr>
            <w:r/>
            <w:r>
              <w:rPr>
                <w:rFonts w:ascii="Calibri" w:hAnsi="Calibri"/>
                <w:b w:val="0"/>
                <w:i w:val="0"/>
                <w:color w:val="000000"/>
                <w:sz w:val="18"/>
              </w:rPr>
              <w:t>UAT testing database</w:t>
            </w:r>
          </w:p>
        </w:tc>
        <w:tc>
          <w:tcPr>
            <w:tcW w:type="dxa" w:w="4400"/>
            <w:tcBorders>
              <w:top w:val="single" w:sz="4" w:space="0" w:color="DDE5EE"/>
              <w:left w:val="single" w:sz="4" w:space="0" w:color="DDE5EE"/>
              <w:bottom w:val="single" w:sz="4" w:space="0" w:color="DDE5EE"/>
              <w:right w:val="single" w:sz="4" w:space="0" w:color="DDE5EE"/>
            </w:tcBorders>
            <w:vAlign w:val="center"/>
            <w:tcMar>
              <w:top w:w="90" w:type="dxa"/>
              <w:start w:w="120" w:type="dxa"/>
              <w:bottom w:w="90" w:type="dxa"/>
              <w:end w:w="120" w:type="dxa"/>
            </w:tcMar>
          </w:tcPr>
          <w:p>
            <w:pPr>
              <w:spacing w:after="0" w:line="252" w:lineRule="auto"/>
            </w:pPr>
            <w:r/>
            <w:r>
              <w:rPr>
                <w:rFonts w:ascii="Calibri" w:hAnsi="Calibri"/>
                <w:b w:val="0"/>
                <w:i w:val="0"/>
                <w:color w:val="000000"/>
                <w:sz w:val="18"/>
              </w:rPr>
              <w:t>Separate Supabase compute for safe pre-release testing</w:t>
            </w:r>
          </w:p>
        </w:tc>
        <w:tc>
          <w:tcPr>
            <w:tcW w:type="dxa" w:w="1960"/>
            <w:tcBorders>
              <w:top w:val="single" w:sz="4" w:space="0" w:color="DDE5EE"/>
              <w:left w:val="single" w:sz="4" w:space="0" w:color="DDE5EE"/>
              <w:bottom w:val="single" w:sz="4" w:space="0" w:color="DDE5EE"/>
              <w:right w:val="single" w:sz="4" w:space="0" w:color="DDE5EE"/>
            </w:tcBorders>
            <w:vAlign w:val="center"/>
            <w:tcMar>
              <w:top w:w="90" w:type="dxa"/>
              <w:start w:w="120" w:type="dxa"/>
              <w:bottom w:w="90" w:type="dxa"/>
              <w:end w:w="120" w:type="dxa"/>
            </w:tcMar>
          </w:tcPr>
          <w:p>
            <w:pPr>
              <w:spacing w:after="0" w:line="252" w:lineRule="auto"/>
              <w:jc w:val="right"/>
            </w:pPr>
            <w:r/>
            <w:r>
              <w:rPr>
                <w:rFonts w:ascii="Calibri" w:hAnsi="Calibri"/>
                <w:b w:val="0"/>
                <w:i w:val="0"/>
                <w:color w:val="000000"/>
                <w:sz w:val="18"/>
              </w:rPr>
              <w:t>PHP 580</w:t>
            </w:r>
          </w:p>
        </w:tc>
      </w:tr>
      <w:tr>
        <w:tc>
          <w:tcPr>
            <w:tcW w:type="dxa" w:w="2600"/>
            <w:tcBorders>
              <w:top w:val="single" w:sz="4" w:space="0" w:color="DDE5EE"/>
              <w:left w:val="single" w:sz="4" w:space="0" w:color="DDE5EE"/>
              <w:bottom w:val="single" w:sz="4" w:space="0" w:color="DDE5EE"/>
              <w:right w:val="single" w:sz="4" w:space="0" w:color="DDE5EE"/>
            </w:tcBorders>
            <w:vAlign w:val="center"/>
            <w:tcMar>
              <w:top w:w="90" w:type="dxa"/>
              <w:start w:w="120" w:type="dxa"/>
              <w:bottom w:w="90" w:type="dxa"/>
              <w:end w:w="120" w:type="dxa"/>
            </w:tcMar>
          </w:tcPr>
          <w:p>
            <w:pPr>
              <w:spacing w:after="0" w:line="252" w:lineRule="auto"/>
            </w:pPr>
            <w:r/>
            <w:r>
              <w:rPr>
                <w:rFonts w:ascii="Calibri" w:hAnsi="Calibri"/>
                <w:b w:val="0"/>
                <w:i w:val="0"/>
                <w:color w:val="000000"/>
                <w:sz w:val="18"/>
              </w:rPr>
              <w:t>Development assistants</w:t>
            </w:r>
          </w:p>
        </w:tc>
        <w:tc>
          <w:tcPr>
            <w:tcW w:type="dxa" w:w="4400"/>
            <w:tcBorders>
              <w:top w:val="single" w:sz="4" w:space="0" w:color="DDE5EE"/>
              <w:left w:val="single" w:sz="4" w:space="0" w:color="DDE5EE"/>
              <w:bottom w:val="single" w:sz="4" w:space="0" w:color="DDE5EE"/>
              <w:right w:val="single" w:sz="4" w:space="0" w:color="DDE5EE"/>
            </w:tcBorders>
            <w:vAlign w:val="center"/>
            <w:tcMar>
              <w:top w:w="90" w:type="dxa"/>
              <w:start w:w="120" w:type="dxa"/>
              <w:bottom w:w="90" w:type="dxa"/>
              <w:end w:w="120" w:type="dxa"/>
            </w:tcMar>
          </w:tcPr>
          <w:p>
            <w:pPr>
              <w:spacing w:after="0" w:line="252" w:lineRule="auto"/>
            </w:pPr>
            <w:r/>
            <w:r>
              <w:rPr>
                <w:rFonts w:ascii="Calibri" w:hAnsi="Calibri"/>
                <w:b w:val="0"/>
                <w:i w:val="0"/>
                <w:color w:val="000000"/>
                <w:sz w:val="18"/>
              </w:rPr>
              <w:t>ChatGPT/Codex, Claude, and GitHub Copilot</w:t>
            </w:r>
          </w:p>
        </w:tc>
        <w:tc>
          <w:tcPr>
            <w:tcW w:type="dxa" w:w="1960"/>
            <w:tcBorders>
              <w:top w:val="single" w:sz="4" w:space="0" w:color="DDE5EE"/>
              <w:left w:val="single" w:sz="4" w:space="0" w:color="DDE5EE"/>
              <w:bottom w:val="single" w:sz="4" w:space="0" w:color="DDE5EE"/>
              <w:right w:val="single" w:sz="4" w:space="0" w:color="DDE5EE"/>
            </w:tcBorders>
            <w:vAlign w:val="center"/>
            <w:tcMar>
              <w:top w:w="90" w:type="dxa"/>
              <w:start w:w="120" w:type="dxa"/>
              <w:bottom w:w="90" w:type="dxa"/>
              <w:end w:w="120" w:type="dxa"/>
            </w:tcMar>
          </w:tcPr>
          <w:p>
            <w:pPr>
              <w:spacing w:after="0" w:line="252" w:lineRule="auto"/>
              <w:jc w:val="right"/>
            </w:pPr>
            <w:r/>
            <w:r>
              <w:rPr>
                <w:rFonts w:ascii="Calibri" w:hAnsi="Calibri"/>
                <w:b w:val="0"/>
                <w:i w:val="0"/>
                <w:color w:val="000000"/>
                <w:sz w:val="18"/>
              </w:rPr>
              <w:t>PHP 4,582</w:t>
            </w:r>
          </w:p>
        </w:tc>
      </w:tr>
      <w:tr>
        <w:tc>
          <w:tcPr>
            <w:tcW w:type="dxa" w:w="2600"/>
            <w:tcBorders>
              <w:top w:val="single" w:sz="4" w:space="0" w:color="DDE5EE"/>
              <w:left w:val="single" w:sz="4" w:space="0" w:color="DDE5EE"/>
              <w:bottom w:val="single" w:sz="4" w:space="0" w:color="DDE5EE"/>
              <w:right w:val="single" w:sz="4" w:space="0" w:color="DDE5EE"/>
            </w:tcBorders>
            <w:vAlign w:val="center"/>
            <w:tcMar>
              <w:top w:w="90" w:type="dxa"/>
              <w:start w:w="120" w:type="dxa"/>
              <w:bottom w:w="90" w:type="dxa"/>
              <w:end w:w="120" w:type="dxa"/>
            </w:tcMar>
          </w:tcPr>
          <w:p>
            <w:pPr>
              <w:spacing w:after="0" w:line="252" w:lineRule="auto"/>
            </w:pPr>
            <w:r/>
            <w:r>
              <w:rPr>
                <w:rFonts w:ascii="Calibri" w:hAnsi="Calibri"/>
                <w:b w:val="0"/>
                <w:i w:val="0"/>
                <w:color w:val="000000"/>
                <w:sz w:val="18"/>
              </w:rPr>
              <w:t>TOTAL</w:t>
            </w:r>
          </w:p>
        </w:tc>
        <w:tc>
          <w:tcPr>
            <w:tcW w:type="dxa" w:w="4400"/>
            <w:tcBorders>
              <w:top w:val="single" w:sz="4" w:space="0" w:color="DDE5EE"/>
              <w:left w:val="single" w:sz="4" w:space="0" w:color="DDE5EE"/>
              <w:bottom w:val="single" w:sz="4" w:space="0" w:color="DDE5EE"/>
              <w:right w:val="single" w:sz="4" w:space="0" w:color="DDE5EE"/>
            </w:tcBorders>
            <w:vAlign w:val="center"/>
            <w:tcMar>
              <w:top w:w="90" w:type="dxa"/>
              <w:start w:w="120" w:type="dxa"/>
              <w:bottom w:w="90" w:type="dxa"/>
              <w:end w:w="120" w:type="dxa"/>
            </w:tcMar>
          </w:tcPr>
          <w:p>
            <w:pPr>
              <w:spacing w:after="0" w:line="252" w:lineRule="auto"/>
            </w:pPr>
            <w:r/>
            <w:r>
              <w:rPr>
                <w:rFonts w:ascii="Calibri" w:hAnsi="Calibri"/>
                <w:b w:val="0"/>
                <w:i w:val="0"/>
                <w:color w:val="000000"/>
                <w:sz w:val="18"/>
              </w:rPr>
              <w:t>Current recurring subscriptions</w:t>
            </w:r>
          </w:p>
        </w:tc>
        <w:tc>
          <w:tcPr>
            <w:tcW w:type="dxa" w:w="1960"/>
            <w:tcBorders>
              <w:top w:val="single" w:sz="4" w:space="0" w:color="DDE5EE"/>
              <w:left w:val="single" w:sz="4" w:space="0" w:color="DDE5EE"/>
              <w:bottom w:val="single" w:sz="4" w:space="0" w:color="DDE5EE"/>
              <w:right w:val="single" w:sz="4" w:space="0" w:color="DDE5EE"/>
            </w:tcBorders>
            <w:vAlign w:val="center"/>
            <w:tcMar>
              <w:top w:w="90" w:type="dxa"/>
              <w:start w:w="120" w:type="dxa"/>
              <w:bottom w:w="90" w:type="dxa"/>
              <w:end w:w="120" w:type="dxa"/>
            </w:tcMar>
          </w:tcPr>
          <w:p>
            <w:pPr>
              <w:spacing w:after="0" w:line="252" w:lineRule="auto"/>
              <w:jc w:val="right"/>
            </w:pPr>
            <w:r/>
            <w:r>
              <w:rPr>
                <w:rFonts w:ascii="Calibri" w:hAnsi="Calibri"/>
                <w:b w:val="0"/>
                <w:i w:val="0"/>
                <w:color w:val="000000"/>
                <w:sz w:val="18"/>
              </w:rPr>
              <w:t>PHP 8,352</w:t>
            </w:r>
          </w:p>
        </w:tc>
      </w:tr>
    </w:tbl>
    <w:p>
      <w:pPr>
        <w:spacing w:after="80"/>
      </w:pPr>
    </w:p>
    <w:p>
      <w:pPr>
        <w:spacing w:before="320" w:after="160"/>
      </w:pPr>
      <w:r>
        <w:rPr>
          <w:rFonts w:ascii="Calibri" w:hAnsi="Calibri"/>
          <w:b/>
          <w:i w:val="0"/>
          <w:color w:val="2E74B5"/>
          <w:sz w:val="32"/>
        </w:rPr>
        <w:t>What Has Already Been Paid</w:t>
      </w:r>
    </w:p>
    <w:tbl>
      <w:tblPr>
        <w:tblW w:type="dxa" w:w="8960"/>
        <w:jc w:val="center"/>
        <w:tblLayout w:type="fixed"/>
        <w:tblLook w:firstColumn="1" w:firstRow="1" w:lastColumn="0" w:lastRow="0" w:noHBand="0" w:noVBand="1" w:val="04A0"/>
      </w:tblPr>
      <w:tblGrid>
        <w:gridCol w:w="1800"/>
        <w:gridCol w:w="5160"/>
        <w:gridCol w:w="2000"/>
      </w:tblGrid>
      <w:tr>
        <w:trPr>
          <w:tblHeader w:val="true"/>
        </w:trPr>
        <w:tc>
          <w:tcPr>
            <w:tcW w:type="dxa" w:w="1800"/>
            <w:shd w:fill="F2F4F7"/>
            <w:tcBorders>
              <w:top w:val="single" w:sz="6" w:space="0" w:color="C9D3DF"/>
              <w:left w:val="single" w:sz="6" w:space="0" w:color="C9D3DF"/>
              <w:bottom w:val="single" w:sz="6" w:space="0" w:color="C9D3DF"/>
              <w:right w:val="single" w:sz="6" w:space="0" w:color="C9D3DF"/>
            </w:tcBorders>
            <w:vAlign w:val="center"/>
            <w:tcMar>
              <w:top w:w="90" w:type="dxa"/>
              <w:start w:w="120" w:type="dxa"/>
              <w:bottom w:w="90" w:type="dxa"/>
              <w:end w:w="120" w:type="dxa"/>
            </w:tcMar>
          </w:tcPr>
          <w:p>
            <w:pPr>
              <w:spacing w:after="0" w:line="252" w:lineRule="auto"/>
              <w:jc w:val="center"/>
            </w:pPr>
            <w:r/>
            <w:r>
              <w:rPr>
                <w:rFonts w:ascii="Calibri" w:hAnsi="Calibri"/>
                <w:b/>
                <w:i w:val="0"/>
                <w:color w:val="0B2545"/>
                <w:sz w:val="17"/>
              </w:rPr>
              <w:t>Month</w:t>
            </w:r>
          </w:p>
        </w:tc>
        <w:tc>
          <w:tcPr>
            <w:tcW w:type="dxa" w:w="5160"/>
            <w:shd w:fill="F2F4F7"/>
            <w:tcBorders>
              <w:top w:val="single" w:sz="6" w:space="0" w:color="C9D3DF"/>
              <w:left w:val="single" w:sz="6" w:space="0" w:color="C9D3DF"/>
              <w:bottom w:val="single" w:sz="6" w:space="0" w:color="C9D3DF"/>
              <w:right w:val="single" w:sz="6" w:space="0" w:color="C9D3DF"/>
            </w:tcBorders>
            <w:vAlign w:val="center"/>
            <w:tcMar>
              <w:top w:w="90" w:type="dxa"/>
              <w:start w:w="120" w:type="dxa"/>
              <w:bottom w:w="90" w:type="dxa"/>
              <w:end w:w="120" w:type="dxa"/>
            </w:tcMar>
          </w:tcPr>
          <w:p>
            <w:pPr>
              <w:spacing w:after="0" w:line="252" w:lineRule="auto"/>
              <w:jc w:val="center"/>
            </w:pPr>
            <w:r/>
            <w:r>
              <w:rPr>
                <w:rFonts w:ascii="Calibri" w:hAnsi="Calibri"/>
                <w:b/>
                <w:i w:val="0"/>
                <w:color w:val="0B2545"/>
                <w:sz w:val="17"/>
              </w:rPr>
              <w:t>What Was Purchased</w:t>
            </w:r>
          </w:p>
        </w:tc>
        <w:tc>
          <w:tcPr>
            <w:tcW w:type="dxa" w:w="2000"/>
            <w:shd w:fill="F2F4F7"/>
            <w:tcBorders>
              <w:top w:val="single" w:sz="6" w:space="0" w:color="C9D3DF"/>
              <w:left w:val="single" w:sz="6" w:space="0" w:color="C9D3DF"/>
              <w:bottom w:val="single" w:sz="6" w:space="0" w:color="C9D3DF"/>
              <w:right w:val="single" w:sz="6" w:space="0" w:color="C9D3DF"/>
            </w:tcBorders>
            <w:vAlign w:val="center"/>
            <w:tcMar>
              <w:top w:w="90" w:type="dxa"/>
              <w:start w:w="120" w:type="dxa"/>
              <w:bottom w:w="90" w:type="dxa"/>
              <w:end w:w="120" w:type="dxa"/>
            </w:tcMar>
          </w:tcPr>
          <w:p>
            <w:pPr>
              <w:spacing w:after="0" w:line="252" w:lineRule="auto"/>
              <w:jc w:val="center"/>
            </w:pPr>
            <w:r/>
            <w:r>
              <w:rPr>
                <w:rFonts w:ascii="Calibri" w:hAnsi="Calibri"/>
                <w:b/>
                <w:i w:val="0"/>
                <w:color w:val="0B2545"/>
                <w:sz w:val="17"/>
              </w:rPr>
              <w:t>Amount</w:t>
            </w:r>
          </w:p>
        </w:tc>
      </w:tr>
      <w:tr>
        <w:tc>
          <w:tcPr>
            <w:tcW w:type="dxa" w:w="1800"/>
            <w:tcBorders>
              <w:top w:val="single" w:sz="4" w:space="0" w:color="DDE5EE"/>
              <w:left w:val="single" w:sz="4" w:space="0" w:color="DDE5EE"/>
              <w:bottom w:val="single" w:sz="4" w:space="0" w:color="DDE5EE"/>
              <w:right w:val="single" w:sz="4" w:space="0" w:color="DDE5EE"/>
            </w:tcBorders>
            <w:vAlign w:val="center"/>
            <w:tcMar>
              <w:top w:w="90" w:type="dxa"/>
              <w:start w:w="120" w:type="dxa"/>
              <w:bottom w:w="90" w:type="dxa"/>
              <w:end w:w="120" w:type="dxa"/>
            </w:tcMar>
          </w:tcPr>
          <w:p>
            <w:pPr>
              <w:spacing w:after="0" w:line="252" w:lineRule="auto"/>
            </w:pPr>
            <w:r/>
            <w:r>
              <w:rPr>
                <w:rFonts w:ascii="Calibri" w:hAnsi="Calibri"/>
                <w:b w:val="0"/>
                <w:i w:val="0"/>
                <w:color w:val="000000"/>
                <w:sz w:val="18"/>
              </w:rPr>
              <w:t>May 2026</w:t>
            </w:r>
          </w:p>
        </w:tc>
        <w:tc>
          <w:tcPr>
            <w:tcW w:type="dxa" w:w="5160"/>
            <w:tcBorders>
              <w:top w:val="single" w:sz="4" w:space="0" w:color="DDE5EE"/>
              <w:left w:val="single" w:sz="4" w:space="0" w:color="DDE5EE"/>
              <w:bottom w:val="single" w:sz="4" w:space="0" w:color="DDE5EE"/>
              <w:right w:val="single" w:sz="4" w:space="0" w:color="DDE5EE"/>
            </w:tcBorders>
            <w:vAlign w:val="center"/>
            <w:tcMar>
              <w:top w:w="90" w:type="dxa"/>
              <w:start w:w="120" w:type="dxa"/>
              <w:bottom w:w="90" w:type="dxa"/>
              <w:end w:w="120" w:type="dxa"/>
            </w:tcMar>
          </w:tcPr>
          <w:p>
            <w:pPr>
              <w:spacing w:after="0" w:line="252" w:lineRule="auto"/>
            </w:pPr>
            <w:r/>
            <w:r>
              <w:rPr>
                <w:rFonts w:ascii="Calibri" w:hAnsi="Calibri"/>
                <w:b w:val="0"/>
                <w:i w:val="0"/>
                <w:color w:val="000000"/>
                <w:sz w:val="18"/>
              </w:rPr>
              <w:t>GitHub Copilot</w:t>
            </w:r>
          </w:p>
        </w:tc>
        <w:tc>
          <w:tcPr>
            <w:tcW w:type="dxa" w:w="2000"/>
            <w:tcBorders>
              <w:top w:val="single" w:sz="4" w:space="0" w:color="DDE5EE"/>
              <w:left w:val="single" w:sz="4" w:space="0" w:color="DDE5EE"/>
              <w:bottom w:val="single" w:sz="4" w:space="0" w:color="DDE5EE"/>
              <w:right w:val="single" w:sz="4" w:space="0" w:color="DDE5EE"/>
            </w:tcBorders>
            <w:vAlign w:val="center"/>
            <w:tcMar>
              <w:top w:w="90" w:type="dxa"/>
              <w:start w:w="120" w:type="dxa"/>
              <w:bottom w:w="90" w:type="dxa"/>
              <w:end w:w="120" w:type="dxa"/>
            </w:tcMar>
          </w:tcPr>
          <w:p>
            <w:pPr>
              <w:spacing w:after="0" w:line="252" w:lineRule="auto"/>
              <w:jc w:val="right"/>
            </w:pPr>
            <w:r/>
            <w:r>
              <w:rPr>
                <w:rFonts w:ascii="Calibri" w:hAnsi="Calibri"/>
                <w:b w:val="0"/>
                <w:i w:val="0"/>
                <w:color w:val="000000"/>
                <w:sz w:val="18"/>
              </w:rPr>
              <w:t>PHP 2,262</w:t>
            </w:r>
          </w:p>
        </w:tc>
      </w:tr>
      <w:tr>
        <w:tc>
          <w:tcPr>
            <w:tcW w:type="dxa" w:w="1800"/>
            <w:tcBorders>
              <w:top w:val="single" w:sz="4" w:space="0" w:color="DDE5EE"/>
              <w:left w:val="single" w:sz="4" w:space="0" w:color="DDE5EE"/>
              <w:bottom w:val="single" w:sz="4" w:space="0" w:color="DDE5EE"/>
              <w:right w:val="single" w:sz="4" w:space="0" w:color="DDE5EE"/>
            </w:tcBorders>
            <w:vAlign w:val="center"/>
            <w:tcMar>
              <w:top w:w="90" w:type="dxa"/>
              <w:start w:w="120" w:type="dxa"/>
              <w:bottom w:w="90" w:type="dxa"/>
              <w:end w:w="120" w:type="dxa"/>
            </w:tcMar>
          </w:tcPr>
          <w:p>
            <w:pPr>
              <w:spacing w:after="0" w:line="252" w:lineRule="auto"/>
            </w:pPr>
            <w:r/>
            <w:r>
              <w:rPr>
                <w:rFonts w:ascii="Calibri" w:hAnsi="Calibri"/>
                <w:b w:val="0"/>
                <w:i w:val="0"/>
                <w:color w:val="000000"/>
                <w:sz w:val="18"/>
              </w:rPr>
              <w:t>June 2026</w:t>
            </w:r>
          </w:p>
        </w:tc>
        <w:tc>
          <w:tcPr>
            <w:tcW w:type="dxa" w:w="5160"/>
            <w:tcBorders>
              <w:top w:val="single" w:sz="4" w:space="0" w:color="DDE5EE"/>
              <w:left w:val="single" w:sz="4" w:space="0" w:color="DDE5EE"/>
              <w:bottom w:val="single" w:sz="4" w:space="0" w:color="DDE5EE"/>
              <w:right w:val="single" w:sz="4" w:space="0" w:color="DDE5EE"/>
            </w:tcBorders>
            <w:vAlign w:val="center"/>
            <w:tcMar>
              <w:top w:w="90" w:type="dxa"/>
              <w:start w:w="120" w:type="dxa"/>
              <w:bottom w:w="90" w:type="dxa"/>
              <w:end w:w="120" w:type="dxa"/>
            </w:tcMar>
          </w:tcPr>
          <w:p>
            <w:pPr>
              <w:spacing w:after="0" w:line="252" w:lineRule="auto"/>
            </w:pPr>
            <w:r/>
            <w:r>
              <w:rPr>
                <w:rFonts w:ascii="Calibri" w:hAnsi="Calibri"/>
                <w:b w:val="0"/>
                <w:i w:val="0"/>
                <w:color w:val="000000"/>
                <w:sz w:val="18"/>
              </w:rPr>
              <w:t>Hosting, Production/UAT databases, and development assistants</w:t>
            </w:r>
          </w:p>
        </w:tc>
        <w:tc>
          <w:tcPr>
            <w:tcW w:type="dxa" w:w="2000"/>
            <w:tcBorders>
              <w:top w:val="single" w:sz="4" w:space="0" w:color="DDE5EE"/>
              <w:left w:val="single" w:sz="4" w:space="0" w:color="DDE5EE"/>
              <w:bottom w:val="single" w:sz="4" w:space="0" w:color="DDE5EE"/>
              <w:right w:val="single" w:sz="4" w:space="0" w:color="DDE5EE"/>
            </w:tcBorders>
            <w:vAlign w:val="center"/>
            <w:tcMar>
              <w:top w:w="90" w:type="dxa"/>
              <w:start w:w="120" w:type="dxa"/>
              <w:bottom w:w="90" w:type="dxa"/>
              <w:end w:w="120" w:type="dxa"/>
            </w:tcMar>
          </w:tcPr>
          <w:p>
            <w:pPr>
              <w:spacing w:after="0" w:line="252" w:lineRule="auto"/>
              <w:jc w:val="right"/>
            </w:pPr>
            <w:r/>
            <w:r>
              <w:rPr>
                <w:rFonts w:ascii="Calibri" w:hAnsi="Calibri"/>
                <w:b w:val="0"/>
                <w:i w:val="0"/>
                <w:color w:val="000000"/>
                <w:sz w:val="18"/>
              </w:rPr>
              <w:t>PHP 8,352</w:t>
            </w:r>
          </w:p>
        </w:tc>
      </w:tr>
      <w:tr>
        <w:tc>
          <w:tcPr>
            <w:tcW w:type="dxa" w:w="1800"/>
            <w:tcBorders>
              <w:top w:val="single" w:sz="4" w:space="0" w:color="DDE5EE"/>
              <w:left w:val="single" w:sz="4" w:space="0" w:color="DDE5EE"/>
              <w:bottom w:val="single" w:sz="4" w:space="0" w:color="DDE5EE"/>
              <w:right w:val="single" w:sz="4" w:space="0" w:color="DDE5EE"/>
            </w:tcBorders>
            <w:vAlign w:val="center"/>
            <w:tcMar>
              <w:top w:w="90" w:type="dxa"/>
              <w:start w:w="120" w:type="dxa"/>
              <w:bottom w:w="90" w:type="dxa"/>
              <w:end w:w="120" w:type="dxa"/>
            </w:tcMar>
          </w:tcPr>
          <w:p>
            <w:pPr>
              <w:spacing w:after="0" w:line="252" w:lineRule="auto"/>
            </w:pPr>
            <w:r/>
            <w:r>
              <w:rPr>
                <w:rFonts w:ascii="Calibri" w:hAnsi="Calibri"/>
                <w:b w:val="0"/>
                <w:i w:val="0"/>
                <w:color w:val="000000"/>
                <w:sz w:val="18"/>
              </w:rPr>
              <w:t>TOTAL</w:t>
            </w:r>
          </w:p>
        </w:tc>
        <w:tc>
          <w:tcPr>
            <w:tcW w:type="dxa" w:w="5160"/>
            <w:tcBorders>
              <w:top w:val="single" w:sz="4" w:space="0" w:color="DDE5EE"/>
              <w:left w:val="single" w:sz="4" w:space="0" w:color="DDE5EE"/>
              <w:bottom w:val="single" w:sz="4" w:space="0" w:color="DDE5EE"/>
              <w:right w:val="single" w:sz="4" w:space="0" w:color="DDE5EE"/>
            </w:tcBorders>
            <w:vAlign w:val="center"/>
            <w:tcMar>
              <w:top w:w="90" w:type="dxa"/>
              <w:start w:w="120" w:type="dxa"/>
              <w:bottom w:w="90" w:type="dxa"/>
              <w:end w:w="120" w:type="dxa"/>
            </w:tcMar>
          </w:tcPr>
          <w:p>
            <w:pPr>
              <w:spacing w:after="0" w:line="252" w:lineRule="auto"/>
            </w:pPr>
            <w:r/>
            <w:r>
              <w:rPr>
                <w:rFonts w:ascii="Calibri" w:hAnsi="Calibri"/>
                <w:b w:val="0"/>
                <w:i w:val="0"/>
                <w:color w:val="000000"/>
                <w:sz w:val="18"/>
              </w:rPr>
              <w:t>Recorded software purchases since May</w:t>
            </w:r>
          </w:p>
        </w:tc>
        <w:tc>
          <w:tcPr>
            <w:tcW w:type="dxa" w:w="2000"/>
            <w:tcBorders>
              <w:top w:val="single" w:sz="4" w:space="0" w:color="DDE5EE"/>
              <w:left w:val="single" w:sz="4" w:space="0" w:color="DDE5EE"/>
              <w:bottom w:val="single" w:sz="4" w:space="0" w:color="DDE5EE"/>
              <w:right w:val="single" w:sz="4" w:space="0" w:color="DDE5EE"/>
            </w:tcBorders>
            <w:vAlign w:val="center"/>
            <w:tcMar>
              <w:top w:w="90" w:type="dxa"/>
              <w:start w:w="120" w:type="dxa"/>
              <w:bottom w:w="90" w:type="dxa"/>
              <w:end w:w="120" w:type="dxa"/>
            </w:tcMar>
          </w:tcPr>
          <w:p>
            <w:pPr>
              <w:spacing w:after="0" w:line="252" w:lineRule="auto"/>
              <w:jc w:val="right"/>
            </w:pPr>
            <w:r/>
            <w:r>
              <w:rPr>
                <w:rFonts w:ascii="Calibri" w:hAnsi="Calibri"/>
                <w:b w:val="0"/>
                <w:i w:val="0"/>
                <w:color w:val="000000"/>
                <w:sz w:val="18"/>
              </w:rPr>
              <w:t>PHP 10,614</w:t>
            </w:r>
          </w:p>
        </w:tc>
      </w:tr>
    </w:tbl>
    <w:p>
      <w:pPr>
        <w:spacing w:after="80"/>
      </w:pPr>
    </w:p>
    <w:p>
      <w:pPr>
        <w:spacing w:before="0" w:after="120" w:line="264" w:lineRule="auto"/>
      </w:pPr>
      <w:r>
        <w:rPr>
          <w:rFonts w:ascii="Calibri" w:hAnsi="Calibri"/>
          <w:b w:val="0"/>
          <w:i/>
          <w:color w:val="5C6874"/>
          <w:sz w:val="19"/>
        </w:rPr>
        <w:t>Annualized current cost: approximately PHP 100,575, including the current annual domain and DNS cost.</w:t>
      </w:r>
    </w:p>
    <w:p>
      <w:r>
        <w:br w:type="page"/>
      </w:r>
    </w:p>
    <w:p>
      <w:pPr>
        <w:spacing w:before="320" w:after="160"/>
      </w:pPr>
      <w:r>
        <w:rPr>
          <w:rFonts w:ascii="Calibri" w:hAnsi="Calibri"/>
          <w:b/>
          <w:i w:val="0"/>
          <w:color w:val="2E74B5"/>
          <w:sz w:val="32"/>
        </w:rPr>
        <w:t>Potential Monthly Cost</w:t>
      </w:r>
    </w:p>
    <w:p>
      <w:pPr>
        <w:spacing w:before="0" w:after="160" w:line="264" w:lineRule="auto"/>
      </w:pPr>
      <w:r>
        <w:rPr>
          <w:rFonts w:ascii="Calibri" w:hAnsi="Calibri"/>
          <w:b w:val="0"/>
          <w:i w:val="0"/>
          <w:sz w:val="21"/>
        </w:rPr>
        <w:t>Expected budget when Axon supports upcoming events with separate UAT and Production environments, stronger operating tools, and higher-capacity development support.</w:t>
      </w:r>
    </w:p>
    <w:tbl>
      <w:tblPr>
        <w:tblW w:type="dxa" w:w="8960"/>
        <w:jc w:val="center"/>
        <w:tblLayout w:type="fixed"/>
        <w:tblLook w:firstColumn="1" w:firstRow="1" w:lastColumn="0" w:lastRow="0" w:noHBand="0" w:noVBand="1" w:val="04A0"/>
      </w:tblPr>
      <w:tblGrid>
        <w:gridCol w:w="2500"/>
        <w:gridCol w:w="4460"/>
        <w:gridCol w:w="2000"/>
      </w:tblGrid>
      <w:tr>
        <w:trPr>
          <w:tblHeader w:val="true"/>
        </w:trPr>
        <w:tc>
          <w:tcPr>
            <w:tcW w:type="dxa" w:w="2500"/>
            <w:shd w:fill="F2F4F7"/>
            <w:tcBorders>
              <w:top w:val="single" w:sz="6" w:space="0" w:color="C9D3DF"/>
              <w:left w:val="single" w:sz="6" w:space="0" w:color="C9D3DF"/>
              <w:bottom w:val="single" w:sz="6" w:space="0" w:color="C9D3DF"/>
              <w:right w:val="single" w:sz="6" w:space="0" w:color="C9D3DF"/>
            </w:tcBorders>
            <w:vAlign w:val="center"/>
            <w:tcMar>
              <w:top w:w="90" w:type="dxa"/>
              <w:start w:w="120" w:type="dxa"/>
              <w:bottom w:w="90" w:type="dxa"/>
              <w:end w:w="120" w:type="dxa"/>
            </w:tcMar>
          </w:tcPr>
          <w:p>
            <w:pPr>
              <w:spacing w:after="0" w:line="252" w:lineRule="auto"/>
              <w:jc w:val="center"/>
            </w:pPr>
            <w:r/>
            <w:r>
              <w:rPr>
                <w:rFonts w:ascii="Calibri" w:hAnsi="Calibri"/>
                <w:b/>
                <w:i w:val="0"/>
                <w:color w:val="0B2545"/>
                <w:sz w:val="17"/>
              </w:rPr>
              <w:t>Cost Group</w:t>
            </w:r>
          </w:p>
        </w:tc>
        <w:tc>
          <w:tcPr>
            <w:tcW w:type="dxa" w:w="4460"/>
            <w:shd w:fill="F2F4F7"/>
            <w:tcBorders>
              <w:top w:val="single" w:sz="6" w:space="0" w:color="C9D3DF"/>
              <w:left w:val="single" w:sz="6" w:space="0" w:color="C9D3DF"/>
              <w:bottom w:val="single" w:sz="6" w:space="0" w:color="C9D3DF"/>
              <w:right w:val="single" w:sz="6" w:space="0" w:color="C9D3DF"/>
            </w:tcBorders>
            <w:vAlign w:val="center"/>
            <w:tcMar>
              <w:top w:w="90" w:type="dxa"/>
              <w:start w:w="120" w:type="dxa"/>
              <w:bottom w:w="90" w:type="dxa"/>
              <w:end w:w="120" w:type="dxa"/>
            </w:tcMar>
          </w:tcPr>
          <w:p>
            <w:pPr>
              <w:spacing w:after="0" w:line="252" w:lineRule="auto"/>
              <w:jc w:val="center"/>
            </w:pPr>
            <w:r/>
            <w:r>
              <w:rPr>
                <w:rFonts w:ascii="Calibri" w:hAnsi="Calibri"/>
                <w:b/>
                <w:i w:val="0"/>
                <w:color w:val="0B2545"/>
                <w:sz w:val="17"/>
              </w:rPr>
              <w:t>Why It Is Needed</w:t>
            </w:r>
          </w:p>
        </w:tc>
        <w:tc>
          <w:tcPr>
            <w:tcW w:type="dxa" w:w="2000"/>
            <w:shd w:fill="F2F4F7"/>
            <w:tcBorders>
              <w:top w:val="single" w:sz="6" w:space="0" w:color="C9D3DF"/>
              <w:left w:val="single" w:sz="6" w:space="0" w:color="C9D3DF"/>
              <w:bottom w:val="single" w:sz="6" w:space="0" w:color="C9D3DF"/>
              <w:right w:val="single" w:sz="6" w:space="0" w:color="C9D3DF"/>
            </w:tcBorders>
            <w:vAlign w:val="center"/>
            <w:tcMar>
              <w:top w:w="90" w:type="dxa"/>
              <w:start w:w="120" w:type="dxa"/>
              <w:bottom w:w="90" w:type="dxa"/>
              <w:end w:w="120" w:type="dxa"/>
            </w:tcMar>
          </w:tcPr>
          <w:p>
            <w:pPr>
              <w:spacing w:after="0" w:line="252" w:lineRule="auto"/>
              <w:jc w:val="center"/>
            </w:pPr>
            <w:r/>
            <w:r>
              <w:rPr>
                <w:rFonts w:ascii="Calibri" w:hAnsi="Calibri"/>
                <w:b/>
                <w:i w:val="0"/>
                <w:color w:val="0B2545"/>
                <w:sz w:val="17"/>
              </w:rPr>
              <w:t>Monthly Budget</w:t>
            </w:r>
          </w:p>
        </w:tc>
      </w:tr>
      <w:tr>
        <w:tc>
          <w:tcPr>
            <w:tcW w:type="dxa" w:w="2500"/>
            <w:tcBorders>
              <w:top w:val="single" w:sz="4" w:space="0" w:color="DDE5EE"/>
              <w:left w:val="single" w:sz="4" w:space="0" w:color="DDE5EE"/>
              <w:bottom w:val="single" w:sz="4" w:space="0" w:color="DDE5EE"/>
              <w:right w:val="single" w:sz="4" w:space="0" w:color="DDE5EE"/>
            </w:tcBorders>
            <w:vAlign w:val="center"/>
            <w:tcMar>
              <w:top w:w="90" w:type="dxa"/>
              <w:start w:w="120" w:type="dxa"/>
              <w:bottom w:w="90" w:type="dxa"/>
              <w:end w:w="120" w:type="dxa"/>
            </w:tcMar>
          </w:tcPr>
          <w:p>
            <w:pPr>
              <w:spacing w:after="0" w:line="252" w:lineRule="auto"/>
            </w:pPr>
            <w:r/>
            <w:r>
              <w:rPr>
                <w:rFonts w:ascii="Calibri" w:hAnsi="Calibri"/>
                <w:b w:val="0"/>
                <w:i w:val="0"/>
                <w:color w:val="000000"/>
                <w:sz w:val="18"/>
              </w:rPr>
              <w:t>Core platform and two environments</w:t>
            </w:r>
          </w:p>
        </w:tc>
        <w:tc>
          <w:tcPr>
            <w:tcW w:type="dxa" w:w="4460"/>
            <w:tcBorders>
              <w:top w:val="single" w:sz="4" w:space="0" w:color="DDE5EE"/>
              <w:left w:val="single" w:sz="4" w:space="0" w:color="DDE5EE"/>
              <w:bottom w:val="single" w:sz="4" w:space="0" w:color="DDE5EE"/>
              <w:right w:val="single" w:sz="4" w:space="0" w:color="DDE5EE"/>
            </w:tcBorders>
            <w:vAlign w:val="center"/>
            <w:tcMar>
              <w:top w:w="90" w:type="dxa"/>
              <w:start w:w="120" w:type="dxa"/>
              <w:bottom w:w="90" w:type="dxa"/>
              <w:end w:w="120" w:type="dxa"/>
            </w:tcMar>
          </w:tcPr>
          <w:p>
            <w:pPr>
              <w:spacing w:after="0" w:line="252" w:lineRule="auto"/>
            </w:pPr>
            <w:r/>
            <w:r>
              <w:rPr>
                <w:rFonts w:ascii="Calibri" w:hAnsi="Calibri"/>
                <w:b w:val="0"/>
                <w:i w:val="0"/>
                <w:color w:val="000000"/>
                <w:sz w:val="18"/>
              </w:rPr>
              <w:t>Hosting, Production and UAT databases, email, media, monitoring, security, and reservation capacity</w:t>
            </w:r>
          </w:p>
        </w:tc>
        <w:tc>
          <w:tcPr>
            <w:tcW w:type="dxa" w:w="2000"/>
            <w:tcBorders>
              <w:top w:val="single" w:sz="4" w:space="0" w:color="DDE5EE"/>
              <w:left w:val="single" w:sz="4" w:space="0" w:color="DDE5EE"/>
              <w:bottom w:val="single" w:sz="4" w:space="0" w:color="DDE5EE"/>
              <w:right w:val="single" w:sz="4" w:space="0" w:color="DDE5EE"/>
            </w:tcBorders>
            <w:vAlign w:val="center"/>
            <w:tcMar>
              <w:top w:w="90" w:type="dxa"/>
              <w:start w:w="120" w:type="dxa"/>
              <w:bottom w:w="90" w:type="dxa"/>
              <w:end w:w="120" w:type="dxa"/>
            </w:tcMar>
          </w:tcPr>
          <w:p>
            <w:pPr>
              <w:spacing w:after="0" w:line="252" w:lineRule="auto"/>
              <w:jc w:val="right"/>
            </w:pPr>
            <w:r/>
            <w:r>
              <w:rPr>
                <w:rFonts w:ascii="Calibri" w:hAnsi="Calibri"/>
                <w:b w:val="0"/>
                <w:i w:val="0"/>
                <w:color w:val="000000"/>
                <w:sz w:val="18"/>
              </w:rPr>
              <w:t>PHP 18,386</w:t>
            </w:r>
          </w:p>
        </w:tc>
      </w:tr>
      <w:tr>
        <w:tc>
          <w:tcPr>
            <w:tcW w:type="dxa" w:w="2500"/>
            <w:tcBorders>
              <w:top w:val="single" w:sz="4" w:space="0" w:color="DDE5EE"/>
              <w:left w:val="single" w:sz="4" w:space="0" w:color="DDE5EE"/>
              <w:bottom w:val="single" w:sz="4" w:space="0" w:color="DDE5EE"/>
              <w:right w:val="single" w:sz="4" w:space="0" w:color="DDE5EE"/>
            </w:tcBorders>
            <w:vAlign w:val="center"/>
            <w:tcMar>
              <w:top w:w="90" w:type="dxa"/>
              <w:start w:w="120" w:type="dxa"/>
              <w:bottom w:w="90" w:type="dxa"/>
              <w:end w:w="120" w:type="dxa"/>
            </w:tcMar>
          </w:tcPr>
          <w:p>
            <w:pPr>
              <w:spacing w:after="0" w:line="252" w:lineRule="auto"/>
            </w:pPr>
            <w:r/>
            <w:r>
              <w:rPr>
                <w:rFonts w:ascii="Calibri" w:hAnsi="Calibri"/>
                <w:b w:val="0"/>
                <w:i w:val="0"/>
                <w:color w:val="000000"/>
                <w:sz w:val="18"/>
              </w:rPr>
              <w:t>Commercial development capacity</w:t>
            </w:r>
          </w:p>
        </w:tc>
        <w:tc>
          <w:tcPr>
            <w:tcW w:type="dxa" w:w="4460"/>
            <w:tcBorders>
              <w:top w:val="single" w:sz="4" w:space="0" w:color="DDE5EE"/>
              <w:left w:val="single" w:sz="4" w:space="0" w:color="DDE5EE"/>
              <w:bottom w:val="single" w:sz="4" w:space="0" w:color="DDE5EE"/>
              <w:right w:val="single" w:sz="4" w:space="0" w:color="DDE5EE"/>
            </w:tcBorders>
            <w:vAlign w:val="center"/>
            <w:tcMar>
              <w:top w:w="90" w:type="dxa"/>
              <w:start w:w="120" w:type="dxa"/>
              <w:bottom w:w="90" w:type="dxa"/>
              <w:end w:w="120" w:type="dxa"/>
            </w:tcMar>
          </w:tcPr>
          <w:p>
            <w:pPr>
              <w:spacing w:after="0" w:line="252" w:lineRule="auto"/>
            </w:pPr>
            <w:r/>
            <w:r>
              <w:rPr>
                <w:rFonts w:ascii="Calibri" w:hAnsi="Calibri"/>
                <w:b w:val="0"/>
                <w:i w:val="0"/>
                <w:color w:val="000000"/>
                <w:sz w:val="18"/>
              </w:rPr>
              <w:t>ChatGPT Pro and Claude Max for releases, event preparation, debugging, and urgent fixes</w:t>
            </w:r>
          </w:p>
        </w:tc>
        <w:tc>
          <w:tcPr>
            <w:tcW w:type="dxa" w:w="2000"/>
            <w:tcBorders>
              <w:top w:val="single" w:sz="4" w:space="0" w:color="DDE5EE"/>
              <w:left w:val="single" w:sz="4" w:space="0" w:color="DDE5EE"/>
              <w:bottom w:val="single" w:sz="4" w:space="0" w:color="DDE5EE"/>
              <w:right w:val="single" w:sz="4" w:space="0" w:color="DDE5EE"/>
            </w:tcBorders>
            <w:vAlign w:val="center"/>
            <w:tcMar>
              <w:top w:w="90" w:type="dxa"/>
              <w:start w:w="120" w:type="dxa"/>
              <w:bottom w:w="90" w:type="dxa"/>
              <w:end w:w="120" w:type="dxa"/>
            </w:tcMar>
          </w:tcPr>
          <w:p>
            <w:pPr>
              <w:spacing w:after="0" w:line="252" w:lineRule="auto"/>
              <w:jc w:val="right"/>
            </w:pPr>
            <w:r/>
            <w:r>
              <w:rPr>
                <w:rFonts w:ascii="Calibri" w:hAnsi="Calibri"/>
                <w:b w:val="0"/>
                <w:i w:val="0"/>
                <w:color w:val="000000"/>
                <w:sz w:val="18"/>
              </w:rPr>
              <w:t>PHP 12,290</w:t>
            </w:r>
          </w:p>
        </w:tc>
      </w:tr>
      <w:tr>
        <w:tc>
          <w:tcPr>
            <w:tcW w:type="dxa" w:w="2500"/>
            <w:tcBorders>
              <w:top w:val="single" w:sz="4" w:space="0" w:color="DDE5EE"/>
              <w:left w:val="single" w:sz="4" w:space="0" w:color="DDE5EE"/>
              <w:bottom w:val="single" w:sz="4" w:space="0" w:color="DDE5EE"/>
              <w:right w:val="single" w:sz="4" w:space="0" w:color="DDE5EE"/>
            </w:tcBorders>
            <w:vAlign w:val="center"/>
            <w:tcMar>
              <w:top w:w="90" w:type="dxa"/>
              <w:start w:w="120" w:type="dxa"/>
              <w:bottom w:w="90" w:type="dxa"/>
              <w:end w:w="120" w:type="dxa"/>
            </w:tcMar>
          </w:tcPr>
          <w:p>
            <w:pPr>
              <w:spacing w:after="0" w:line="252" w:lineRule="auto"/>
            </w:pPr>
            <w:r/>
            <w:r>
              <w:rPr>
                <w:rFonts w:ascii="Calibri" w:hAnsi="Calibri"/>
                <w:b w:val="0"/>
                <w:i w:val="0"/>
                <w:color w:val="000000"/>
                <w:sz w:val="18"/>
              </w:rPr>
              <w:t>TOTAL</w:t>
            </w:r>
          </w:p>
        </w:tc>
        <w:tc>
          <w:tcPr>
            <w:tcW w:type="dxa" w:w="4460"/>
            <w:tcBorders>
              <w:top w:val="single" w:sz="4" w:space="0" w:color="DDE5EE"/>
              <w:left w:val="single" w:sz="4" w:space="0" w:color="DDE5EE"/>
              <w:bottom w:val="single" w:sz="4" w:space="0" w:color="DDE5EE"/>
              <w:right w:val="single" w:sz="4" w:space="0" w:color="DDE5EE"/>
            </w:tcBorders>
            <w:vAlign w:val="center"/>
            <w:tcMar>
              <w:top w:w="90" w:type="dxa"/>
              <w:start w:w="120" w:type="dxa"/>
              <w:bottom w:w="90" w:type="dxa"/>
              <w:end w:w="120" w:type="dxa"/>
            </w:tcMar>
          </w:tcPr>
          <w:p>
            <w:pPr>
              <w:spacing w:after="0" w:line="252" w:lineRule="auto"/>
            </w:pPr>
            <w:r/>
            <w:r>
              <w:rPr>
                <w:rFonts w:ascii="Calibri" w:hAnsi="Calibri"/>
                <w:b w:val="0"/>
                <w:i w:val="0"/>
                <w:color w:val="000000"/>
                <w:sz w:val="18"/>
              </w:rPr>
              <w:t>Recommended funded commercialization budget</w:t>
            </w:r>
          </w:p>
        </w:tc>
        <w:tc>
          <w:tcPr>
            <w:tcW w:type="dxa" w:w="2000"/>
            <w:tcBorders>
              <w:top w:val="single" w:sz="4" w:space="0" w:color="DDE5EE"/>
              <w:left w:val="single" w:sz="4" w:space="0" w:color="DDE5EE"/>
              <w:bottom w:val="single" w:sz="4" w:space="0" w:color="DDE5EE"/>
              <w:right w:val="single" w:sz="4" w:space="0" w:color="DDE5EE"/>
            </w:tcBorders>
            <w:vAlign w:val="center"/>
            <w:tcMar>
              <w:top w:w="90" w:type="dxa"/>
              <w:start w:w="120" w:type="dxa"/>
              <w:bottom w:w="90" w:type="dxa"/>
              <w:end w:w="120" w:type="dxa"/>
            </w:tcMar>
          </w:tcPr>
          <w:p>
            <w:pPr>
              <w:spacing w:after="0" w:line="252" w:lineRule="auto"/>
              <w:jc w:val="right"/>
            </w:pPr>
            <w:r/>
            <w:r>
              <w:rPr>
                <w:rFonts w:ascii="Calibri" w:hAnsi="Calibri"/>
                <w:b w:val="0"/>
                <w:i w:val="0"/>
                <w:color w:val="000000"/>
                <w:sz w:val="18"/>
              </w:rPr>
              <w:t>PHP 30,676</w:t>
            </w:r>
          </w:p>
        </w:tc>
      </w:tr>
    </w:tbl>
    <w:p>
      <w:pPr>
        <w:spacing w:after="80"/>
      </w:pPr>
    </w:p>
    <w:tbl>
      <w:tblPr>
        <w:tblW w:type="dxa" w:w="9120"/>
        <w:jc w:val="center"/>
        <w:tblLayout w:type="fixed"/>
        <w:tblLook w:firstColumn="1" w:firstRow="1" w:lastColumn="0" w:lastRow="0" w:noHBand="0" w:noVBand="1" w:val="04A0"/>
      </w:tblPr>
      <w:tblGrid>
        <w:gridCol w:w="9120"/>
      </w:tblGrid>
      <w:tr>
        <w:tc>
          <w:tcPr>
            <w:tcW w:type="dxa" w:w="9120"/>
            <w:shd w:fill="E8EEF5"/>
            <w:tcBorders>
              <w:top w:val="single" w:sz="4" w:space="0" w:color="C7D7EA"/>
              <w:left w:val="single" w:sz="4" w:space="0" w:color="C7D7EA"/>
              <w:bottom w:val="single" w:sz="4" w:space="0" w:color="C7D7EA"/>
              <w:right w:val="single" w:sz="4" w:space="0" w:color="C7D7EA"/>
            </w:tcBorders>
            <w:tcMar>
              <w:top w:w="140" w:type="dxa"/>
              <w:start w:w="180" w:type="dxa"/>
              <w:bottom w:w="140" w:type="dxa"/>
              <w:end w:w="180" w:type="dxa"/>
            </w:tcMar>
          </w:tcPr>
          <w:p>
            <w:pPr>
              <w:spacing w:after="60"/>
            </w:pPr>
            <w:r>
              <w:rPr>
                <w:rFonts w:ascii="Calibri" w:hAnsi="Calibri"/>
                <w:b/>
                <w:i w:val="0"/>
                <w:color w:val="0B2545"/>
                <w:sz w:val="23"/>
              </w:rPr>
              <w:t>Why UAT and Production Are Separate</w:t>
            </w:r>
          </w:p>
          <w:p>
            <w:pPr>
              <w:spacing w:after="0" w:line="269" w:lineRule="auto"/>
            </w:pPr>
            <w:r>
              <w:rPr>
                <w:rFonts w:ascii="Calibri" w:hAnsi="Calibri"/>
                <w:b w:val="0"/>
                <w:i w:val="0"/>
                <w:color w:val="000000"/>
                <w:sz w:val="21"/>
              </w:rPr>
              <w:t>UAT is a safe place to test changes before customers use them. Production remains stable for ticket buyers and event staff. This reduces the chance of registration, payment, email, QR ticket, or check-in changes affecting a live event.</w:t>
            </w:r>
          </w:p>
        </w:tc>
      </w:tr>
    </w:tbl>
    <w:p>
      <w:pPr>
        <w:spacing w:after="40"/>
      </w:pPr>
    </w:p>
    <w:tbl>
      <w:tblPr>
        <w:tblW w:type="dxa" w:w="9120"/>
        <w:jc w:val="center"/>
        <w:tblLayout w:type="fixed"/>
        <w:tblLook w:firstColumn="1" w:firstRow="1" w:lastColumn="0" w:lastRow="0" w:noHBand="0" w:noVBand="1" w:val="04A0"/>
      </w:tblPr>
      <w:tblGrid>
        <w:gridCol w:w="9120"/>
      </w:tblGrid>
      <w:tr>
        <w:tc>
          <w:tcPr>
            <w:tcW w:type="dxa" w:w="9120"/>
            <w:shd w:fill="E8EEF5"/>
            <w:tcBorders>
              <w:top w:val="single" w:sz="4" w:space="0" w:color="C7D7EA"/>
              <w:left w:val="single" w:sz="4" w:space="0" w:color="C7D7EA"/>
              <w:bottom w:val="single" w:sz="4" w:space="0" w:color="C7D7EA"/>
              <w:right w:val="single" w:sz="4" w:space="0" w:color="C7D7EA"/>
            </w:tcBorders>
            <w:tcMar>
              <w:top w:w="140" w:type="dxa"/>
              <w:start w:w="180" w:type="dxa"/>
              <w:bottom w:w="140" w:type="dxa"/>
              <w:end w:w="180" w:type="dxa"/>
            </w:tcMar>
          </w:tcPr>
          <w:p>
            <w:pPr>
              <w:spacing w:after="60"/>
            </w:pPr>
            <w:r>
              <w:rPr>
                <w:rFonts w:ascii="Calibri" w:hAnsi="Calibri"/>
                <w:b/>
                <w:i w:val="0"/>
                <w:color w:val="0B2545"/>
                <w:sz w:val="23"/>
              </w:rPr>
              <w:t>Why Higher AI Plans Are Proposed</w:t>
            </w:r>
          </w:p>
          <w:p>
            <w:pPr>
              <w:spacing w:after="0" w:line="269" w:lineRule="auto"/>
            </w:pPr>
            <w:r>
              <w:rPr>
                <w:rFonts w:ascii="Calibri" w:hAnsi="Calibri"/>
                <w:b w:val="0"/>
                <w:i w:val="0"/>
                <w:color w:val="000000"/>
                <w:sz w:val="21"/>
              </w:rPr>
              <w:t>During commercialization, UAT fixes and Production support happen in parallel. ChatGPT Pro and Claude Max provide more working capacity during releases and incidents. They support engineering work but do not replace human approval, QA, monitoring, or backups.</w:t>
            </w:r>
          </w:p>
        </w:tc>
      </w:tr>
    </w:tbl>
    <w:p>
      <w:pPr>
        <w:spacing w:after="40"/>
      </w:pPr>
    </w:p>
    <w:p>
      <w:pPr>
        <w:spacing w:before="320" w:after="160"/>
      </w:pPr>
      <w:r>
        <w:rPr>
          <w:rFonts w:ascii="Calibri" w:hAnsi="Calibri"/>
          <w:b/>
          <w:i w:val="0"/>
          <w:color w:val="2E74B5"/>
          <w:sz w:val="32"/>
        </w:rPr>
        <w:t>CEO Decisions and Cost Controls</w:t>
      </w:r>
    </w:p>
    <w:tbl>
      <w:tblPr>
        <w:tblW w:type="dxa" w:w="8960"/>
        <w:jc w:val="center"/>
        <w:tblLayout w:type="fixed"/>
        <w:tblLook w:firstColumn="1" w:firstRow="1" w:lastColumn="0" w:lastRow="0" w:noHBand="0" w:noVBand="1" w:val="04A0"/>
      </w:tblPr>
      <w:tblGrid>
        <w:gridCol w:w="2500"/>
        <w:gridCol w:w="4360"/>
        <w:gridCol w:w="2100"/>
      </w:tblGrid>
      <w:tr>
        <w:trPr>
          <w:tblHeader w:val="true"/>
        </w:trPr>
        <w:tc>
          <w:tcPr>
            <w:tcW w:type="dxa" w:w="2500"/>
            <w:shd w:fill="F2F4F7"/>
            <w:tcBorders>
              <w:top w:val="single" w:sz="6" w:space="0" w:color="C9D3DF"/>
              <w:left w:val="single" w:sz="6" w:space="0" w:color="C9D3DF"/>
              <w:bottom w:val="single" w:sz="6" w:space="0" w:color="C9D3DF"/>
              <w:right w:val="single" w:sz="6" w:space="0" w:color="C9D3DF"/>
            </w:tcBorders>
            <w:vAlign w:val="center"/>
            <w:tcMar>
              <w:top w:w="90" w:type="dxa"/>
              <w:start w:w="120" w:type="dxa"/>
              <w:bottom w:w="90" w:type="dxa"/>
              <w:end w:w="120" w:type="dxa"/>
            </w:tcMar>
          </w:tcPr>
          <w:p>
            <w:pPr>
              <w:spacing w:after="0" w:line="252" w:lineRule="auto"/>
              <w:jc w:val="center"/>
            </w:pPr>
            <w:r/>
            <w:r>
              <w:rPr>
                <w:rFonts w:ascii="Calibri" w:hAnsi="Calibri"/>
                <w:b/>
                <w:i w:val="0"/>
                <w:color w:val="0B2545"/>
                <w:sz w:val="17"/>
              </w:rPr>
              <w:t>Decision</w:t>
            </w:r>
          </w:p>
        </w:tc>
        <w:tc>
          <w:tcPr>
            <w:tcW w:type="dxa" w:w="4360"/>
            <w:shd w:fill="F2F4F7"/>
            <w:tcBorders>
              <w:top w:val="single" w:sz="6" w:space="0" w:color="C9D3DF"/>
              <w:left w:val="single" w:sz="6" w:space="0" w:color="C9D3DF"/>
              <w:bottom w:val="single" w:sz="6" w:space="0" w:color="C9D3DF"/>
              <w:right w:val="single" w:sz="6" w:space="0" w:color="C9D3DF"/>
            </w:tcBorders>
            <w:vAlign w:val="center"/>
            <w:tcMar>
              <w:top w:w="90" w:type="dxa"/>
              <w:start w:w="120" w:type="dxa"/>
              <w:bottom w:w="90" w:type="dxa"/>
              <w:end w:w="120" w:type="dxa"/>
            </w:tcMar>
          </w:tcPr>
          <w:p>
            <w:pPr>
              <w:spacing w:after="0" w:line="252" w:lineRule="auto"/>
              <w:jc w:val="center"/>
            </w:pPr>
            <w:r/>
            <w:r>
              <w:rPr>
                <w:rFonts w:ascii="Calibri" w:hAnsi="Calibri"/>
                <w:b/>
                <w:i w:val="0"/>
                <w:color w:val="0B2545"/>
                <w:sz w:val="17"/>
              </w:rPr>
              <w:t>Recommended Treatment</w:t>
            </w:r>
          </w:p>
        </w:tc>
        <w:tc>
          <w:tcPr>
            <w:tcW w:type="dxa" w:w="2100"/>
            <w:shd w:fill="F2F4F7"/>
            <w:tcBorders>
              <w:top w:val="single" w:sz="6" w:space="0" w:color="C9D3DF"/>
              <w:left w:val="single" w:sz="6" w:space="0" w:color="C9D3DF"/>
              <w:bottom w:val="single" w:sz="6" w:space="0" w:color="C9D3DF"/>
              <w:right w:val="single" w:sz="6" w:space="0" w:color="C9D3DF"/>
            </w:tcBorders>
            <w:vAlign w:val="center"/>
            <w:tcMar>
              <w:top w:w="90" w:type="dxa"/>
              <w:start w:w="120" w:type="dxa"/>
              <w:bottom w:w="90" w:type="dxa"/>
              <w:end w:w="120" w:type="dxa"/>
            </w:tcMar>
          </w:tcPr>
          <w:p>
            <w:pPr>
              <w:spacing w:after="0" w:line="252" w:lineRule="auto"/>
              <w:jc w:val="center"/>
            </w:pPr>
            <w:r/>
            <w:r>
              <w:rPr>
                <w:rFonts w:ascii="Calibri" w:hAnsi="Calibri"/>
                <w:b/>
                <w:i w:val="0"/>
                <w:color w:val="0B2545"/>
                <w:sz w:val="17"/>
              </w:rPr>
              <w:t>Financial Effect</w:t>
            </w:r>
          </w:p>
        </w:tc>
      </w:tr>
      <w:tr>
        <w:tc>
          <w:tcPr>
            <w:tcW w:type="dxa" w:w="2500"/>
            <w:tcBorders>
              <w:top w:val="single" w:sz="4" w:space="0" w:color="DDE5EE"/>
              <w:left w:val="single" w:sz="4" w:space="0" w:color="DDE5EE"/>
              <w:bottom w:val="single" w:sz="4" w:space="0" w:color="DDE5EE"/>
              <w:right w:val="single" w:sz="4" w:space="0" w:color="DDE5EE"/>
            </w:tcBorders>
            <w:vAlign w:val="center"/>
            <w:tcMar>
              <w:top w:w="90" w:type="dxa"/>
              <w:start w:w="120" w:type="dxa"/>
              <w:bottom w:w="90" w:type="dxa"/>
              <w:end w:w="120" w:type="dxa"/>
            </w:tcMar>
          </w:tcPr>
          <w:p>
            <w:pPr>
              <w:spacing w:after="0" w:line="252" w:lineRule="auto"/>
            </w:pPr>
            <w:r/>
            <w:r>
              <w:rPr>
                <w:rFonts w:ascii="Calibri" w:hAnsi="Calibri"/>
                <w:b w:val="0"/>
                <w:i w:val="0"/>
                <w:color w:val="000000"/>
                <w:sz w:val="17"/>
              </w:rPr>
              <w:t>GitHub Copilot</w:t>
            </w:r>
          </w:p>
        </w:tc>
        <w:tc>
          <w:tcPr>
            <w:tcW w:type="dxa" w:w="4360"/>
            <w:tcBorders>
              <w:top w:val="single" w:sz="4" w:space="0" w:color="DDE5EE"/>
              <w:left w:val="single" w:sz="4" w:space="0" w:color="DDE5EE"/>
              <w:bottom w:val="single" w:sz="4" w:space="0" w:color="DDE5EE"/>
              <w:right w:val="single" w:sz="4" w:space="0" w:color="DDE5EE"/>
            </w:tcBorders>
            <w:vAlign w:val="center"/>
            <w:tcMar>
              <w:top w:w="90" w:type="dxa"/>
              <w:start w:w="120" w:type="dxa"/>
              <w:bottom w:w="90" w:type="dxa"/>
              <w:end w:w="120" w:type="dxa"/>
            </w:tcMar>
          </w:tcPr>
          <w:p>
            <w:pPr>
              <w:spacing w:after="0" w:line="252" w:lineRule="auto"/>
            </w:pPr>
            <w:r/>
            <w:r>
              <w:rPr>
                <w:rFonts w:ascii="Calibri" w:hAnsi="Calibri"/>
                <w:b w:val="0"/>
                <w:i w:val="0"/>
                <w:color w:val="000000"/>
                <w:sz w:val="17"/>
              </w:rPr>
              <w:t>Discontinue after transition to ChatGPT Pro and Claude Max</w:t>
            </w:r>
          </w:p>
        </w:tc>
        <w:tc>
          <w:tcPr>
            <w:tcW w:type="dxa" w:w="2100"/>
            <w:tcBorders>
              <w:top w:val="single" w:sz="4" w:space="0" w:color="DDE5EE"/>
              <w:left w:val="single" w:sz="4" w:space="0" w:color="DDE5EE"/>
              <w:bottom w:val="single" w:sz="4" w:space="0" w:color="DDE5EE"/>
              <w:right w:val="single" w:sz="4" w:space="0" w:color="DDE5EE"/>
            </w:tcBorders>
            <w:vAlign w:val="center"/>
            <w:tcMar>
              <w:top w:w="90" w:type="dxa"/>
              <w:start w:w="120" w:type="dxa"/>
              <w:bottom w:w="90" w:type="dxa"/>
              <w:end w:w="120" w:type="dxa"/>
            </w:tcMar>
          </w:tcPr>
          <w:p>
            <w:pPr>
              <w:spacing w:after="0" w:line="252" w:lineRule="auto"/>
              <w:jc w:val="right"/>
            </w:pPr>
            <w:r/>
            <w:r>
              <w:rPr>
                <w:rFonts w:ascii="Calibri" w:hAnsi="Calibri"/>
                <w:b w:val="0"/>
                <w:i w:val="0"/>
                <w:color w:val="000000"/>
                <w:sz w:val="17"/>
              </w:rPr>
              <w:t>Save PHP 2,262/month</w:t>
            </w:r>
          </w:p>
        </w:tc>
      </w:tr>
      <w:tr>
        <w:tc>
          <w:tcPr>
            <w:tcW w:type="dxa" w:w="2500"/>
            <w:tcBorders>
              <w:top w:val="single" w:sz="4" w:space="0" w:color="DDE5EE"/>
              <w:left w:val="single" w:sz="4" w:space="0" w:color="DDE5EE"/>
              <w:bottom w:val="single" w:sz="4" w:space="0" w:color="DDE5EE"/>
              <w:right w:val="single" w:sz="4" w:space="0" w:color="DDE5EE"/>
            </w:tcBorders>
            <w:vAlign w:val="center"/>
            <w:tcMar>
              <w:top w:w="90" w:type="dxa"/>
              <w:start w:w="120" w:type="dxa"/>
              <w:bottom w:w="90" w:type="dxa"/>
              <w:end w:w="120" w:type="dxa"/>
            </w:tcMar>
          </w:tcPr>
          <w:p>
            <w:pPr>
              <w:spacing w:after="0" w:line="252" w:lineRule="auto"/>
            </w:pPr>
            <w:r/>
            <w:r>
              <w:rPr>
                <w:rFonts w:ascii="Calibri" w:hAnsi="Calibri"/>
                <w:b w:val="0"/>
                <w:i w:val="0"/>
                <w:color w:val="000000"/>
                <w:sz w:val="17"/>
              </w:rPr>
              <w:t>ChatGPT Pro + Claude Max</w:t>
            </w:r>
          </w:p>
        </w:tc>
        <w:tc>
          <w:tcPr>
            <w:tcW w:type="dxa" w:w="4360"/>
            <w:tcBorders>
              <w:top w:val="single" w:sz="4" w:space="0" w:color="DDE5EE"/>
              <w:left w:val="single" w:sz="4" w:space="0" w:color="DDE5EE"/>
              <w:bottom w:val="single" w:sz="4" w:space="0" w:color="DDE5EE"/>
              <w:right w:val="single" w:sz="4" w:space="0" w:color="DDE5EE"/>
            </w:tcBorders>
            <w:vAlign w:val="center"/>
            <w:tcMar>
              <w:top w:w="90" w:type="dxa"/>
              <w:start w:w="120" w:type="dxa"/>
              <w:bottom w:w="90" w:type="dxa"/>
              <w:end w:w="120" w:type="dxa"/>
            </w:tcMar>
          </w:tcPr>
          <w:p>
            <w:pPr>
              <w:spacing w:after="0" w:line="252" w:lineRule="auto"/>
            </w:pPr>
            <w:r/>
            <w:r>
              <w:rPr>
                <w:rFonts w:ascii="Calibri" w:hAnsi="Calibri"/>
                <w:b w:val="0"/>
                <w:i w:val="0"/>
                <w:color w:val="000000"/>
                <w:sz w:val="17"/>
              </w:rPr>
              <w:t>Activate for commercialization and review after each event cycle</w:t>
            </w:r>
          </w:p>
        </w:tc>
        <w:tc>
          <w:tcPr>
            <w:tcW w:type="dxa" w:w="2100"/>
            <w:tcBorders>
              <w:top w:val="single" w:sz="4" w:space="0" w:color="DDE5EE"/>
              <w:left w:val="single" w:sz="4" w:space="0" w:color="DDE5EE"/>
              <w:bottom w:val="single" w:sz="4" w:space="0" w:color="DDE5EE"/>
              <w:right w:val="single" w:sz="4" w:space="0" w:color="DDE5EE"/>
            </w:tcBorders>
            <w:vAlign w:val="center"/>
            <w:tcMar>
              <w:top w:w="90" w:type="dxa"/>
              <w:start w:w="120" w:type="dxa"/>
              <w:bottom w:w="90" w:type="dxa"/>
              <w:end w:w="120" w:type="dxa"/>
            </w:tcMar>
          </w:tcPr>
          <w:p>
            <w:pPr>
              <w:spacing w:after="0" w:line="252" w:lineRule="auto"/>
              <w:jc w:val="right"/>
            </w:pPr>
            <w:r/>
            <w:r>
              <w:rPr>
                <w:rFonts w:ascii="Calibri" w:hAnsi="Calibri"/>
                <w:b w:val="0"/>
                <w:i w:val="0"/>
                <w:color w:val="000000"/>
                <w:sz w:val="17"/>
              </w:rPr>
              <w:t>PHP 12,290/month</w:t>
            </w:r>
          </w:p>
        </w:tc>
      </w:tr>
      <w:tr>
        <w:tc>
          <w:tcPr>
            <w:tcW w:type="dxa" w:w="2500"/>
            <w:tcBorders>
              <w:top w:val="single" w:sz="4" w:space="0" w:color="DDE5EE"/>
              <w:left w:val="single" w:sz="4" w:space="0" w:color="DDE5EE"/>
              <w:bottom w:val="single" w:sz="4" w:space="0" w:color="DDE5EE"/>
              <w:right w:val="single" w:sz="4" w:space="0" w:color="DDE5EE"/>
            </w:tcBorders>
            <w:vAlign w:val="center"/>
            <w:tcMar>
              <w:top w:w="90" w:type="dxa"/>
              <w:start w:w="120" w:type="dxa"/>
              <w:bottom w:w="90" w:type="dxa"/>
              <w:end w:w="120" w:type="dxa"/>
            </w:tcMar>
          </w:tcPr>
          <w:p>
            <w:pPr>
              <w:spacing w:after="0" w:line="252" w:lineRule="auto"/>
            </w:pPr>
            <w:r/>
            <w:r>
              <w:rPr>
                <w:rFonts w:ascii="Calibri" w:hAnsi="Calibri"/>
                <w:b w:val="0"/>
                <w:i w:val="0"/>
                <w:color w:val="000000"/>
                <w:sz w:val="17"/>
              </w:rPr>
              <w:t>Google Maps paid capacity</w:t>
            </w:r>
          </w:p>
        </w:tc>
        <w:tc>
          <w:tcPr>
            <w:tcW w:type="dxa" w:w="4360"/>
            <w:tcBorders>
              <w:top w:val="single" w:sz="4" w:space="0" w:color="DDE5EE"/>
              <w:left w:val="single" w:sz="4" w:space="0" w:color="DDE5EE"/>
              <w:bottom w:val="single" w:sz="4" w:space="0" w:color="DDE5EE"/>
              <w:right w:val="single" w:sz="4" w:space="0" w:color="DDE5EE"/>
            </w:tcBorders>
            <w:vAlign w:val="center"/>
            <w:tcMar>
              <w:top w:w="90" w:type="dxa"/>
              <w:start w:w="120" w:type="dxa"/>
              <w:bottom w:w="90" w:type="dxa"/>
              <w:end w:w="120" w:type="dxa"/>
            </w:tcMar>
          </w:tcPr>
          <w:p>
            <w:pPr>
              <w:spacing w:after="0" w:line="252" w:lineRule="auto"/>
            </w:pPr>
            <w:r/>
            <w:r>
              <w:rPr>
                <w:rFonts w:ascii="Calibri" w:hAnsi="Calibri"/>
                <w:b w:val="0"/>
                <w:i w:val="0"/>
                <w:color w:val="000000"/>
                <w:sz w:val="17"/>
              </w:rPr>
              <w:t>Keep as an optional reserve until usage requires it</w:t>
            </w:r>
          </w:p>
        </w:tc>
        <w:tc>
          <w:tcPr>
            <w:tcW w:type="dxa" w:w="2100"/>
            <w:tcBorders>
              <w:top w:val="single" w:sz="4" w:space="0" w:color="DDE5EE"/>
              <w:left w:val="single" w:sz="4" w:space="0" w:color="DDE5EE"/>
              <w:bottom w:val="single" w:sz="4" w:space="0" w:color="DDE5EE"/>
              <w:right w:val="single" w:sz="4" w:space="0" w:color="DDE5EE"/>
            </w:tcBorders>
            <w:vAlign w:val="center"/>
            <w:tcMar>
              <w:top w:w="90" w:type="dxa"/>
              <w:start w:w="120" w:type="dxa"/>
              <w:bottom w:w="90" w:type="dxa"/>
              <w:end w:w="120" w:type="dxa"/>
            </w:tcMar>
          </w:tcPr>
          <w:p>
            <w:pPr>
              <w:spacing w:after="0" w:line="252" w:lineRule="auto"/>
              <w:jc w:val="right"/>
            </w:pPr>
            <w:r/>
            <w:r>
              <w:rPr>
                <w:rFonts w:ascii="Calibri" w:hAnsi="Calibri"/>
                <w:b w:val="0"/>
                <w:i w:val="0"/>
                <w:color w:val="000000"/>
                <w:sz w:val="17"/>
              </w:rPr>
              <w:t>Up to PHP 15,950/month</w:t>
            </w:r>
          </w:p>
        </w:tc>
      </w:tr>
      <w:tr>
        <w:tc>
          <w:tcPr>
            <w:tcW w:type="dxa" w:w="2500"/>
            <w:tcBorders>
              <w:top w:val="single" w:sz="4" w:space="0" w:color="DDE5EE"/>
              <w:left w:val="single" w:sz="4" w:space="0" w:color="DDE5EE"/>
              <w:bottom w:val="single" w:sz="4" w:space="0" w:color="DDE5EE"/>
              <w:right w:val="single" w:sz="4" w:space="0" w:color="DDE5EE"/>
            </w:tcBorders>
            <w:vAlign w:val="center"/>
            <w:tcMar>
              <w:top w:w="90" w:type="dxa"/>
              <w:start w:w="120" w:type="dxa"/>
              <w:bottom w:w="90" w:type="dxa"/>
              <w:end w:w="120" w:type="dxa"/>
            </w:tcMar>
          </w:tcPr>
          <w:p>
            <w:pPr>
              <w:spacing w:after="0" w:line="252" w:lineRule="auto"/>
            </w:pPr>
            <w:r/>
            <w:r>
              <w:rPr>
                <w:rFonts w:ascii="Calibri" w:hAnsi="Calibri"/>
                <w:b w:val="0"/>
                <w:i w:val="0"/>
                <w:color w:val="000000"/>
                <w:sz w:val="17"/>
              </w:rPr>
              <w:t>Legal, payment, security, emergency support</w:t>
            </w:r>
          </w:p>
        </w:tc>
        <w:tc>
          <w:tcPr>
            <w:tcW w:type="dxa" w:w="4360"/>
            <w:tcBorders>
              <w:top w:val="single" w:sz="4" w:space="0" w:color="DDE5EE"/>
              <w:left w:val="single" w:sz="4" w:space="0" w:color="DDE5EE"/>
              <w:bottom w:val="single" w:sz="4" w:space="0" w:color="DDE5EE"/>
              <w:right w:val="single" w:sz="4" w:space="0" w:color="DDE5EE"/>
            </w:tcBorders>
            <w:vAlign w:val="center"/>
            <w:tcMar>
              <w:top w:w="90" w:type="dxa"/>
              <w:start w:w="120" w:type="dxa"/>
              <w:bottom w:w="90" w:type="dxa"/>
              <w:end w:w="120" w:type="dxa"/>
            </w:tcMar>
          </w:tcPr>
          <w:p>
            <w:pPr>
              <w:spacing w:after="0" w:line="252" w:lineRule="auto"/>
            </w:pPr>
            <w:r/>
            <w:r>
              <w:rPr>
                <w:rFonts w:ascii="Calibri" w:hAnsi="Calibri"/>
                <w:b w:val="0"/>
                <w:i w:val="0"/>
                <w:color w:val="000000"/>
                <w:sz w:val="17"/>
              </w:rPr>
              <w:t>Obtain quotations before budget approval</w:t>
            </w:r>
          </w:p>
        </w:tc>
        <w:tc>
          <w:tcPr>
            <w:tcW w:type="dxa" w:w="2100"/>
            <w:tcBorders>
              <w:top w:val="single" w:sz="4" w:space="0" w:color="DDE5EE"/>
              <w:left w:val="single" w:sz="4" w:space="0" w:color="DDE5EE"/>
              <w:bottom w:val="single" w:sz="4" w:space="0" w:color="DDE5EE"/>
              <w:right w:val="single" w:sz="4" w:space="0" w:color="DDE5EE"/>
            </w:tcBorders>
            <w:vAlign w:val="center"/>
            <w:tcMar>
              <w:top w:w="90" w:type="dxa"/>
              <w:start w:w="120" w:type="dxa"/>
              <w:bottom w:w="90" w:type="dxa"/>
              <w:end w:w="120" w:type="dxa"/>
            </w:tcMar>
          </w:tcPr>
          <w:p>
            <w:pPr>
              <w:spacing w:after="0" w:line="252" w:lineRule="auto"/>
              <w:jc w:val="right"/>
            </w:pPr>
            <w:r/>
            <w:r>
              <w:rPr>
                <w:rFonts w:ascii="Calibri" w:hAnsi="Calibri"/>
                <w:b w:val="0"/>
                <w:i w:val="0"/>
                <w:color w:val="000000"/>
                <w:sz w:val="17"/>
              </w:rPr>
              <w:t>Not yet included</w:t>
            </w:r>
          </w:p>
        </w:tc>
      </w:tr>
    </w:tbl>
    <w:p>
      <w:pPr>
        <w:spacing w:after="80"/>
      </w:pPr>
    </w:p>
    <w:tbl>
      <w:tblPr>
        <w:tblW w:type="dxa" w:w="9120"/>
        <w:jc w:val="center"/>
        <w:tblLayout w:type="fixed"/>
        <w:tblLook w:firstColumn="1" w:firstRow="1" w:lastColumn="0" w:lastRow="0" w:noHBand="0" w:noVBand="1" w:val="04A0"/>
      </w:tblPr>
      <w:tblGrid>
        <w:gridCol w:w="9120"/>
      </w:tblGrid>
      <w:tr>
        <w:tc>
          <w:tcPr>
            <w:tcW w:type="dxa" w:w="9120"/>
            <w:shd w:fill="FFF4D6"/>
            <w:tcBorders>
              <w:top w:val="single" w:sz="4" w:space="0" w:color="C7D7EA"/>
              <w:left w:val="single" w:sz="4" w:space="0" w:color="C7D7EA"/>
              <w:bottom w:val="single" w:sz="4" w:space="0" w:color="C7D7EA"/>
              <w:right w:val="single" w:sz="4" w:space="0" w:color="C7D7EA"/>
            </w:tcBorders>
            <w:tcMar>
              <w:top w:w="140" w:type="dxa"/>
              <w:start w:w="180" w:type="dxa"/>
              <w:bottom w:w="140" w:type="dxa"/>
              <w:end w:w="180" w:type="dxa"/>
            </w:tcMar>
          </w:tcPr>
          <w:p>
            <w:pPr>
              <w:spacing w:after="60"/>
            </w:pPr>
            <w:r>
              <w:rPr>
                <w:rFonts w:ascii="Calibri" w:hAnsi="Calibri"/>
                <w:b/>
                <w:i w:val="0"/>
                <w:color w:val="0B2545"/>
                <w:sz w:val="23"/>
              </w:rPr>
              <w:t>Funding Presentation</w:t>
            </w:r>
          </w:p>
          <w:p>
            <w:pPr>
              <w:spacing w:after="0" w:line="269" w:lineRule="auto"/>
            </w:pPr>
            <w:r>
              <w:rPr>
                <w:rFonts w:ascii="Calibri" w:hAnsi="Calibri"/>
                <w:b w:val="0"/>
                <w:i w:val="0"/>
                <w:color w:val="000000"/>
                <w:sz w:val="21"/>
              </w:rPr>
              <w:t>Present PHP 8,352/month as today's recurring cost and PHP 30,676/month as the funded commercialization target. Keep optional reserves and unquoted professional services separate.</w:t>
            </w:r>
          </w:p>
        </w:tc>
      </w:tr>
    </w:tbl>
    <w:p>
      <w:pPr>
        <w:spacing w:after="40"/>
      </w:pPr>
    </w:p>
    <w:p>
      <w:pPr>
        <w:spacing w:before="0" w:after="120" w:line="264" w:lineRule="auto"/>
      </w:pPr>
      <w:r>
        <w:rPr>
          <w:rFonts w:ascii="Calibri" w:hAnsi="Calibri"/>
          <w:b w:val="0"/>
          <w:i/>
          <w:color w:val="5C6874"/>
          <w:sz w:val="19"/>
        </w:rPr>
        <w:t>Projected annual commercialization baseline: PHP 370,889. Optional reserve scenario: PHP 46,626/month.</w:t>
      </w:r>
    </w:p>
    <w:sectPr w:rsidR="00FC693F" w:rsidRPr="0006063C" w:rsidSect="00034616">
      <w:footerReference w:type="default" r:id="rId9"/>
      <w:pgSz w:w="12240" w:h="15840"/>
      <w:pgMar w:top="1080" w:right="1123" w:bottom="1037" w:left="1123" w:header="648" w:footer="64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5C6874"/>
        <w:sz w:val="17"/>
      </w:rPr>
      <w:t>Axon Tickets CEO Cost Summary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