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А. Назначение: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Сервис “Размещение рекламы в Telegram каналах” должен: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предоставлять доступ рекламодателям (ИП, онлайн магазин, определенный бренд) к обширному каталогу Telegram каналов с возможностью последующего размещения рекламы на выбранных площадках.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давать администратору (владельцу) Telegram канала возможность размещения информации о канале в каталоге.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В. Функционал: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Со стороны администратора: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Выбор типа пользователя (администратор или рекламодатель)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Размещение данных о канале (ссылка на канал, тематика канала).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Сбор информацию о канале - описание, число участников и среднее количество просмотров.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Выставление цены за пост.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предложений от рекламодателей, выбравших его/ее канал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принять/отклонить предложение.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Личный кошелек - хранилище денежных средств от размещения рекламы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Подтверждение размещения рекламы с помощью ссылки на пост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 к FAQ про соблюдение правил размещения рекламы администратором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 к главной информации о сервисе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Личный кабинет с проведенными сделками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Со стороны рекламодателя: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Выбор типа пользователя (администратор или рекламодатель).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Активация личного кошелька - предоставление платежной информации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Выбор канала из </w:t>
      </w:r>
      <w:r w:rsidDel="00000000" w:rsidR="00000000" w:rsidRPr="00000000">
        <w:rPr>
          <w:b w:val="1"/>
          <w:rtl w:val="0"/>
        </w:rPr>
        <w:t xml:space="preserve">каталога каналов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составления рекламного поста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рекламы на выбранных площадках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</w:t>
      </w:r>
      <w:r w:rsidDel="00000000" w:rsidR="00000000" w:rsidRPr="00000000">
        <w:rPr>
          <w:b w:val="1"/>
          <w:rtl w:val="0"/>
        </w:rPr>
        <w:t xml:space="preserve">автозамены</w:t>
      </w:r>
      <w:r w:rsidDel="00000000" w:rsidR="00000000" w:rsidRPr="00000000">
        <w:rPr>
          <w:rtl w:val="0"/>
        </w:rPr>
        <w:t xml:space="preserve">: из каталога каналов рекламодатель может выбрать 2-ой, 3-ий, 4-ый доп. каналы по приоритетности, если администратор первого выбранного канала отклоняет предложение о размещении у себя рекламы, предложение отсылается последующим администраторам из выбранных каналов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Доступ к FAQ про организацию процесса размещения рекламы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Доступ к главной информации о сервисе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1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Личный кабинет с запросами администраторам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Каталог каналов: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канала с описанием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Тема канала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Число участников со статистикой посещения - коэффициент эффективности канала (рассчитывается на основе среднего количества просмотров , деленного на количество участников данного канала)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Цена размещения поста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110" w:hanging="360"/>
        <w:contextualSpacing w:val="1"/>
        <w:rPr/>
      </w:pPr>
      <w:r w:rsidDel="00000000" w:rsidR="00000000" w:rsidRPr="00000000">
        <w:rPr>
          <w:rtl w:val="0"/>
        </w:rPr>
        <w:t xml:space="preserve">Помимо фильтров - поиск по каналам (название, ключевые слова в описании)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С. Важные правила сервиса: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Финансовые средства, участвующие в сделке, удерживаются на сайте до завершения сделки администратора и рекламодателя.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завершении времени сделки служба поддержки сайта будет принимать решение относительно отправления средств администратору/ возврату рекламодателю.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Размещение рекламного поста в топе на час. Проверка: первый топ-час: сервис через константное время проверяет, что пост находится в топе (по ссылке на рекламный пост)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Размещение поста на канале последующие 23 часа. Веб-сервис проверяет наличие поста. (по ссылке, переданной администратором)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Организация входных данных: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Веб-сервис должен предоставлять возможность пользователю: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Выбора каналов из каталога - рекламодатель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Предоставления данных о канале - администратор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Организация выходных данных: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Веб-сервис должен предоставлять возможность пользователям (рекламодатель - админ) заключать сделки о размещении рекламы в Telegram каналах.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