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【产品/插件名称】用户手册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（版本号：v1.0　　更新日期：【YYYY-MM-DD】）</w:t>
      </w:r>
    </w:p>
    <w:p>
      <w:pPr>
        <w:pageBreakBefore/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【模板使用说明 —— 正式定稿前请删除本段】本模板提炼自《领星ERP库存同步插件 用户手册》的通用结构与样式：蓝色编号大标题 + 加粗小节标题、Arial正文11pt、1.2倍行距、橙色提示框、步骤编号列表、字段说明表格。写新项目手册时，直接在各占位符【】处替换为实际产品内容，保持章节骨架和样式不变即可。</w:t>
      </w:r>
    </w:p>
    <w:p>
      <w:pPr>
        <w:pStyle w:val="Heading1"/>
        <w:spacing w:after="140" w:before="380" w:line="288" w:lineRule="auto"/>
      </w:pPr>
      <w:r>
        <w:rPr>
          <w:rFonts w:ascii="Arial" w:cs="Arial" w:eastAsia="Arial" w:hAnsi="Arial"/>
          <w:color w:val="3370ff"/>
          <w:sz w:val="36"/>
          <w:szCs w:val="36"/>
        </w:rPr>
        <w:t xml:space="preserve">1.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产品简介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【一句话说明：本产品/插件是什么，面向什么用户，解决什么核心问题，带来什么价值。例如：XX插件是一款专为……设计的……工具，帮助商家……，避免……风险，提升……效率。】</w:t>
      </w: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1.1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【功能一名称】</w:t>
      </w:r>
      <w:r>
        <w:rPr>
          <w:rFonts w:ascii="Arial" w:cs="Arial" w:eastAsia="Arial" w:hAnsi="Arial"/>
          <w:sz w:val="22"/>
          <w:szCs w:val="22"/>
        </w:rPr>
        <w:t xml:space="preserve">：【功能一的简要说明，讲清楚触发条件和结果】。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【功能二名称】</w:t>
      </w:r>
      <w:r>
        <w:rPr>
          <w:rFonts w:ascii="Arial" w:cs="Arial" w:eastAsia="Arial" w:hAnsi="Arial"/>
          <w:sz w:val="22"/>
          <w:szCs w:val="22"/>
        </w:rPr>
        <w:t xml:space="preserve">：【功能二的简要说明】。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【功能三名称】</w:t>
      </w:r>
      <w:r>
        <w:rPr>
          <w:rFonts w:ascii="Arial" w:cs="Arial" w:eastAsia="Arial" w:hAnsi="Arial"/>
          <w:sz w:val="22"/>
          <w:szCs w:val="22"/>
        </w:rPr>
        <w:t xml:space="preserve">：【功能三的简要说明】。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【功能四名称（如：任务监控/日志类功能）】</w:t>
      </w:r>
      <w:r>
        <w:rPr>
          <w:rFonts w:ascii="Arial" w:cs="Arial" w:eastAsia="Arial" w:hAnsi="Arial"/>
          <w:sz w:val="22"/>
          <w:szCs w:val="22"/>
        </w:rPr>
        <w:t xml:space="preserve">：【说明】。</w:t>
      </w: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1.2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关键字段 / 数据对应关系（如适用）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【如果两个系统之间存在字段/数据映射关系，用下表说明，没有可删除本节】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0"/>
        <w:gridCol w:w="5070"/>
      </w:tblGrid>
      <w:tr>
        <w:tc>
          <w:tcPr>
            <w:tcW w:type="dxa" w:w="321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系统</w:t>
            </w:r>
          </w:p>
        </w:tc>
        <w:tc>
          <w:tcPr>
            <w:tcW w:type="dxa" w:w="507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字段名称</w:t>
            </w:r>
          </w:p>
        </w:tc>
      </w:tr>
      <w:tr>
        <w:tc>
          <w:tcPr>
            <w:tcW w:type="dxa" w:w="321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【系统A名称】</w:t>
            </w:r>
          </w:p>
        </w:tc>
        <w:tc>
          <w:tcPr>
            <w:tcW w:type="dxa" w:w="507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【字段名（英文/内部字段名）】</w:t>
            </w:r>
          </w:p>
        </w:tc>
      </w:tr>
      <w:tr>
        <w:tc>
          <w:tcPr>
            <w:tcW w:type="dxa" w:w="321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【系统B名称】</w:t>
            </w:r>
          </w:p>
        </w:tc>
        <w:tc>
          <w:tcPr>
            <w:tcW w:type="dxa" w:w="507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【对应字段名】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80" w:line="288" w:lineRule="auto"/>
      </w:pPr>
      <w:r>
        <w:rPr>
          <w:rFonts w:ascii="Arial" w:cs="Arial" w:eastAsia="Arial" w:hAnsi="Arial"/>
          <w:color w:val="3370ff"/>
          <w:sz w:val="36"/>
          <w:szCs w:val="36"/>
        </w:rPr>
        <w:t xml:space="preserve">2.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使用前准备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在安装/使用本产品前，用户需提前完成以下准备工作，否则可能无法完成授权或核心功能：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【前提条件一，例如：拥有系统A的账号并具备XX接口权限，获取密钥/Token】；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【前提条件二，例如：系统B账号具备安装、授权第三方插件的权限】；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【前提条件三，例如：已完成两个系统之间的账号/店铺授权绑定】；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【前提条件四，例如：已完成基础数据初始化，如SKU配对等】。</w:t>
      </w:r>
    </w:p>
    <w:p>
      <w:pPr>
        <w:spacing w:after="60" w:before="60"/>
      </w:pPr>
    </w:p>
    <w:tbl>
      <w:tblPr>
        <w:tblW w:type="dxa" w:w="8280"/>
        <w:tblBorders>
          <w:top w:val="single" w:color="ffba6b" w:sz="4"/>
          <w:left w:val="single" w:color="ffba6b" w:sz="4"/>
          <w:bottom w:val="single" w:color="ffba6b" w:sz="4"/>
          <w:right w:val="single" w:color="ffba6b" w:sz="4"/>
          <w:insideH w:val="single" w:color="ffba6b" w:sz="4"/>
          <w:insideV w:val="single" w:color="ffba6b" w:sz="4"/>
        </w:tblBorders>
      </w:tblPr>
      <w:tblGrid>
        <w:gridCol w:w="100"/>
      </w:tblGrid>
      <w:tr>
        <w:tc>
          <w:tcPr>
            <w:tcW w:type="dxa" w:w="8280"/>
            <w:shd w:fill="fff5eb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重要提示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：【填写一条最容易踩坑的关键提示，例如某个字段必须填写固定格式/值】。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80" w:line="288" w:lineRule="auto"/>
      </w:pPr>
      <w:r>
        <w:rPr>
          <w:rFonts w:ascii="Arial" w:cs="Arial" w:eastAsia="Arial" w:hAnsi="Arial"/>
          <w:color w:val="3370ff"/>
          <w:sz w:val="36"/>
          <w:szCs w:val="36"/>
        </w:rPr>
        <w:t xml:space="preserve">3.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主要功能</w:t>
      </w: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3.1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【功能模块一：连接/授权配置】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【说明本模块是什么、为什么重要，例如：本页面用于录入并存储密钥，完成产品与服务器的通信授权，其他功能均依赖该配置。】</w:t>
      </w:r>
    </w:p>
    <w:p>
      <w:pPr>
        <w:spacing w:after="6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  <w:shd w:fill="eef0f2" w:val="clear"/>
        </w:rPr>
        <w:t xml:space="preserve">[ 此处插入截图：配置页面整体截图 ]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配置操作步骤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【第一步操作说明】；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【第二步操作说明】；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【点击保存/提交后的校验说明】；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【校验通过后的状态展示说明，例如页面出现绿色"Connected"标识】。</w:t>
      </w:r>
    </w:p>
    <w:tbl>
      <w:tblPr>
        <w:tblW w:type="dxa" w:w="8280"/>
        <w:tblBorders>
          <w:top w:val="single" w:color="ffba6b" w:sz="4"/>
          <w:left w:val="single" w:color="ffba6b" w:sz="4"/>
          <w:bottom w:val="single" w:color="ffba6b" w:sz="4"/>
          <w:right w:val="single" w:color="ffba6b" w:sz="4"/>
          <w:insideH w:val="single" w:color="ffba6b" w:sz="4"/>
          <w:insideV w:val="single" w:color="ffba6b" w:sz="4"/>
        </w:tblBorders>
      </w:tblPr>
      <w:tblGrid>
        <w:gridCol w:w="100"/>
      </w:tblGrid>
      <w:tr>
        <w:tc>
          <w:tcPr>
            <w:tcW w:type="dxa" w:w="8280"/>
            <w:shd w:fill="fff5eb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提示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：【补充说明，例如密钥变更后需要重新配置授权】。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3.2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【功能模块二：基础数据同步】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【说明该页面展示什么数据、为什么需要先同步这些数据】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系统标签页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切换至【A系统】Tab；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点击【同步按钮名称】功能按钮；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等待同步完成，页面刷新【最后同步时间】。</w:t>
      </w:r>
    </w:p>
    <w:p>
      <w:pPr>
        <w:spacing w:after="6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  <w:shd w:fill="eef0f2" w:val="clear"/>
        </w:rPr>
        <w:t xml:space="preserve">[ 此处插入截图：A系统标签页同步结果 ]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系统标签页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切换至【B系统】Tab；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点击【同步按钮名称】，刷新列表；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数据同步完毕后，方可进行后续绑定操作。</w:t>
      </w:r>
    </w:p>
    <w:tbl>
      <w:tblPr>
        <w:tblW w:type="dxa" w:w="8280"/>
        <w:tblBorders>
          <w:top w:val="single" w:color="ffba6b" w:sz="4"/>
          <w:left w:val="single" w:color="ffba6b" w:sz="4"/>
          <w:bottom w:val="single" w:color="ffba6b" w:sz="4"/>
          <w:right w:val="single" w:color="ffba6b" w:sz="4"/>
          <w:insideH w:val="single" w:color="ffba6b" w:sz="4"/>
          <w:insideV w:val="single" w:color="ffba6b" w:sz="4"/>
        </w:tblBorders>
      </w:tblPr>
      <w:tblGrid>
        <w:gridCol w:w="100"/>
      </w:tblGrid>
      <w:tr>
        <w:tc>
          <w:tcPr>
            <w:tcW w:type="dxa" w:w="8280"/>
            <w:shd w:fill="fff5eb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操作提示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：【例如：新增数据后必须重新执行同步，否则新增项不会展示】。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3.3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【功能模块三：映射 / 绑定配置】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【说明该配置是核心环节，未配置的影响是什么】</w:t>
      </w:r>
    </w:p>
    <w:p>
      <w:pPr>
        <w:spacing w:after="6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  <w:shd w:fill="eef0f2" w:val="clear"/>
        </w:rPr>
        <w:t xml:space="preserve">[ 此处插入截图：映射配置页面 ]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添加映射关系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进入【页面名称】，点击【+ 新增按钮名称】；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选择需要绑定的【对象A】；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匹配对应的【对象B】；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确认提交保存，状态显示为【已连接】即绑定生效。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使用规则与限制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【规则一，例如：单条映射仅支持一对一绑定】；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【规则二，例如：已绑定对象会被锁定，无法重复绑定】；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【规则三，例如：未配置映射的对象，其数据变更会被自动忽略】；</w:t>
      </w:r>
    </w:p>
    <w:p>
      <w:pPr>
        <w:pStyle w:val="ListParagraph"/>
        <w:numPr>
          <w:ilvl w:val="0"/>
          <w:numId w:val="1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【规则四，例如：支持编辑、删除已创建的映射关系】。</w:t>
      </w:r>
    </w:p>
    <w:tbl>
      <w:tblPr>
        <w:tblW w:type="dxa" w:w="8280"/>
        <w:tblBorders>
          <w:top w:val="single" w:color="ffba6b" w:sz="4"/>
          <w:left w:val="single" w:color="ffba6b" w:sz="4"/>
          <w:bottom w:val="single" w:color="ffba6b" w:sz="4"/>
          <w:right w:val="single" w:color="ffba6b" w:sz="4"/>
          <w:insideH w:val="single" w:color="ffba6b" w:sz="4"/>
          <w:insideV w:val="single" w:color="ffba6b" w:sz="4"/>
        </w:tblBorders>
      </w:tblPr>
      <w:tblGrid>
        <w:gridCol w:w="100"/>
      </w:tblGrid>
      <w:tr>
        <w:tc>
          <w:tcPr>
            <w:tcW w:type="dxa" w:w="8280"/>
            <w:shd w:fill="fff5eb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注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：【补充边界情况说明，例如映射对象被删除后状态如何变化】。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3.4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【功能模块四：同步频率 / 定时任务配置】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【说明同步机制是实时推送还是定时轮询，本页面用于配置什么】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配置操作步骤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进入【设置页面名称】；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在【间隔时间/频率】输入框填写数值，系统建议【最小值/默认值】；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点击保存按钮，配置即时生效；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页面可查看上一轮执行时间。</w:t>
      </w:r>
    </w:p>
    <w:p>
      <w:pPr>
        <w:spacing w:after="120" w:before="120" w:line="288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工作原理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到达设定条件后，系统自动执行【抓取/推送】操作；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通过预设的配对关系，解析并更新对应数据。</w:t>
      </w:r>
    </w:p>
    <w:p>
      <w:pPr>
        <w:spacing w:after="60" w:before="60"/>
      </w:pP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3.5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【功能模块五：任务 / 日志列表】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【说明该页面的作用，例如：汇总所有同步任务日志，帮助用户定位失败原因；是否支持手动触发】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字段说明：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</w:tblGrid>
      <w:tr>
        <w:tc>
          <w:tcPr>
            <w:tcW w:type="dxa" w:w="414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414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详细说明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ID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【任务唯一编号说明】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Type（类型）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【任务类型，例如：定时/手动】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Total（总计）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【本次任务涉及的数据总量】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Success（成功）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【成功处理的数据量】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Failure（失败）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【失败的数据量】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Status（状态）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【状态枚举说明，例如：无变更/全部完成/异常】</w:t>
            </w:r>
          </w:p>
        </w:tc>
      </w:tr>
      <w:tr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 At（创建时间）</w:t>
            </w:r>
          </w:p>
        </w:tc>
        <w:tc>
          <w:tcPr>
            <w:tcW w:type="dxa" w:w="414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【任务发起时间】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 w:line="288" w:lineRule="auto"/>
      </w:pPr>
      <w:r>
        <w:rPr>
          <w:rFonts w:ascii="Arial" w:cs="Arial" w:eastAsia="Arial" w:hAnsi="Arial"/>
          <w:color w:val="3370ff"/>
          <w:sz w:val="32"/>
          <w:szCs w:val="32"/>
        </w:rPr>
        <w:t xml:space="preserve">3.6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【功能模块六：反向同步 / 特殊场景处理（如适用）】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【说明该场景触发条件，例如：退货、取消订单等事件如何反向影响另一系统的数据】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【监听事件说明】；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【事件触发后自动获取的数据说明】；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【在目标系统中执行的具体操作说明】；</w:t>
      </w:r>
    </w:p>
    <w:p>
      <w:pPr>
        <w:pStyle w:val="ListParagraph"/>
        <w:numPr>
          <w:ilvl w:val="0"/>
          <w:numId w:val="2"/>
        </w:num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【操作记录可在哪个页面查看】。</w:t>
      </w:r>
    </w:p>
    <w:p>
      <w:pPr>
        <w:spacing w:after="60" w:before="60"/>
      </w:pPr>
    </w:p>
    <w:p>
      <w:pPr>
        <w:pStyle w:val="Heading1"/>
        <w:spacing w:after="140" w:before="380" w:line="288" w:lineRule="auto"/>
      </w:pPr>
      <w:r>
        <w:rPr>
          <w:rFonts w:ascii="Arial" w:cs="Arial" w:eastAsia="Arial" w:hAnsi="Arial"/>
          <w:color w:val="3370ff"/>
          <w:sz w:val="36"/>
          <w:szCs w:val="36"/>
        </w:rPr>
        <w:t xml:space="preserve">4.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常见问题（FAQ，可选）</w:t>
      </w:r>
    </w:p>
    <w:p>
      <w:pPr>
        <w:spacing w:after="120" w:before="120" w:line="288" w:lineRule="auto"/>
      </w:pPr>
      <w:r>
        <w:rPr>
          <w:rFonts w:ascii="Arial" w:cs="Arial" w:eastAsia="Arial" w:hAnsi="Arial"/>
          <w:sz w:val="22"/>
          <w:szCs w:val="22"/>
        </w:rPr>
        <w:t xml:space="preserve">【汇总用户高频问题，建议采用"现象-原因-处理建议"结构，方便客服/支持人员直接引用】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c>
          <w:tcPr>
            <w:tcW w:type="dxa" w:w="276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现象</w:t>
            </w:r>
          </w:p>
        </w:tc>
        <w:tc>
          <w:tcPr>
            <w:tcW w:type="dxa" w:w="276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2760"/>
            <w:shd w:fill="eef0f2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处理建议</w:t>
            </w:r>
          </w:p>
        </w:tc>
      </w:tr>
      <w:tr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【现象一，例如：状态一直显示未连接】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【原因】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【处理建议】</w:t>
            </w:r>
          </w:p>
        </w:tc>
      </w:tr>
      <w:tr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【现象二，例如：数据未按预期同步】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【原因】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【处理建议】</w:t>
            </w:r>
          </w:p>
        </w:tc>
      </w:tr>
      <w:tr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【现象三】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【原因】</w:t>
            </w:r>
          </w:p>
        </w:tc>
        <w:tc>
          <w:tcPr>
            <w:tcW w:type="dxa" w:w="276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after="120" w:before="120" w:line="288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【处理建议】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2026-07-06T02:00:08.870Z</dcterms:created>
  <dcterms:modified xsi:type="dcterms:W3CDTF">2026-07-06T02:00:08.871Z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