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【爱沃森】物流承运商应用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30"/>
          <w:szCs w:val="30"/>
        </w:rPr>
        <w:t xml:space="preserve">需求拆分 · 需求表 · 工时评估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一、项目概述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KA 商家从 Shopify 迁移至 Shopline，原使用 Parcelify: Shipping Rates 物流插件实现多维度自定义运费；Shopline 主站发货与配送功能及应用市场均无法满足该商家的运费配置需求，需通过「Shopline 承运商服务（Carrier Service）+ 自研运费规则引擎」定制开发一款可对标 Parcelify 的公共插件，并计划做成通用的公共应用。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二、系统流程图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整体按 Location（发货地点）→ Zone（配送区域）→ Shipping Rate（运费方案）→ Filters（过滤条件）四层模型设计，结账时由 SHOPLINE 通过 callback_url 实时请求运费方案。下图标注了各环节的开发归属：</w:t>
      </w:r>
    </w:p>
    <w:p>
      <w:pPr>
        <w:spacing w:after="200" w:before="120"/>
        <w:jc w:val="center"/>
      </w:pPr>
      <w:r>
        <w:drawing>
          <wp:inline distT="0" distB="0" distL="0" distR="0">
            <wp:extent cx="6219825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三、需求拆分与开发归属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3.1 业务需求拆分表（对应甲方需求文档 需求一 ~ 需求七）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366"/>
        <w:gridCol w:w="1800"/>
        <w:gridCol w:w="1700"/>
      </w:tblGrid>
      <w:tr>
        <w:trPr>
          <w:tblHeader/>
        </w:trPr>
        <w:tc>
          <w:tcPr>
            <w:tcW w:type="dxa" w:w="1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需求名称</w:t>
            </w:r>
          </w:p>
        </w:tc>
        <w:tc>
          <w:tcPr>
            <w:tcW w:type="dxa" w:w="4366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核心功能点说明</w:t>
            </w:r>
          </w:p>
        </w:tc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开发主体</w:t>
            </w:r>
          </w:p>
        </w:tc>
        <w:tc>
          <w:tcPr>
            <w:tcW w:type="dxa" w:w="17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预估工时(人天)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需求一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运费方案与发货地点独立关联</w:t>
            </w:r>
          </w:p>
        </w:tc>
        <w:tc>
          <w:tcPr>
            <w:tcW w:type="dxa" w:w="43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按发货地点（Location）分别关联独立的运费方案与规则体系，不同地点互不影响；结账时按订单发货地点自动匹配对应方案。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需求二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按发货地点配置运费区域（Zone）</w:t>
            </w:r>
          </w:p>
        </w:tc>
        <w:tc>
          <w:tcPr>
            <w:tcW w:type="dxa" w:w="43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每个 Location 下可独立添加、管理多个 Zone（配送区域），各区域国家/地区范围互不影响；运费方案由"全局配置"改为"按地点分组配置"。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运费方案多维度条件组合引擎</w:t>
            </w:r>
          </w:p>
        </w:tc>
        <w:tc>
          <w:tcPr>
            <w:tcW w:type="dxa" w:w="43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商品范围、重量范围、金额范围、客户范围、配送区域五类过滤条件可在单个运费方案中同时叠加，以 AND 逻辑组合，全部满足方案才生效。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自研（核心引擎）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需求四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商品范围过滤</w:t>
            </w:r>
          </w:p>
        </w:tc>
        <w:tc>
          <w:tcPr>
            <w:tcW w:type="dxa" w:w="43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按商品标签、分类、类型、SKU 四个维度匹配，均支持"指定"与"排除"；结账时遍历购物车商品属性判断，商品属性变更自动更新。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自研逻辑 + 对接 Shopline 商品数据接口</w:t>
            </w:r>
          </w:p>
        </w:tc>
        <w:tc>
          <w:tcPr>
            <w:tcW w:type="dxa" w:w="1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
（含对接 1 人天）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订单金额范围过滤（折扣前/折扣后）</w:t>
            </w:r>
          </w:p>
        </w:tc>
        <w:tc>
          <w:tcPr>
            <w:tcW w:type="dxa" w:w="43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新增折扣基准选择器，支持按 gross total（折扣前）或 net total（折扣后）两种基准判断金额区间。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需求六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客户范围过滤</w:t>
            </w:r>
          </w:p>
        </w:tc>
        <w:tc>
          <w:tcPr>
            <w:tcW w:type="dxa" w:w="43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按客户标签设置"指定"（Include）/"排除"（Exclude）；结账时读取当前登录客户标签匹配判断。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自研逻辑 + 对接 Shopline 客户数据接口</w:t>
            </w:r>
          </w:p>
        </w:tc>
        <w:tc>
          <w:tcPr>
            <w:tcW w:type="dxa" w:w="1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
（含对接 1 人天）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需求七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配送区域邮编过滤</w:t>
            </w:r>
          </w:p>
        </w:tc>
        <w:tc>
          <w:tcPr>
            <w:tcW w:type="dxa" w:w="43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 Zipcode/Postal Code 设置"指定/排除"，并支持 start with（前缀匹配）与 not start with（排除前缀）。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3.2 技术支撑任务分解表（承运商服务对接 / 引擎基础设施）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966"/>
        <w:gridCol w:w="1800"/>
        <w:gridCol w:w="1800"/>
      </w:tblGrid>
      <w:tr>
        <w:trPr>
          <w:tblHeader/>
        </w:trPr>
        <w:tc>
          <w:tcPr>
            <w:tcW w:type="dxa" w:w="7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3966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开发主体</w:t>
            </w:r>
          </w:p>
        </w:tc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预估工时(人天)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承运商服务生命周期对接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调用 Shopline 创建/更新/查询/列表/删除承运商服务接口，注册并维护 callback_url。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对接 Shopline API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callback_url 签名验证</w:t>
            </w:r>
          </w:p>
        </w:tc>
        <w:tc>
          <w:tcPr>
            <w:tcW w:type="dxa" w:w="39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 SHOPLINE Webhook 签名方法结合 HMAC-SHA256 对请求体验签，防止伪造请求；协议由 Shopline 规定，验签逻辑自研实现。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自研（遵循 Shopline 协议）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商品/客户数据聚合查询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使用 GraphQL 一次性查询商品标签/分类/类型/SKU 及客户 ID、标签，减少多次 REST 调用与网络 RTT。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对接 Shopline API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运费结果封装</w:t>
            </w:r>
          </w:p>
        </w:tc>
        <w:tc>
          <w:tcPr>
            <w:tcW w:type="dxa" w:w="39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 Shopline 规定格式组装 service_name、service_code、currency、total_price（分为单位）、shipping_discount 等返回字段。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规则与结果缓存机制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按发货地、收货地、币种、承运商服务 ID、重量、签名、客户等维度缓存运费规则与计算结果，应对 1500ms 响应超时限制，缓存 10 分钟自动失效。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2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商家后台配置管理界面</w:t>
            </w:r>
          </w:p>
        </w:tc>
        <w:tc>
          <w:tcPr>
            <w:tcW w:type="dxa" w:w="39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Location / Zone / Rate / Filters 四层级可视化配置与增删改查，多店铺数据隔离。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应用市场公共插件封装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插件安装/卸载生命周期、多租户配置隔离、上架素材（操作说明、隐私政策等）。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dxa" w:w="2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联调与压测</w:t>
            </w:r>
          </w:p>
        </w:tc>
        <w:tc>
          <w:tcPr>
            <w:tcW w:type="dxa" w:w="3966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结账页下单全链路联调、响应时间压测（确保 &lt; 1500ms）、异常与超时兜底处理。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 + 对接 Shopline 沙盒环境</w:t>
            </w:r>
          </w:p>
        </w:tc>
        <w:tc>
          <w:tcPr>
            <w:tcW w:type="dxa" w:w="18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技术方案设计与项目管理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架构设计评审、里程碑跟进与验收。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四、工时汇总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5233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预估工时（人天）</w:t>
            </w:r>
          </w:p>
        </w:tc>
      </w:tr>
      <w:tr>
        <w:tc>
          <w:tcPr>
            <w:tcW w:type="dxa" w:w="52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业务需求开发（需求一 ~ 需求七）</w:t>
            </w:r>
          </w:p>
        </w:tc>
        <w:tc>
          <w:tcPr>
            <w:tcW w:type="dxa" w:w="52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233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技术支撑任务（T1 ~ T9）</w:t>
            </w:r>
          </w:p>
        </w:tc>
        <w:tc>
          <w:tcPr>
            <w:tcW w:type="dxa" w:w="5233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233"/>
            <w:shd w:fill="FFE8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5233"/>
            <w:shd w:fill="FFE8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41</w:t>
            </w:r>
          </w:p>
        </w:tc>
      </w:tr>
    </w:tbl>
    <w:p>
      <w:pPr>
        <w:spacing w:after="160" w:before="1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说明：以上估算按 1 名熟悉 Shopline 生态的全栈开发人员计算，不含 UI 视觉设计、独立 QA 测试周期与需求变更缓冲；若安排 2 人并行开发，预计约 4~5 周可完成交付。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五、开发归属总览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5.1 我们自主开发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商家后台运费规则配置界面：Location / Zone / Rate / Filters 四层级管理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callback_url 请求签名验证（HMAC-SHA256）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规则与结果缓存策略，应对 1500ms 响应超时限制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五维度（商品 / 重量 / 金额 / 客户 / 配送区域）过滤与组合匹配核心引擎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运费计算结果字段封装（service_name / service_code / total_price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应用市场公共插件封装：多租户隔离、安装/卸载生命周期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5.2 对接 / 调用 Shopline 官方接口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承运商服务生命周期接口：创建 / 更新 / 查询 / 列表 / 删除 Carrier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callback_url 请求 / 响应协议（origin / destination / items / customer 等参数规范）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GraphQL 商品信息查询接口（products：标签 / 分类 / 类型 / SKU）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GraphQL 客户信息与标签查询接口（customer / customerSegmentMembership，如需分组能力）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5.3 由 Shopline 平台原生提供，无需开发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商家后台「设置 &gt; 发货与配送」运费方案勾选页面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客户结账页运费方案展示与下单流程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六、风险与建议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承运商服务接口响应超过约 1500ms 将触发超时，规则引擎需优先走缓存，复杂过滤逻辑建议提前预计算/索引化。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结账场景请求量大，建议按 Shopline 缓存命中维度（发货地/收货地/币种/服务ID/重量/签名/客户）设计自身缓存 Key，减少重复计算。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商品与客户数据建议使用 GraphQL 聚合查询一次性获取，避免多次 REST 请求叠加网络延迟。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需求四、需求六涉及调用 Shopline 商品/客户接口，存在外部依赖，建议在开发前确认 Open API / GraphQL 的调用频率限制（Rate Limit）。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9992c9226a12880df6563a9d2194888dd840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2026-08-24T01:48:52.553Z</dcterms:created>
  <dcterms:modified xsi:type="dcterms:W3CDTF">2026-08-24T01:48:52.553Z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