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【时代峰峻】</w:t>
      </w:r>
      <w:r>
        <w:rPr>
          <w:rFonts w:eastAsia="等线" w:ascii="Arial" w:cs="Arial" w:hAnsi="Arial"/>
          <w:b w:val="true"/>
          <w:sz w:val="52"/>
        </w:rPr>
        <w:t xml:space="preserve">发货前改地址 + 运费多退少补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一、核心功能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订单发货前支持用户在订单中修改收货地址</w:t>
      </w:r>
      <w:r>
        <w:rPr>
          <w:rFonts w:eastAsia="等线" w:ascii="Arial" w:cs="Arial" w:hAnsi="Arial"/>
          <w:b w:val="true"/>
          <w:sz w:val="32"/>
        </w:rPr>
        <w:t>，运费多退少补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32"/>
        <w:gridCol w:w="3347"/>
      </w:tblGrid>
      <w:tr>
        <w:tc>
          <w:tcPr>
            <w:tcW w:w="49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971800" cy="12477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71675" cy="12192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用户下单后，若订单状态为“未发货”，可在“用户中心-订单列表”中修改收货地址。系统将根据新地址重新计算运费，并按以下规则处理（</w:t>
      </w:r>
      <w:r>
        <w:rPr>
          <w:rFonts w:eastAsia="等线" w:ascii="Arial" w:cs="Arial" w:hAnsi="Arial"/>
          <w:b w:val="true"/>
          <w:sz w:val="22"/>
        </w:rPr>
        <w:t xml:space="preserve">注：若产生运费退款，每笔将固定收取 3 </w:t>
      </w:r>
      <w:r>
        <w:rPr>
          <w:rFonts w:eastAsia="等线" w:ascii="Arial" w:cs="Arial" w:hAnsi="Arial"/>
          <w:b w:val="true"/>
          <w:sz w:val="22"/>
        </w:rPr>
        <w:t>港币</w:t>
      </w:r>
      <w:r>
        <w:rPr>
          <w:rFonts w:eastAsia="等线" w:ascii="Arial" w:cs="Arial" w:hAnsi="Arial"/>
          <w:b w:val="true"/>
          <w:sz w:val="22"/>
        </w:rPr>
        <w:t>手续费</w:t>
      </w:r>
      <w:r>
        <w:rPr>
          <w:rFonts w:eastAsia="等线" w:ascii="Arial" w:cs="Arial" w:hAnsi="Arial"/>
          <w:sz w:val="22"/>
        </w:rPr>
        <w:t>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运费增加（原运费 &lt; 新运费）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系统核算出差价，系统弹窗提示差额，待用户补缴后，地址变更方可生效。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运费不变（原运费 = 新运费）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系统弹窗提示无需补缴，地址变更立即生效。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运费减少（原运费 &gt; 新运费）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计算应退净额 =（原运费 - 新运费）- 3 </w:t>
      </w:r>
      <w:r>
        <w:rPr>
          <w:rFonts w:eastAsia="等线" w:ascii="Arial" w:cs="Arial" w:hAnsi="Arial"/>
          <w:sz w:val="22"/>
        </w:rPr>
        <w:t>港币</w:t>
      </w:r>
      <w:r>
        <w:rPr>
          <w:rFonts w:eastAsia="等线" w:ascii="Arial" w:cs="Arial" w:hAnsi="Arial"/>
          <w:sz w:val="22"/>
        </w:rPr>
        <w:t>手续费：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净额 &gt; 0</w:t>
      </w:r>
      <w:r>
        <w:rPr>
          <w:rFonts w:eastAsia="等线" w:ascii="Arial" w:cs="Arial" w:hAnsi="Arial"/>
          <w:sz w:val="22"/>
        </w:rPr>
        <w:t>：弹窗明确告知扣费规则，用户点击“确认”后，地址立即生效，并同步发起退款；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净额 = 0</w:t>
      </w:r>
      <w:r>
        <w:rPr>
          <w:rFonts w:eastAsia="等线" w:ascii="Arial" w:cs="Arial" w:hAnsi="Arial"/>
          <w:sz w:val="22"/>
        </w:rPr>
        <w:t>：弹窗提示无需补缴，地址变更立即生效；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净额 &lt; 0</w:t>
      </w:r>
      <w:r>
        <w:rPr>
          <w:rFonts w:eastAsia="等线" w:ascii="Arial" w:cs="Arial" w:hAnsi="Arial"/>
          <w:sz w:val="22"/>
        </w:rPr>
        <w:t>：弹窗提示用户补缴该差额（即净额的绝对值），支付完成后地址变更生效。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注意事项：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1、手续费固定为港币，运费产生的差价也是港币（即店铺币种），不考虑其它币种。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2、用户更改地址次数无限制。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3、补款单超时未支付时，自动取消变更请求。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4、新地址国家/地区变更时，目前只考虑：①国内大陆→国内大陆；②香港/澳门→国内大陆。</w:t>
              <w:br/>
            </w:r>
            <w:r>
              <w:rPr>
                <w:rFonts w:eastAsia="等线" w:ascii="Arial" w:cs="Arial" w:hAnsi="Arial"/>
                <w:sz w:val="22"/>
              </w:rPr>
              <w:t>注：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改地址补邮费相关规则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5、收货地址变更成功后，需以邮件通知用户。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6、弹窗文案支持繁体中文即可。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7、商家在使用聚水潭的ERP系统，SHOPLINE已支付订单会自动同步至ERP。当订单在ERP中状态为“已发货”时，用户若在</w:t>
            </w:r>
            <w:r>
              <w:rPr>
                <w:rFonts w:eastAsia="等线" w:ascii="Arial" w:cs="Arial" w:hAnsi="Arial"/>
                <w:sz w:val="22"/>
              </w:rPr>
              <w:t>店铺C端</w:t>
            </w:r>
            <w:r>
              <w:rPr>
                <w:rFonts w:eastAsia="等线" w:ascii="Arial" w:cs="Arial" w:hAnsi="Arial"/>
                <w:sz w:val="22"/>
              </w:rPr>
              <w:t>会员中心提交地址变更申请并支付相应费用，ERP端不会对</w:t>
            </w:r>
            <w:r>
              <w:rPr>
                <w:rFonts w:eastAsia="等线" w:ascii="Arial" w:cs="Arial" w:hAnsi="Arial"/>
                <w:sz w:val="22"/>
              </w:rPr>
              <w:t>原始</w:t>
            </w:r>
            <w:r>
              <w:rPr>
                <w:rFonts w:eastAsia="等线" w:ascii="Arial" w:cs="Arial" w:hAnsi="Arial"/>
                <w:sz w:val="22"/>
              </w:rPr>
              <w:t>订单进行拦截—原因是已发货单据在ERP中处于锁定状态，系统中的订单状态不会发生变更。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新增需求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d83931"/>
                <w:sz w:val="22"/>
              </w:rPr>
              <w:t>8、需对接聚水潭ERP系统，当用户修改订单收货地址时，ERP系统需实时监听并同步该地址变更信息。但需注意，已发货的订单用户无法修改地址，因此该监听仅适用于未发货订单。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二、可行性方案（供参考）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在插件中配置运费计算规则，当用户更改地址后，插件需重新计算运费。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对于运费减少的退款，根据订单的运费金额进行处理，请求Shopline的退款接口来退款。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对于运费增加的情况，用额外一个订单去进行补充，加一个运费商品之类的草稿单让用户去支付，成功之后改原订单的地址。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三、三方开发者评估报价及工时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做成插件的形式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213">
    <w:lvl>
      <w:start w:val="1"/>
      <w:numFmt w:val="decimal"/>
      <w:suff w:val="tab"/>
      <w:lvlText w:val="%1."/>
      <w:rPr>
        <w:color w:val="3370ff"/>
      </w:rPr>
    </w:lvl>
  </w:abstractNum>
  <w:abstractNum w:abstractNumId="164214">
    <w:lvl>
      <w:start w:val="2"/>
      <w:numFmt w:val="decimal"/>
      <w:suff w:val="tab"/>
      <w:lvlText w:val="%1."/>
      <w:rPr>
        <w:color w:val="3370ff"/>
      </w:rPr>
    </w:lvl>
  </w:abstractNum>
  <w:abstractNum w:abstractNumId="164215">
    <w:lvl>
      <w:start w:val="3"/>
      <w:numFmt w:val="decimal"/>
      <w:suff w:val="tab"/>
      <w:lvlText w:val="%1."/>
      <w:rPr>
        <w:color w:val="3370ff"/>
      </w:rPr>
    </w:lvl>
  </w:abstractNum>
  <w:abstractNum w:abstractNumId="164216">
    <w:lvl>
      <w:numFmt w:val="bullet"/>
      <w:suff w:val="tab"/>
      <w:lvlText w:val="•"/>
      <w:rPr>
        <w:color w:val="3370ff"/>
      </w:rPr>
    </w:lvl>
  </w:abstractNum>
  <w:abstractNum w:abstractNumId="164217">
    <w:lvl>
      <w:numFmt w:val="bullet"/>
      <w:suff w:val="tab"/>
      <w:lvlText w:val="•"/>
      <w:rPr>
        <w:color w:val="3370ff"/>
      </w:rPr>
    </w:lvl>
  </w:abstractNum>
  <w:abstractNum w:abstractNumId="164218">
    <w:lvl>
      <w:numFmt w:val="bullet"/>
      <w:suff w:val="tab"/>
      <w:lvlText w:val="•"/>
      <w:rPr>
        <w:color w:val="3370ff"/>
      </w:rPr>
    </w:lvl>
  </w:abstractNum>
  <w:abstractNum w:abstractNumId="164219">
    <w:lvl>
      <w:start w:val="1"/>
      <w:numFmt w:val="decimal"/>
      <w:suff w:val="tab"/>
      <w:lvlText w:val="%1."/>
      <w:rPr>
        <w:color w:val="3370ff"/>
      </w:rPr>
    </w:lvl>
  </w:abstractNum>
  <w:abstractNum w:abstractNumId="164220">
    <w:lvl>
      <w:start w:val="2"/>
      <w:numFmt w:val="decimal"/>
      <w:suff w:val="tab"/>
      <w:lvlText w:val="%1."/>
      <w:rPr>
        <w:color w:val="3370ff"/>
      </w:rPr>
    </w:lvl>
  </w:abstractNum>
  <w:abstractNum w:abstractNumId="16422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64213"/>
  </w:num>
  <w:num w:numId="2">
    <w:abstractNumId w:val="164214"/>
  </w:num>
  <w:num w:numId="3">
    <w:abstractNumId w:val="164215"/>
  </w:num>
  <w:num w:numId="4">
    <w:abstractNumId w:val="164216"/>
  </w:num>
  <w:num w:numId="5">
    <w:abstractNumId w:val="164217"/>
  </w:num>
  <w:num w:numId="6">
    <w:abstractNumId w:val="164218"/>
  </w:num>
  <w:num w:numId="7">
    <w:abstractNumId w:val="164219"/>
  </w:num>
  <w:num w:numId="8">
    <w:abstractNumId w:val="164220"/>
  </w:num>
  <w:num w:numId="9">
    <w:abstractNumId w:val="1642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my.feishu.cn/wiki/YPgHwi1DeipPLZkTSI8cWmnznog?fromScene=spaceOverview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2026-08-31T08:36:00Z</dcterms:created>
  <dc:creator>Apache POI</dc:creator>
</cp:coreProperties>
</file>