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三方承运商服务自定义运费方案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整体方案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通过 </w:t>
      </w:r>
      <w:r>
        <w:rPr>
          <w:rFonts w:eastAsia="等线" w:ascii="Arial" w:cs="Arial" w:hAnsi="Arial"/>
          <w:b w:val="true"/>
          <w:sz w:val="22"/>
        </w:rPr>
        <w:t>SHOPLINE 承运商服务 + 运费规则引擎</w:t>
      </w:r>
      <w:r>
        <w:rPr>
          <w:rFonts w:eastAsia="等线" w:ascii="Arial" w:cs="Arial" w:hAnsi="Arial"/>
          <w:sz w:val="22"/>
        </w:rPr>
        <w:t xml:space="preserve"> 实现自定义运费计算。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客户结账</w:t>
              <w:br/>
              <w:t xml:space="preserve">   |</w:t>
              <w:br/>
              <w:t xml:space="preserve">   v</w:t>
              <w:br/>
              <w:t>SHOPLINE</w:t>
              <w:br/>
              <w:t xml:space="preserve">   |</w:t>
              <w:br/>
              <w:t xml:space="preserve">   | callback_url 请求运费</w:t>
              <w:br/>
              <w:t xml:space="preserve">   v</w:t>
              <w:br/>
              <w:t>承运商服务插件</w:t>
              <w:br/>
              <w:t xml:space="preserve">   |</w:t>
              <w:br/>
              <w:t xml:space="preserve">   | 获取商品/客户扩展信息</w:t>
              <w:br/>
              <w:t xml:space="preserve">   v</w:t>
              <w:br/>
              <w:t>规则引擎匹配</w:t>
              <w:br/>
              <w:t xml:space="preserve">   |</w:t>
              <w:br/>
              <w:t xml:space="preserve">   v</w:t>
              <w:br/>
            </w:r>
            <w:r>
              <w:rPr>
                <w:rFonts w:eastAsia="Consolas" w:ascii="Consolas" w:cs="Consolas" w:hAnsi="Consolas"/>
                <w:sz w:val="22"/>
              </w:rPr>
              <w:t>返回运费方案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SHOPLINE 承运商服务会向 </w:t>
      </w:r>
      <w:r>
        <w:rPr>
          <w:rFonts w:eastAsia="Consolas" w:ascii="Consolas" w:cs="Consolas" w:hAnsi="Consolas"/>
          <w:sz w:val="22"/>
          <w:shd w:fill="EFF0F1"/>
        </w:rPr>
        <w:t>callback_url</w:t>
      </w:r>
      <w:r>
        <w:rPr>
          <w:rFonts w:eastAsia="等线" w:ascii="Arial" w:cs="Arial" w:hAnsi="Arial"/>
          <w:sz w:val="22"/>
        </w:rPr>
        <w:t xml:space="preserve"> 推送发货地、收货地、商品、客户等信息，用于实时计算运费。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运费规则模型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Location（发货地点）</w:t>
              <w:br/>
              <w:t xml:space="preserve">    |</w:t>
              <w:br/>
              <w:t xml:space="preserve">    └── Zone（配送区域）</w:t>
              <w:br/>
              <w:t xml:space="preserve">            |</w:t>
              <w:br/>
              <w:t xml:space="preserve">            └── Shipping Rate（运费方案）</w:t>
              <w:br/>
              <w:t xml:space="preserve">                    |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└── Filters（匹配条件）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配置能力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Location（发货地点）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支持多仓分别配置：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US Warehouse</w:t>
              <w:br/>
              <w:t>UK Warehouse</w:t>
              <w:br/>
            </w:r>
            <w:r>
              <w:rPr>
                <w:rFonts w:eastAsia="Consolas" w:ascii="Consolas" w:cs="Consolas" w:hAnsi="Consolas"/>
                <w:sz w:val="22"/>
              </w:rPr>
              <w:t>EU Warehouse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每个仓库独立维护运费规则。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Zone（配送区域）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 Location 下配置配送范围：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US Warehouse</w:t>
              <w:br/>
              <w:br/>
              <w:t xml:space="preserve"> ├── North America</w:t>
              <w:br/>
              <w:t xml:space="preserve"> ├── Canada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└── Mexico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国家/地区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Zipcode / Postal Code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前缀匹配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排除匹配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Shipping Rate（运费方案）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Standard Shipping</w:t>
              <w:br/>
              <w:t>Express Shipping</w:t>
              <w:br/>
            </w:r>
            <w:r>
              <w:rPr>
                <w:rFonts w:eastAsia="Consolas" w:ascii="Consolas" w:cs="Consolas" w:hAnsi="Consolas"/>
                <w:sz w:val="22"/>
              </w:rPr>
              <w:t>Free Shipping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返回给 SHOPLINE：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服务名称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服务编码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运费金额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SHOPLINE 返回结构支持 </w:t>
      </w:r>
      <w:r>
        <w:rPr>
          <w:rFonts w:eastAsia="Consolas" w:ascii="Consolas" w:cs="Consolas" w:hAnsi="Consolas"/>
          <w:sz w:val="22"/>
          <w:shd w:fill="EFF0F1"/>
        </w:rPr>
        <w:t>service_name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service_code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currency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total_price</w:t>
      </w:r>
      <w:r>
        <w:rPr>
          <w:rFonts w:eastAsia="等线" w:ascii="Arial" w:cs="Arial" w:hAnsi="Arial"/>
          <w:sz w:val="22"/>
        </w:rPr>
        <w:t xml:space="preserve"> 等字段。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Filter 条件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支持以下维度组合：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商品条件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商品标签 Tag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商品分类 Collection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商品类型 Product Type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SKU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Vendor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指定 Include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排除 Exclude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商品基础信息通过 OPEN API 获取。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重量条件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根据订单商品重量计算：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订单重量 = 商品重量 × 数量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0-2kg</w:t>
              <w:br/>
              <w:t>2-5kg</w:t>
              <w:br/>
            </w:r>
            <w:r>
              <w:rPr>
                <w:rFonts w:eastAsia="Consolas" w:ascii="Consolas" w:cs="Consolas" w:hAnsi="Consolas"/>
                <w:sz w:val="22"/>
              </w:rPr>
              <w:t>5kg+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金额条件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折扣前金额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折扣后金额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订单金额 &gt; $100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SHOPLINE items 中同时提供商品价格及 </w:t>
      </w:r>
      <w:r>
        <w:rPr>
          <w:rFonts w:eastAsia="等线" w:ascii="Arial" w:cs="Arial" w:hAnsi="Arial"/>
          <w:b w:val="true"/>
          <w:sz w:val="22"/>
        </w:rPr>
        <w:t>selling_price</w:t>
      </w:r>
      <w:r>
        <w:rPr>
          <w:rFonts w:eastAsia="等线" w:ascii="Arial" w:cs="Arial" w:hAnsi="Arial"/>
          <w:sz w:val="22"/>
        </w:rPr>
        <w:t xml:space="preserve"> 信息，可用于区分折扣前后金额。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客户条件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 Tag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指定客户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排除客户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客户信息通过 OPEN API 获取。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配送区域条件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Zipcode:</w:t>
              <w:br/>
              <w:t>100*</w:t>
              <w:br/>
              <w:br/>
              <w:t>NOT START WITH:</w:t>
              <w:br/>
            </w:r>
            <w:r>
              <w:rPr>
                <w:rFonts w:eastAsia="Consolas" w:ascii="Consolas" w:cs="Consolas" w:hAnsi="Consolas"/>
                <w:sz w:val="22"/>
              </w:rPr>
              <w:t>999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运费计算流程</w:t>
      </w:r>
      <w:bookmarkEnd w:id="12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SHOPLINE 调用承运商服务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请求包含：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origin</w:t>
              <w:br/>
              <w:t>destination</w:t>
              <w:br/>
              <w:t>items</w:t>
              <w:br/>
            </w:r>
            <w:r>
              <w:rPr>
                <w:rFonts w:eastAsia="Consolas" w:ascii="Consolas" w:cs="Consolas" w:hAnsi="Consolas"/>
                <w:sz w:val="22"/>
              </w:rPr>
              <w:t>customer</w:t>
            </w:r>
          </w:p>
        </w:tc>
      </w:tr>
    </w:tbl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服务解析：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发货地</w:t>
              <w:br/>
              <w:t xml:space="preserve"> ↓</w:t>
              <w:br/>
              <w:t>配送区域</w:t>
              <w:br/>
              <w:t xml:space="preserve"> ↓</w:t>
              <w:br/>
              <w:t>运费规则</w:t>
              <w:br/>
              <w:t xml:space="preserve"> ↓</w:t>
              <w:br/>
            </w:r>
            <w:r>
              <w:rPr>
                <w:rFonts w:eastAsia="Consolas" w:ascii="Consolas" w:cs="Consolas" w:hAnsi="Consolas"/>
                <w:sz w:val="22"/>
              </w:rPr>
              <w:t>Filter匹配</w:t>
            </w:r>
          </w:p>
        </w:tc>
      </w:tr>
    </w:tbl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返回匹配的 Shipping Rate。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建议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需注意 SHOPLINE 承运商接口响应时效要求，接口响应超过约 1500ms 会触发超时。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color w:val="3370ff"/>
          <w:sz w:val="28"/>
        </w:rPr>
        <w:t xml:space="preserve">6.1 </w:t>
      </w:r>
      <w:r>
        <w:rPr>
          <w:rFonts w:eastAsia="等线" w:ascii="Arial" w:cs="Arial" w:hAnsi="Arial"/>
          <w:b w:val="true"/>
          <w:sz w:val="28"/>
        </w:rPr>
        <w:t>运费规则缓存优化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建议避免每次请求实时查询运费规则，采用缓存机制提升响应速度。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优化方案：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将运费规则（如商品范围、用户标签、客户分组、地区限制、重量区间、金额区间等）提前加载并缓存。 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承运商接口请求时： 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优先读取缓存中的规则数据； 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根据订单上下文快速匹配运费规则； 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返回计算结果。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color w:val="3370ff"/>
          <w:sz w:val="28"/>
        </w:rPr>
        <w:t xml:space="preserve">6.2 </w:t>
      </w:r>
      <w:r>
        <w:rPr>
          <w:rFonts w:eastAsia="等线" w:ascii="Arial" w:cs="Arial" w:hAnsi="Arial"/>
          <w:b w:val="true"/>
          <w:sz w:val="28"/>
        </w:rPr>
        <w:t>使用 SHOPLINE GraphQL API 聚合查询，减少请求次数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建议使用 SHOPLINE GraphQL API 替代多个 REST API 调用。减少网络 RTT（Round Trip Time），降低接口整体耗时。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原因： </w:t>
      </w:r>
      <w:r>
        <w:rPr>
          <w:rFonts w:eastAsia="等线" w:ascii="Arial" w:cs="Arial" w:hAnsi="Arial"/>
          <w:sz w:val="22"/>
        </w:rPr>
        <w:t xml:space="preserve">一次 GraphQL 请求可以同时获取： 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商品信息； 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用户信息； 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用户标签； 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用户分组关系。 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products 可查询到商品标签，分类，类型变体等信息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customer 可查询到用户 ID 及 Tag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customerSegmentMembership 可用来判断用户是否属于某个分组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GraphQL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query MyQuery {</w:t>
              <w:br/>
              <w:t xml:space="preserve">  products(query: "id:'16076402884300274908842600' OR id:'16073376169746403557322600'" , first: 10) {</w:t>
              <w:br/>
              <w:t xml:space="preserve">    edges {</w:t>
              <w:br/>
              <w:t xml:space="preserve">      node {</w:t>
              <w:br/>
              <w:t xml:space="preserve">        ...</w:t>
              <w:br/>
              <w:t xml:space="preserve">        title</w:t>
              <w:br/>
              <w:t xml:space="preserve">        id</w:t>
              <w:br/>
              <w:t xml:space="preserve">        handle</w:t>
              <w:br/>
              <w:t xml:space="preserve">        ...</w:t>
              <w:br/>
              <w:t xml:space="preserve">      }</w:t>
              <w:br/>
              <w:t xml:space="preserve">    }</w:t>
              <w:br/>
              <w:t xml:space="preserve">  }</w:t>
              <w:br/>
              <w:t xml:space="preserve">  customer(id: "gid://shopline/Customer/2774771751") {</w:t>
              <w:br/>
              <w:t xml:space="preserve">    id</w:t>
              <w:br/>
              <w:t xml:space="preserve">    tags</w:t>
              <w:br/>
              <w:t xml:space="preserve">  }</w:t>
              <w:br/>
              <w:t xml:space="preserve">  customerSegmentMembership(customerId:"gid://shopline/Customer/2774771751", segmentIds:["gid://shopline/Segment/GROUP6263607983794035520","gid://shopline/Segment/GROUP6260749493660558176","gid://shopline/Segment/GROUP5582449354143719745"]) {</w:t>
              <w:br/>
              <w:t xml:space="preserve">    memberships {</w:t>
              <w:br/>
              <w:t xml:space="preserve">        isMember</w:t>
              <w:br/>
              <w:t xml:space="preserve">        segmentId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参考文档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https://developer.shopline.com/zh-hans-cn/docs/apps/api-instructions-for-use/graph-ql-admin-api/overview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https://developer.shopline.com/zh-hans-cn/docs/admin-graph-ql-api/customers/queries/customer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https://developer.shopline.com/zh-hans-cn/docs/admin-graph-ql-api/products-and-collections/queries/product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https://developer.shopline.com/zh-hans-cn/docs/admin-rest-api/order/shipping-and-fulfillment/carrier-service/create-a-new-carrier-service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https://developer.shopline.com/zh-hans-cn/docs/admin-graph-ql-api/customers/queries/customer-segment-membership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00110">
    <w:lvl>
      <w:numFmt w:val="bullet"/>
      <w:suff w:val="tab"/>
      <w:lvlText w:val="•"/>
      <w:rPr>
        <w:color w:val="3370ff"/>
      </w:rPr>
    </w:lvl>
  </w:abstractNum>
  <w:abstractNum w:abstractNumId="600111">
    <w:lvl>
      <w:numFmt w:val="bullet"/>
      <w:suff w:val="tab"/>
      <w:lvlText w:val="•"/>
      <w:rPr>
        <w:color w:val="3370ff"/>
      </w:rPr>
    </w:lvl>
  </w:abstractNum>
  <w:abstractNum w:abstractNumId="600112">
    <w:lvl>
      <w:numFmt w:val="bullet"/>
      <w:suff w:val="tab"/>
      <w:lvlText w:val="•"/>
      <w:rPr>
        <w:color w:val="3370ff"/>
      </w:rPr>
    </w:lvl>
  </w:abstractNum>
  <w:abstractNum w:abstractNumId="600113">
    <w:lvl>
      <w:numFmt w:val="bullet"/>
      <w:suff w:val="tab"/>
      <w:lvlText w:val="•"/>
      <w:rPr>
        <w:color w:val="3370ff"/>
      </w:rPr>
    </w:lvl>
  </w:abstractNum>
  <w:abstractNum w:abstractNumId="600114">
    <w:lvl>
      <w:numFmt w:val="bullet"/>
      <w:suff w:val="tab"/>
      <w:lvlText w:val="•"/>
      <w:rPr>
        <w:color w:val="3370ff"/>
      </w:rPr>
    </w:lvl>
  </w:abstractNum>
  <w:abstractNum w:abstractNumId="600115">
    <w:lvl>
      <w:numFmt w:val="bullet"/>
      <w:suff w:val="tab"/>
      <w:lvlText w:val="•"/>
      <w:rPr>
        <w:color w:val="3370ff"/>
      </w:rPr>
    </w:lvl>
  </w:abstractNum>
  <w:abstractNum w:abstractNumId="600116">
    <w:lvl>
      <w:numFmt w:val="bullet"/>
      <w:suff w:val="tab"/>
      <w:lvlText w:val="•"/>
      <w:rPr>
        <w:color w:val="3370ff"/>
      </w:rPr>
    </w:lvl>
  </w:abstractNum>
  <w:abstractNum w:abstractNumId="600117">
    <w:lvl>
      <w:numFmt w:val="bullet"/>
      <w:suff w:val="tab"/>
      <w:lvlText w:val="•"/>
      <w:rPr>
        <w:color w:val="3370ff"/>
      </w:rPr>
    </w:lvl>
  </w:abstractNum>
  <w:abstractNum w:abstractNumId="600118">
    <w:lvl>
      <w:numFmt w:val="bullet"/>
      <w:suff w:val="tab"/>
      <w:lvlText w:val="•"/>
      <w:rPr>
        <w:color w:val="3370ff"/>
      </w:rPr>
    </w:lvl>
  </w:abstractNum>
  <w:abstractNum w:abstractNumId="600119">
    <w:lvl>
      <w:numFmt w:val="bullet"/>
      <w:suff w:val="tab"/>
      <w:lvlText w:val="•"/>
      <w:rPr>
        <w:color w:val="3370ff"/>
      </w:rPr>
    </w:lvl>
  </w:abstractNum>
  <w:abstractNum w:abstractNumId="600120">
    <w:lvl>
      <w:numFmt w:val="bullet"/>
      <w:suff w:val="tab"/>
      <w:lvlText w:val="•"/>
      <w:rPr>
        <w:color w:val="3370ff"/>
      </w:rPr>
    </w:lvl>
  </w:abstractNum>
  <w:abstractNum w:abstractNumId="600121">
    <w:lvl>
      <w:numFmt w:val="bullet"/>
      <w:suff w:val="tab"/>
      <w:lvlText w:val="•"/>
      <w:rPr>
        <w:color w:val="3370ff"/>
      </w:rPr>
    </w:lvl>
  </w:abstractNum>
  <w:abstractNum w:abstractNumId="600122">
    <w:lvl>
      <w:numFmt w:val="bullet"/>
      <w:suff w:val="tab"/>
      <w:lvlText w:val="•"/>
      <w:rPr>
        <w:color w:val="3370ff"/>
      </w:rPr>
    </w:lvl>
  </w:abstractNum>
  <w:abstractNum w:abstractNumId="600123">
    <w:lvl>
      <w:numFmt w:val="bullet"/>
      <w:suff w:val="tab"/>
      <w:lvlText w:val="•"/>
      <w:rPr>
        <w:color w:val="3370ff"/>
      </w:rPr>
    </w:lvl>
  </w:abstractNum>
  <w:abstractNum w:abstractNumId="600124">
    <w:lvl>
      <w:numFmt w:val="bullet"/>
      <w:suff w:val="tab"/>
      <w:lvlText w:val="•"/>
      <w:rPr>
        <w:color w:val="3370ff"/>
      </w:rPr>
    </w:lvl>
  </w:abstractNum>
  <w:abstractNum w:abstractNumId="600125">
    <w:lvl>
      <w:numFmt w:val="bullet"/>
      <w:suff w:val="tab"/>
      <w:lvlText w:val="•"/>
      <w:rPr>
        <w:color w:val="3370ff"/>
      </w:rPr>
    </w:lvl>
  </w:abstractNum>
  <w:abstractNum w:abstractNumId="600126">
    <w:lvl>
      <w:numFmt w:val="bullet"/>
      <w:suff w:val="tab"/>
      <w:lvlText w:val="•"/>
      <w:rPr>
        <w:color w:val="3370ff"/>
      </w:rPr>
    </w:lvl>
  </w:abstractNum>
  <w:abstractNum w:abstractNumId="600127">
    <w:lvl>
      <w:numFmt w:val="bullet"/>
      <w:suff w:val="tab"/>
      <w:lvlText w:val="•"/>
      <w:rPr>
        <w:color w:val="3370ff"/>
      </w:rPr>
    </w:lvl>
  </w:abstractNum>
  <w:abstractNum w:abstractNumId="600128">
    <w:lvl>
      <w:numFmt w:val="bullet"/>
      <w:suff w:val="tab"/>
      <w:lvlText w:val="•"/>
      <w:rPr>
        <w:color w:val="3370ff"/>
      </w:rPr>
    </w:lvl>
  </w:abstractNum>
  <w:abstractNum w:abstractNumId="600129">
    <w:lvl>
      <w:start w:val="1"/>
      <w:numFmt w:val="decimal"/>
      <w:suff w:val="tab"/>
      <w:lvlText w:val="%1."/>
      <w:rPr>
        <w:color w:val="3370ff"/>
      </w:rPr>
    </w:lvl>
  </w:abstractNum>
  <w:abstractNum w:abstractNumId="600130">
    <w:lvl>
      <w:start w:val="2"/>
      <w:numFmt w:val="decimal"/>
      <w:suff w:val="tab"/>
      <w:lvlText w:val="%1."/>
      <w:rPr>
        <w:color w:val="3370ff"/>
      </w:rPr>
    </w:lvl>
  </w:abstractNum>
  <w:abstractNum w:abstractNumId="600131">
    <w:lvl>
      <w:start w:val="3"/>
      <w:numFmt w:val="decimal"/>
      <w:suff w:val="tab"/>
      <w:lvlText w:val="%1."/>
      <w:rPr>
        <w:color w:val="3370ff"/>
      </w:rPr>
    </w:lvl>
  </w:abstractNum>
  <w:abstractNum w:abstractNumId="600132">
    <w:lvl>
      <w:numFmt w:val="bullet"/>
      <w:suff w:val="tab"/>
      <w:lvlText w:val="•"/>
      <w:rPr>
        <w:color w:val="3370ff"/>
      </w:rPr>
    </w:lvl>
  </w:abstractNum>
  <w:abstractNum w:abstractNumId="600133">
    <w:lvl>
      <w:numFmt w:val="bullet"/>
      <w:suff w:val="tab"/>
      <w:lvlText w:val="•"/>
      <w:rPr>
        <w:color w:val="3370ff"/>
      </w:rPr>
    </w:lvl>
  </w:abstractNum>
  <w:abstractNum w:abstractNumId="600134">
    <w:lvl>
      <w:start w:val="249"/>
      <w:numFmt w:val="lowerLetter"/>
      <w:suff w:val="tab"/>
      <w:lvlText w:val="%1."/>
      <w:rPr>
        <w:color w:val="3370ff"/>
      </w:rPr>
    </w:lvl>
  </w:abstractNum>
  <w:abstractNum w:abstractNumId="600135">
    <w:lvl>
      <w:start w:val="250"/>
      <w:numFmt w:val="lowerLetter"/>
      <w:suff w:val="tab"/>
      <w:lvlText w:val="%1."/>
      <w:rPr>
        <w:color w:val="3370ff"/>
      </w:rPr>
    </w:lvl>
  </w:abstractNum>
  <w:abstractNum w:abstractNumId="600136">
    <w:lvl>
      <w:start w:val="251"/>
      <w:numFmt w:val="lowerLetter"/>
      <w:suff w:val="tab"/>
      <w:lvlText w:val="%1."/>
      <w:rPr>
        <w:color w:val="3370ff"/>
      </w:rPr>
    </w:lvl>
  </w:abstractNum>
  <w:abstractNum w:abstractNumId="600137">
    <w:lvl>
      <w:numFmt w:val="bullet"/>
      <w:suff w:val="tab"/>
      <w:lvlText w:val="•"/>
      <w:rPr>
        <w:color w:val="3370ff"/>
      </w:rPr>
    </w:lvl>
  </w:abstractNum>
  <w:abstractNum w:abstractNumId="600138">
    <w:lvl>
      <w:numFmt w:val="bullet"/>
      <w:suff w:val="tab"/>
      <w:lvlText w:val="￮"/>
      <w:rPr>
        <w:color w:val="3370ff"/>
      </w:rPr>
    </w:lvl>
  </w:abstractNum>
  <w:abstractNum w:abstractNumId="600139">
    <w:lvl>
      <w:numFmt w:val="bullet"/>
      <w:suff w:val="tab"/>
      <w:lvlText w:val="￮"/>
      <w:rPr>
        <w:color w:val="3370ff"/>
      </w:rPr>
    </w:lvl>
  </w:abstractNum>
  <w:abstractNum w:abstractNumId="600140">
    <w:lvl>
      <w:numFmt w:val="bullet"/>
      <w:suff w:val="tab"/>
      <w:lvlText w:val="￮"/>
      <w:rPr>
        <w:color w:val="3370ff"/>
      </w:rPr>
    </w:lvl>
  </w:abstractNum>
  <w:abstractNum w:abstractNumId="600141">
    <w:lvl>
      <w:numFmt w:val="bullet"/>
      <w:suff w:val="tab"/>
      <w:lvlText w:val="￮"/>
      <w:rPr>
        <w:color w:val="3370ff"/>
      </w:rPr>
    </w:lvl>
  </w:abstractNum>
  <w:abstractNum w:abstractNumId="600142">
    <w:lvl>
      <w:numFmt w:val="bullet"/>
      <w:suff w:val="tab"/>
      <w:lvlText w:val="•"/>
      <w:rPr>
        <w:color w:val="3370ff"/>
      </w:rPr>
    </w:lvl>
  </w:abstractNum>
  <w:abstractNum w:abstractNumId="600143">
    <w:lvl>
      <w:numFmt w:val="bullet"/>
      <w:suff w:val="tab"/>
      <w:lvlText w:val="￮"/>
      <w:rPr>
        <w:color w:val="3370ff"/>
      </w:rPr>
    </w:lvl>
  </w:abstractNum>
  <w:abstractNum w:abstractNumId="600144">
    <w:lvl>
      <w:numFmt w:val="bullet"/>
      <w:suff w:val="tab"/>
      <w:lvlText w:val="￮"/>
      <w:rPr>
        <w:color w:val="3370ff"/>
      </w:rPr>
    </w:lvl>
  </w:abstractNum>
  <w:abstractNum w:abstractNumId="600145">
    <w:lvl>
      <w:numFmt w:val="bullet"/>
      <w:suff w:val="tab"/>
      <w:lvlText w:val="￮"/>
      <w:rPr>
        <w:color w:val="3370ff"/>
      </w:rPr>
    </w:lvl>
  </w:abstractNum>
  <w:num w:numId="1">
    <w:abstractNumId w:val="600110"/>
  </w:num>
  <w:num w:numId="2">
    <w:abstractNumId w:val="600111"/>
  </w:num>
  <w:num w:numId="3">
    <w:abstractNumId w:val="600112"/>
  </w:num>
  <w:num w:numId="4">
    <w:abstractNumId w:val="600113"/>
  </w:num>
  <w:num w:numId="5">
    <w:abstractNumId w:val="600114"/>
  </w:num>
  <w:num w:numId="6">
    <w:abstractNumId w:val="600115"/>
  </w:num>
  <w:num w:numId="7">
    <w:abstractNumId w:val="600116"/>
  </w:num>
  <w:num w:numId="8">
    <w:abstractNumId w:val="600117"/>
  </w:num>
  <w:num w:numId="9">
    <w:abstractNumId w:val="600118"/>
  </w:num>
  <w:num w:numId="10">
    <w:abstractNumId w:val="600119"/>
  </w:num>
  <w:num w:numId="11">
    <w:abstractNumId w:val="600120"/>
  </w:num>
  <w:num w:numId="12">
    <w:abstractNumId w:val="600121"/>
  </w:num>
  <w:num w:numId="13">
    <w:abstractNumId w:val="600122"/>
  </w:num>
  <w:num w:numId="14">
    <w:abstractNumId w:val="600123"/>
  </w:num>
  <w:num w:numId="15">
    <w:abstractNumId w:val="600124"/>
  </w:num>
  <w:num w:numId="16">
    <w:abstractNumId w:val="600125"/>
  </w:num>
  <w:num w:numId="17">
    <w:abstractNumId w:val="600126"/>
  </w:num>
  <w:num w:numId="18">
    <w:abstractNumId w:val="600127"/>
  </w:num>
  <w:num w:numId="19">
    <w:abstractNumId w:val="600128"/>
  </w:num>
  <w:num w:numId="20">
    <w:abstractNumId w:val="600129"/>
  </w:num>
  <w:num w:numId="21">
    <w:abstractNumId w:val="600130"/>
  </w:num>
  <w:num w:numId="22">
    <w:abstractNumId w:val="600131"/>
  </w:num>
  <w:num w:numId="23">
    <w:abstractNumId w:val="600132"/>
  </w:num>
  <w:num w:numId="24">
    <w:abstractNumId w:val="600133"/>
  </w:num>
  <w:num w:numId="25">
    <w:abstractNumId w:val="600134"/>
  </w:num>
  <w:num w:numId="26">
    <w:abstractNumId w:val="600135"/>
  </w:num>
  <w:num w:numId="27">
    <w:abstractNumId w:val="600136"/>
  </w:num>
  <w:num w:numId="28">
    <w:abstractNumId w:val="600137"/>
  </w:num>
  <w:num w:numId="29">
    <w:abstractNumId w:val="600138"/>
  </w:num>
  <w:num w:numId="30">
    <w:abstractNumId w:val="600139"/>
  </w:num>
  <w:num w:numId="31">
    <w:abstractNumId w:val="600140"/>
  </w:num>
  <w:num w:numId="32">
    <w:abstractNumId w:val="600141"/>
  </w:num>
  <w:num w:numId="33">
    <w:abstractNumId w:val="600142"/>
  </w:num>
  <w:num w:numId="34">
    <w:abstractNumId w:val="600143"/>
  </w:num>
  <w:num w:numId="35">
    <w:abstractNumId w:val="600144"/>
  </w:num>
  <w:num w:numId="36">
    <w:abstractNumId w:val="60014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2026-08-24T01:41:58Z</dcterms:created>
  <dc:creator>Apache POI</dc:creator>
</cp:coreProperties>
</file>