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【杰西亚】商品套装及其他新增需求文档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一、核心功能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1、商品套装插件开发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2、商品套装插件兼容SL限时促销价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3、商品API支持返回是否为套装商品，以及套装子商品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4、C端个人中心页，套装订单的「Buy again」需加购套装主商品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5、C端个人中心-订单详情页中，需展示套装商品与子商品的关联关系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6、Extend插件兼容商品套装插件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二、功能描述</w:t>
      </w:r>
      <w:bookmarkEnd w:id="1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Cart Flex Function开发文档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https://docs.google.com/document/d/1RAGyfFJRm2FFCXRh00WBoUVkesYvh_9godMon7yASVs/edit?usp=sharing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注：开发商品套装插件会用到SL Cart Flex Function相关能力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1、商品套装插件功能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操作流程： 在商品管理中，添加商品 → 将该商品设置为套装 → 添加套装的组成款式并开启使用。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支持将 SPU/SKU 设置为套装商品，套餐商品支持按 SKU 维度设置（P0级）</w:t>
      </w:r>
      <w:bookmarkEnd w:id="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199"/>
        <w:gridCol w:w="2550"/>
        <w:gridCol w:w="2530"/>
      </w:tblGrid>
      <w:tr>
        <w:tc>
          <w:tcPr>
            <w:tcW w:w="31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76425" cy="8667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66850" cy="8477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47800" cy="8477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选择商品/款式时，支持按商品名称、商品分类、标签等条件搜索，搜索条件可重置（P0级）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支持配置套餐内商品的组合数量及套装价格</w:t>
      </w:r>
      <w:r>
        <w:rPr>
          <w:rFonts w:eastAsia="等线" w:ascii="Arial" w:cs="Arial" w:hAnsi="Arial"/>
          <w:b w:val="true"/>
          <w:sz w:val="28"/>
        </w:rPr>
        <w:t>，配置页面需显示款式名称、SKU编码；支持删除已添加的款式</w:t>
      </w:r>
      <w:r>
        <w:rPr>
          <w:rFonts w:eastAsia="等线" w:ascii="Arial" w:cs="Arial" w:hAnsi="Arial"/>
          <w:b w:val="true"/>
          <w:sz w:val="28"/>
        </w:rPr>
        <w:t>（P0级）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套装库存支持手动和自动管理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支持手动填写套装库存数量，并可开启库存追踪，缺货后仍可继续销售；同时支持按不同地点配置库存数量，各地点库存将关联至套装商品库存（P0级）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181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支持根据单品的数量计算可组合套装的最多数量，同时支持选择一个用于计算套餐的运费的地点（P1级）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部分子商品开启缺货后继续售卖</w:t>
      </w:r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  <w:t>，套装可自动计算出套装数量并销售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现状：</w:t>
      </w:r>
      <w:r>
        <w:rPr>
          <w:rFonts w:eastAsia="等线" w:ascii="Arial" w:cs="Arial" w:hAnsi="Arial"/>
          <w:sz w:val="22"/>
        </w:rPr>
        <w:t>目前只有子商品在全部开启缺货后继续销售之后才可以购买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销售地点支持地点多选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现状：目前只支持地点单选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486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套装列表管理（P0级）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在套装列表中，商家可查看已配置的套装信息，并支持开启、关闭或删除；同时，也可对未配置的SKU进行套装信息配置。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数据分析看板（P0级）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销售数据模块：日期范围筛选、订单量、销售额、趋势折线图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转化数据模块：转化率总览、访问客户数、加购客户数、下单客户数及对应百分比。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注：销售数据仅包含通过商品套装插件销售的订单，剔除未支付，退款等类型订单。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6"/>
        <w:gridCol w:w="4133"/>
      </w:tblGrid>
      <w:tr>
        <w:tc>
          <w:tcPr>
            <w:tcW w:w="414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0858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08585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C端场景示例（P0级）</w:t>
      </w:r>
      <w:bookmarkEnd w:id="9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221"/>
        <w:gridCol w:w="2832"/>
        <w:gridCol w:w="2225"/>
      </w:tblGrid>
      <w:tr>
        <w:tc>
          <w:tcPr>
            <w:tcW w:w="322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85950" cy="9048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38300" cy="89535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57300" cy="8763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2、商品套装插件兼容SL限时促销价（P0级）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B端/C端订单中套装子商品的价格需按照【套装价格*子商品限时促销价格占比】均摊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变更前逻辑（当前系统）</w:t>
      </w:r>
      <w:r>
        <w:rPr>
          <w:rFonts w:eastAsia="等线" w:ascii="Arial" w:cs="Arial" w:hAnsi="Arial"/>
          <w:sz w:val="22"/>
        </w:rPr>
        <w:t>： 子商品分摊价格 = 套装实付总价 ×（该子商品</w:t>
      </w:r>
      <w:r>
        <w:rPr>
          <w:rFonts w:eastAsia="等线" w:ascii="Arial" w:cs="Arial" w:hAnsi="Arial"/>
          <w:b w:val="true"/>
          <w:sz w:val="22"/>
        </w:rPr>
        <w:t>常规售价</w:t>
      </w:r>
      <w:r>
        <w:rPr>
          <w:rFonts w:eastAsia="等线" w:ascii="Arial" w:cs="Arial" w:hAnsi="Arial"/>
          <w:sz w:val="22"/>
        </w:rPr>
        <w:t xml:space="preserve"> / 套装内所有子商品</w:t>
      </w:r>
      <w:r>
        <w:rPr>
          <w:rFonts w:eastAsia="等线" w:ascii="Arial" w:cs="Arial" w:hAnsi="Arial"/>
          <w:b w:val="true"/>
          <w:sz w:val="22"/>
        </w:rPr>
        <w:t>常规售价</w:t>
      </w:r>
      <w:r>
        <w:rPr>
          <w:rFonts w:eastAsia="等线" w:ascii="Arial" w:cs="Arial" w:hAnsi="Arial"/>
          <w:sz w:val="22"/>
        </w:rPr>
        <w:t>总和）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变更后逻辑（目标期望）</w:t>
      </w:r>
      <w:r>
        <w:rPr>
          <w:rFonts w:eastAsia="等线" w:ascii="Arial" w:cs="Arial" w:hAnsi="Arial"/>
          <w:sz w:val="22"/>
        </w:rPr>
        <w:t>： 子商品分摊价格 = 套装实付总价 ×（该子商品</w:t>
      </w:r>
      <w:r>
        <w:rPr>
          <w:rFonts w:eastAsia="等线" w:ascii="Arial" w:cs="Arial" w:hAnsi="Arial"/>
          <w:b w:val="true"/>
          <w:sz w:val="22"/>
        </w:rPr>
        <w:t>限时促销价</w:t>
      </w:r>
      <w:r>
        <w:rPr>
          <w:rFonts w:eastAsia="等线" w:ascii="Arial" w:cs="Arial" w:hAnsi="Arial"/>
          <w:sz w:val="22"/>
        </w:rPr>
        <w:t xml:space="preserve"> / 套装内所有子商品</w:t>
      </w:r>
      <w:r>
        <w:rPr>
          <w:rFonts w:eastAsia="等线" w:ascii="Arial" w:cs="Arial" w:hAnsi="Arial"/>
          <w:b w:val="true"/>
          <w:sz w:val="22"/>
        </w:rPr>
        <w:t>限时促销价</w:t>
      </w:r>
      <w:r>
        <w:rPr>
          <w:rFonts w:eastAsia="等线" w:ascii="Arial" w:cs="Arial" w:hAnsi="Arial"/>
          <w:sz w:val="22"/>
        </w:rPr>
        <w:t>总和）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无促销价情况的兜底</w:t>
      </w:r>
      <w:r>
        <w:rPr>
          <w:rFonts w:eastAsia="等线" w:ascii="Arial" w:cs="Arial" w:hAnsi="Arial"/>
          <w:sz w:val="22"/>
        </w:rPr>
        <w:t>：如果套装内的某个子商品当前</w:t>
      </w:r>
      <w:r>
        <w:rPr>
          <w:rFonts w:eastAsia="等线" w:ascii="Arial" w:cs="Arial" w:hAnsi="Arial"/>
          <w:b w:val="true"/>
          <w:sz w:val="22"/>
        </w:rPr>
        <w:t>没有</w:t>
      </w:r>
      <w:r>
        <w:rPr>
          <w:rFonts w:eastAsia="等线" w:ascii="Arial" w:cs="Arial" w:hAnsi="Arial"/>
          <w:sz w:val="22"/>
        </w:rPr>
        <w:t>参与限时促销（即无“限时促销价”字段值），则在该公式中平滑降级，取该子商品当前的“常规售价”参与权重计算。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具体分摊规则，示例如下：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7pt;mso-width-percent:0;mso-height-percent:0;mso-width-percent:0;mso-height-percent:0" type="#_x0000_t75" o:ole="">
            <v:imagedata r:id="rId19" o:title=""/>
          </v:shape>
          <o:OLEObject DrawAspect="Icon" ObjectID="_1718471219" ProgID="Excel.Sheet.12" ShapeID="_x0000_i1025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注：表格中绿色部分是目前的现状，黄色部分是期望实现的。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3、商品API中期望返回是否套装商品，以及套装子商品（P0级）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背景：商家目前使用【</w:t>
      </w:r>
      <w:r>
        <w:rPr>
          <w:rFonts w:eastAsia="等线" w:ascii="Arial" w:cs="Arial" w:hAnsi="Arial"/>
          <w:b w:val="true"/>
          <w:sz w:val="22"/>
        </w:rPr>
        <w:t>商品定制&amp;产品选项&amp;套装</w:t>
      </w:r>
      <w:r>
        <w:rPr>
          <w:rFonts w:eastAsia="等线" w:ascii="Arial" w:cs="Arial" w:hAnsi="Arial"/>
          <w:sz w:val="22"/>
        </w:rPr>
        <w:t>】中套装功能，预估涉及290个sku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商家需要在商详页展示商品的eta(全称 Estimated Time of Arrival：预计到达时间)。对于套装商品，需要用套装子商品的最迟的eta，去设置父商品的eta，商家会使用定时脚本去实现。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痛点：商品开放接口返回的数据，没法判断是否套装商品，没有返回套装子商品；商品列表接口不支持筛选出套装商品，导致套装商品没法设置正确的eta。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需求：新开发的商品套餐插件需开放接口，支持商家能获取到</w:t>
      </w:r>
      <w:r>
        <w:rPr>
          <w:rFonts w:eastAsia="等线" w:ascii="Arial" w:cs="Arial" w:hAnsi="Arial"/>
          <w:sz w:val="22"/>
        </w:rPr>
        <w:t>ETA/套装成交价格/子商品均摊后的价格/其他商品基本信息（包括套件/子件的SKU编码、SKUID、主图、标题、商品标签）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注：上述的ETA是商家在店铺后台添加的元字段，这个是动态更新的。其中ETA元字段值是动态变化的，目前是3种格式，如下所示：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to Ship: Estimated Delivery June 29 - July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Custom: Estimated Delivery June 29 - July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Presale: Estimated Delivery Nov 5 - Nov 12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4、C端个人中心页，套装订单的「Buy again」需加购套装主商品（P1级）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现状：</w:t>
      </w:r>
      <w:r>
        <w:rPr>
          <w:rFonts w:eastAsia="等线" w:ascii="Arial" w:cs="Arial" w:hAnsi="Arial"/>
          <w:sz w:val="22"/>
        </w:rPr>
        <w:t>目前C端个人中心页，针对套装订单点击Buy again加购的是子商品，而不是套装主商品。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需求：</w:t>
      </w:r>
      <w:r>
        <w:rPr>
          <w:rFonts w:eastAsia="等线" w:ascii="Arial" w:cs="Arial" w:hAnsi="Arial"/>
          <w:sz w:val="22"/>
        </w:rPr>
        <w:t>在C端个人中心-订单列表页，当买家对包含套装商品的历史订单点击「再次购买」（Buy Again）时，系统需识别套装关联关系，将「套装主商品」作为整体加购，而非拆分为独立子商品加入购物车。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需求范围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加购逻辑</w:t>
      </w:r>
      <w:r>
        <w:rPr>
          <w:rFonts w:eastAsia="等线" w:ascii="Arial" w:cs="Arial" w:hAnsi="Arial"/>
          <w:sz w:val="22"/>
        </w:rPr>
        <w:t>：点击“再次购买”时，系统识别历史订单中的套装商品，校验并拉取当前套装主商品的上架状态与库存，将套装整体加入购物车。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变体与配置还原</w:t>
      </w:r>
      <w:r>
        <w:rPr>
          <w:rFonts w:eastAsia="等线" w:ascii="Arial" w:cs="Arial" w:hAnsi="Arial"/>
          <w:sz w:val="22"/>
        </w:rPr>
        <w:t>：若套装包含规格选择（如选配变体/定制化套装），加购时自动还原原订单中所选定的子商品变体配置。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异常状态提示与兼容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若套装已下架或部分子商品缺货，需给出明确 Toast 提示（如“套装中部分商品暂不可用”），并引导买家进入商品详情页或仅加购可用商品。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价格与购物车渲染</w:t>
      </w:r>
      <w:r>
        <w:rPr>
          <w:rFonts w:eastAsia="等线" w:ascii="Arial" w:cs="Arial" w:hAnsi="Arial"/>
          <w:sz w:val="22"/>
        </w:rPr>
        <w:t>：加购后在购物车中正确展示为套装形态，按当前店铺生效的套装优惠规则结算，避免将子商品按原单价加购。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951"/>
        <w:gridCol w:w="2328"/>
      </w:tblGrid>
      <w:tr>
        <w:tc>
          <w:tcPr>
            <w:tcW w:w="595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619500" cy="90487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23975" cy="85725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5、C端个人中心-订单详情页中，需展示套装商品与子商品的关联关系（P1级）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现状：C端个人中心订单详情展示的仅为子商品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需求：C端个人中心-订单详情页中，需展示套装商品与子商品的关联关系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82"/>
        <w:gridCol w:w="3697"/>
      </w:tblGrid>
      <w:tr>
        <w:tc>
          <w:tcPr>
            <w:tcW w:w="458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52725" cy="14382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90750" cy="141922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6、Extend插件需与商品套装插件兼容（P</w:t>
      </w:r>
      <w:r>
        <w:rPr>
          <w:rFonts w:eastAsia="等线" w:ascii="Arial" w:cs="Arial" w:hAnsi="Arial"/>
          <w:b w:val="true"/>
          <w:sz w:val="32"/>
        </w:rPr>
        <w:t>0</w:t>
      </w:r>
      <w:r>
        <w:rPr>
          <w:rFonts w:eastAsia="等线" w:ascii="Arial" w:cs="Arial" w:hAnsi="Arial"/>
          <w:b w:val="true"/>
          <w:sz w:val="32"/>
        </w:rPr>
        <w:t>级）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插件链接：</w:t>
      </w:r>
      <w:r>
        <w:rPr>
          <w:rFonts w:eastAsia="等线" w:ascii="Arial" w:cs="Arial" w:hAnsi="Arial"/>
          <w:sz w:val="22"/>
        </w:rPr>
        <w:t>https://apps.shopline.com/detail/extend_protection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新开发的商品套装插件需要开放核心功能的接口，以便Extend插件方进行兼容适配</w:t>
      </w:r>
      <w:r>
        <w:rPr>
          <w:rFonts w:eastAsia="等线" w:ascii="Arial" w:cs="Arial" w:hAnsi="Arial"/>
          <w:sz w:val="22"/>
        </w:rPr>
        <w:t>，包括套装商品发货后Extend自动发货逻辑、套装Extend合约生成逻辑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三、评估报价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请三方开发者根据上述需求进行工时评估及报价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8306">
    <w:lvl>
      <w:numFmt w:val="bullet"/>
      <w:suff w:val="tab"/>
      <w:lvlText w:val="•"/>
      <w:rPr>
        <w:color w:val="3370ff"/>
      </w:rPr>
    </w:lvl>
  </w:abstractNum>
  <w:abstractNum w:abstractNumId="628307">
    <w:lvl>
      <w:numFmt w:val="bullet"/>
      <w:suff w:val="tab"/>
      <w:lvlText w:val="•"/>
      <w:rPr>
        <w:color w:val="3370ff"/>
      </w:rPr>
    </w:lvl>
  </w:abstractNum>
  <w:abstractNum w:abstractNumId="628308">
    <w:lvl>
      <w:numFmt w:val="bullet"/>
      <w:suff w:val="tab"/>
      <w:lvlText w:val="￮"/>
      <w:rPr>
        <w:color w:val="3370ff"/>
      </w:rPr>
    </w:lvl>
  </w:abstractNum>
  <w:abstractNum w:abstractNumId="628309">
    <w:lvl>
      <w:numFmt w:val="bullet"/>
      <w:suff w:val="tab"/>
      <w:lvlText w:val="￮"/>
      <w:rPr>
        <w:color w:val="3370ff"/>
      </w:rPr>
    </w:lvl>
  </w:abstractNum>
  <w:abstractNum w:abstractNumId="628310">
    <w:lvl>
      <w:numFmt w:val="bullet"/>
      <w:suff w:val="tab"/>
      <w:lvlText w:val="•"/>
      <w:rPr>
        <w:color w:val="3370ff"/>
      </w:rPr>
    </w:lvl>
  </w:abstractNum>
  <w:abstractNum w:abstractNumId="628311">
    <w:lvl>
      <w:numFmt w:val="bullet"/>
      <w:suff w:val="tab"/>
      <w:lvlText w:val="•"/>
      <w:rPr>
        <w:color w:val="3370ff"/>
      </w:rPr>
    </w:lvl>
  </w:abstractNum>
  <w:abstractNum w:abstractNumId="628312">
    <w:lvl>
      <w:numFmt w:val="bullet"/>
      <w:suff w:val="tab"/>
      <w:lvlText w:val="•"/>
      <w:rPr>
        <w:color w:val="3370ff"/>
      </w:rPr>
    </w:lvl>
  </w:abstractNum>
  <w:abstractNum w:abstractNumId="628313">
    <w:lvl>
      <w:numFmt w:val="bullet"/>
      <w:suff w:val="tab"/>
      <w:lvlText w:val="•"/>
      <w:rPr>
        <w:color w:val="3370ff"/>
      </w:rPr>
    </w:lvl>
  </w:abstractNum>
  <w:abstractNum w:abstractNumId="628314">
    <w:lvl>
      <w:numFmt w:val="bullet"/>
      <w:suff w:val="tab"/>
      <w:lvlText w:val="•"/>
      <w:rPr>
        <w:color w:val="3370ff"/>
      </w:rPr>
    </w:lvl>
  </w:abstractNum>
  <w:abstractNum w:abstractNumId="628315">
    <w:lvl>
      <w:numFmt w:val="bullet"/>
      <w:suff w:val="tab"/>
      <w:lvlText w:val="•"/>
      <w:rPr>
        <w:color w:val="3370ff"/>
      </w:rPr>
    </w:lvl>
  </w:abstractNum>
  <w:abstractNum w:abstractNumId="628316">
    <w:lvl>
      <w:numFmt w:val="bullet"/>
      <w:suff w:val="tab"/>
      <w:lvlText w:val="•"/>
      <w:rPr>
        <w:color w:val="3370ff"/>
      </w:rPr>
    </w:lvl>
  </w:abstractNum>
  <w:abstractNum w:abstractNumId="628317">
    <w:lvl>
      <w:numFmt w:val="bullet"/>
      <w:suff w:val="tab"/>
      <w:lvlText w:val="￮"/>
      <w:rPr>
        <w:color w:val="3370ff"/>
      </w:rPr>
    </w:lvl>
  </w:abstractNum>
  <w:abstractNum w:abstractNumId="628318">
    <w:lvl>
      <w:numFmt w:val="bullet"/>
      <w:suff w:val="tab"/>
      <w:lvlText w:val="•"/>
      <w:rPr>
        <w:color w:val="3370ff"/>
      </w:rPr>
    </w:lvl>
  </w:abstractNum>
  <w:num w:numId="1">
    <w:abstractNumId w:val="628306"/>
  </w:num>
  <w:num w:numId="2">
    <w:abstractNumId w:val="628307"/>
  </w:num>
  <w:num w:numId="3">
    <w:abstractNumId w:val="628308"/>
  </w:num>
  <w:num w:numId="4">
    <w:abstractNumId w:val="628309"/>
  </w:num>
  <w:num w:numId="5">
    <w:abstractNumId w:val="628310"/>
  </w:num>
  <w:num w:numId="6">
    <w:abstractNumId w:val="628311"/>
  </w:num>
  <w:num w:numId="7">
    <w:abstractNumId w:val="628312"/>
  </w:num>
  <w:num w:numId="8">
    <w:abstractNumId w:val="628313"/>
  </w:num>
  <w:num w:numId="9">
    <w:abstractNumId w:val="628314"/>
  </w:num>
  <w:num w:numId="10">
    <w:abstractNumId w:val="628315"/>
  </w:num>
  <w:num w:numId="11">
    <w:abstractNumId w:val="628316"/>
  </w:num>
  <w:num w:numId="12">
    <w:abstractNumId w:val="628317"/>
  </w:num>
  <w:num w:numId="13">
    <w:abstractNumId w:val="628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embeddings/Microsoft_Excel_Worksheet1.xlsx" Type="http://schemas.openxmlformats.org/officeDocument/2006/relationships/pack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2026-10-14T01:45:05Z</dcterms:created>
  <dc:creator>Apache POI</dc:creator>
</cp:coreProperties>
</file>