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40" w:rsidRDefault="00983F40" w:rsidP="00983F40">
      <w:pPr>
        <w:pStyle w:val="Heading2"/>
        <w:rPr>
          <w:rFonts w:ascii="Arial Black" w:hAnsi="Arial Black"/>
          <w:sz w:val="23"/>
          <w:szCs w:val="23"/>
        </w:rPr>
      </w:pPr>
      <w:r>
        <w:rPr>
          <w:rFonts w:ascii="Arial Black" w:hAnsi="Arial Black"/>
          <w:sz w:val="23"/>
          <w:szCs w:val="23"/>
        </w:rPr>
        <w:t>CHERRY IN LINE</w:t>
      </w:r>
    </w:p>
    <w:p w:rsidR="00983F40" w:rsidRDefault="00983F40" w:rsidP="00983F40"/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Chapter 5</w:t>
      </w:r>
    </w:p>
    <w:p w:rsidR="00983F40" w:rsidRPr="00D644E7" w:rsidRDefault="00983F40" w:rsidP="00983F40">
      <w:pPr>
        <w:rPr>
          <w:b/>
          <w:sz w:val="32"/>
          <w:szCs w:val="32"/>
        </w:rPr>
      </w:pPr>
      <w:r w:rsidRPr="00D644E7">
        <w:rPr>
          <w:b/>
          <w:sz w:val="32"/>
          <w:szCs w:val="32"/>
        </w:rPr>
        <w:t>Findings, Results, and Analysis</w:t>
      </w:r>
    </w:p>
    <w:p w:rsidR="00983F40" w:rsidRPr="00DE2374" w:rsidRDefault="00983F40" w:rsidP="00983F40">
      <w:pPr>
        <w:rPr>
          <w:highlight w:val="lightGray"/>
        </w:rPr>
      </w:pPr>
      <w:r w:rsidRPr="00DE2374">
        <w:rPr>
          <w:highlight w:val="lightGray"/>
        </w:rPr>
        <w:t>5.2 Electrical Audit</w:t>
      </w:r>
    </w:p>
    <w:p w:rsidR="00976AE1" w:rsidRDefault="00983F40" w:rsidP="00983F40">
      <w:pPr>
        <w:rPr>
          <w:highlight w:val="lightGray"/>
        </w:rPr>
      </w:pPr>
      <w:r w:rsidRPr="00DE2374">
        <w:rPr>
          <w:highlight w:val="lightGray"/>
        </w:rPr>
        <w:t>5.2.5 Harmonic analysis</w:t>
      </w:r>
    </w:p>
    <w:p w:rsidR="00383729" w:rsidRPr="00154F0A" w:rsidRDefault="00383729" w:rsidP="00383729">
      <w:pPr>
        <w:shd w:val="clear" w:color="auto" w:fill="FFFFFF" w:themeFill="background1"/>
        <w:rPr>
          <w:rFonts w:ascii="Arial" w:hAnsi="Arial" w:cs="Arial"/>
          <w:b/>
          <w:sz w:val="24"/>
          <w:szCs w:val="24"/>
        </w:rPr>
      </w:pPr>
      <w:r w:rsidRPr="00154F0A">
        <w:rPr>
          <w:rFonts w:ascii="Arial" w:hAnsi="Arial" w:cs="Arial"/>
          <w:b/>
          <w:sz w:val="24"/>
          <w:szCs w:val="24"/>
        </w:rPr>
        <w:t xml:space="preserve">HARMONICS -THD COMPLIANCE  </w:t>
      </w:r>
    </w:p>
    <w:p w:rsidR="00383729" w:rsidRPr="0059108E" w:rsidRDefault="00383729" w:rsidP="00383729">
      <w:pPr>
        <w:ind w:left="720"/>
        <w:rPr>
          <w:rFonts w:ascii="Arial" w:hAnsi="Arial" w:cs="Arial"/>
          <w:sz w:val="24"/>
          <w:szCs w:val="24"/>
        </w:rPr>
      </w:pPr>
      <w:r w:rsidRPr="0059108E">
        <w:rPr>
          <w:rFonts w:ascii="Arial" w:hAnsi="Arial" w:cs="Arial"/>
          <w:sz w:val="24"/>
          <w:szCs w:val="24"/>
        </w:rPr>
        <w:t>Harmonics shall be defined as sinusoidal voltage and currents having frequencies that are integral multiples of the fundamental frequency.</w:t>
      </w:r>
    </w:p>
    <w:p w:rsidR="00383729" w:rsidRPr="0059108E" w:rsidRDefault="00383729" w:rsidP="00383729">
      <w:pPr>
        <w:ind w:left="720"/>
        <w:rPr>
          <w:rFonts w:ascii="Arial" w:hAnsi="Arial" w:cs="Arial"/>
          <w:sz w:val="24"/>
          <w:szCs w:val="24"/>
        </w:rPr>
      </w:pPr>
      <w:r w:rsidRPr="0059108E">
        <w:rPr>
          <w:rFonts w:ascii="Arial" w:hAnsi="Arial" w:cs="Arial"/>
          <w:sz w:val="24"/>
          <w:szCs w:val="24"/>
        </w:rPr>
        <w:t xml:space="preserve">The total harmonic distortion (THD) shall be defined as the ratio of the RMS </w:t>
      </w:r>
      <w:r>
        <w:rPr>
          <w:rFonts w:ascii="Arial" w:hAnsi="Arial" w:cs="Arial"/>
          <w:sz w:val="24"/>
          <w:szCs w:val="24"/>
        </w:rPr>
        <w:t xml:space="preserve">value of the harmonic </w:t>
      </w:r>
      <w:r w:rsidRPr="0059108E">
        <w:rPr>
          <w:rFonts w:ascii="Arial" w:hAnsi="Arial" w:cs="Arial"/>
          <w:sz w:val="24"/>
          <w:szCs w:val="24"/>
        </w:rPr>
        <w:t>content to the RMS value of the fundamental quantity, expressed in percent.</w:t>
      </w:r>
    </w:p>
    <w:p w:rsidR="00383729" w:rsidRDefault="00383729" w:rsidP="003837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816C6">
        <w:rPr>
          <w:rFonts w:ascii="Arial" w:hAnsi="Arial" w:cs="Arial"/>
          <w:sz w:val="24"/>
          <w:szCs w:val="24"/>
        </w:rPr>
        <w:t xml:space="preserve">PHILIPPINE DISTRIBUTION CODE sets the THD of the voltage at any user </w:t>
      </w:r>
      <w:r>
        <w:rPr>
          <w:rFonts w:ascii="Arial" w:hAnsi="Arial" w:cs="Arial"/>
          <w:sz w:val="24"/>
          <w:szCs w:val="24"/>
        </w:rPr>
        <w:tab/>
      </w:r>
      <w:r w:rsidRPr="007816C6">
        <w:rPr>
          <w:rFonts w:ascii="Arial" w:hAnsi="Arial" w:cs="Arial"/>
          <w:sz w:val="24"/>
          <w:szCs w:val="24"/>
        </w:rPr>
        <w:t xml:space="preserve">system to not exceed five percent (5%) during normal operating </w:t>
      </w:r>
      <w:r>
        <w:rPr>
          <w:rFonts w:ascii="Arial" w:hAnsi="Arial" w:cs="Arial"/>
          <w:sz w:val="24"/>
          <w:szCs w:val="24"/>
        </w:rPr>
        <w:t>c</w:t>
      </w:r>
      <w:r w:rsidRPr="007816C6">
        <w:rPr>
          <w:rFonts w:ascii="Arial" w:hAnsi="Arial" w:cs="Arial"/>
          <w:sz w:val="24"/>
          <w:szCs w:val="24"/>
        </w:rPr>
        <w:t>onditions.</w:t>
      </w:r>
    </w:p>
    <w:p w:rsidR="00CB140F" w:rsidRPr="00D764B4" w:rsidRDefault="00D764B4" w:rsidP="00983F40">
      <w:r w:rsidRPr="00D764B4">
        <w:t>A. AS PER DESIGN</w:t>
      </w:r>
    </w:p>
    <w:p w:rsidR="002822C2" w:rsidRDefault="007B3B1F" w:rsidP="0065499E">
      <w:pPr>
        <w:ind w:hanging="360"/>
        <w:jc w:val="center"/>
        <w:rPr>
          <w:noProof/>
          <w:highlight w:val="lightGray"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552450</wp:posOffset>
                </wp:positionV>
                <wp:extent cx="1181100" cy="2381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B1F" w:rsidRDefault="007B3B1F">
                            <w:r>
                              <w:t>Bus 4: Distortion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59.5pt;margin-top:43.5pt;width:93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" fillcolor="white [3201]" strokeweight=".5pt">
                <v:textbox>
                  <w:txbxContent>
                    <w:p w:rsidR="007B3B1F" w:rsidRDefault="007B3B1F">
                      <w:r>
                        <w:t>Bus 4: Distortion</w:t>
                      </w:r>
                    </w:p>
                  </w:txbxContent>
                </v:textbox>
              </v:shape>
            </w:pict>
          </mc:Fallback>
        </mc:AlternateContent>
      </w:r>
      <w:r w:rsidR="0011675D">
        <w:rPr>
          <w:noProof/>
          <w:highlight w:val="lightGray"/>
          <w:lang w:eastAsia="en-PH"/>
        </w:rPr>
        <w:drawing>
          <wp:inline distT="0" distB="0" distL="0" distR="0">
            <wp:extent cx="4276725" cy="204941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85" cy="207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254" w:rsidRDefault="003A7254" w:rsidP="007B3B1F">
      <w:pPr>
        <w:ind w:hanging="360"/>
        <w:rPr>
          <w:noProof/>
          <w:highlight w:val="lightGray"/>
          <w:lang w:eastAsia="en-PH"/>
        </w:rPr>
      </w:pPr>
    </w:p>
    <w:p w:rsidR="003A7254" w:rsidRDefault="003A7254" w:rsidP="0065499E">
      <w:pPr>
        <w:ind w:hanging="360"/>
        <w:jc w:val="center"/>
        <w:rPr>
          <w:noProof/>
          <w:highlight w:val="lightGray"/>
          <w:lang w:eastAsia="en-PH"/>
        </w:rPr>
      </w:pPr>
      <w:r>
        <w:rPr>
          <w:noProof/>
          <w:highlight w:val="lightGray"/>
          <w:lang w:eastAsia="en-PH"/>
        </w:rPr>
        <w:drawing>
          <wp:inline distT="0" distB="0" distL="0" distR="0">
            <wp:extent cx="4552950" cy="21742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82" cy="219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C2" w:rsidRDefault="001A165A" w:rsidP="001A165A">
      <w:pPr>
        <w:jc w:val="center"/>
        <w:rPr>
          <w:noProof/>
          <w:highlight w:val="lightGray"/>
          <w:lang w:eastAsia="en-PH"/>
        </w:rPr>
      </w:pPr>
      <w:r>
        <w:rPr>
          <w:noProof/>
          <w:highlight w:val="lightGray"/>
          <w:lang w:eastAsia="en-PH"/>
        </w:rPr>
        <w:lastRenderedPageBreak/>
        <w:drawing>
          <wp:inline distT="0" distB="0" distL="0" distR="0">
            <wp:extent cx="6687069" cy="5398531"/>
            <wp:effectExtent l="0" t="3493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97618" cy="540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2822C2" w:rsidRDefault="002822C2" w:rsidP="00983F40">
      <w:pPr>
        <w:rPr>
          <w:noProof/>
          <w:highlight w:val="lightGray"/>
          <w:lang w:eastAsia="en-PH"/>
        </w:rPr>
      </w:pPr>
    </w:p>
    <w:p w:rsidR="00CB140F" w:rsidRDefault="00CB140F" w:rsidP="00983F40">
      <w:pPr>
        <w:rPr>
          <w:noProof/>
          <w:highlight w:val="lightGray"/>
          <w:lang w:eastAsia="en-PH"/>
        </w:rPr>
      </w:pPr>
      <w:bookmarkStart w:id="0" w:name="_GoBack"/>
      <w:bookmarkEnd w:id="0"/>
      <w:r>
        <w:rPr>
          <w:noProof/>
          <w:highlight w:val="lightGray"/>
          <w:lang w:eastAsia="en-PH"/>
        </w:rPr>
        <w:lastRenderedPageBreak/>
        <w:t>B. AS PER ACTUAL</w:t>
      </w:r>
    </w:p>
    <w:p w:rsidR="00CB140F" w:rsidRPr="00476108" w:rsidRDefault="000A197B" w:rsidP="000A197B">
      <w:pPr>
        <w:jc w:val="center"/>
        <w:rPr>
          <w:b/>
          <w:noProof/>
          <w:lang w:eastAsia="en-PH"/>
        </w:rPr>
      </w:pPr>
      <w:r w:rsidRPr="00476108">
        <w:rPr>
          <w:b/>
          <w:noProof/>
          <w:lang w:eastAsia="en-PH"/>
        </w:rPr>
        <w:t>VOLTAGE HARMONICS</w:t>
      </w:r>
    </w:p>
    <w:p w:rsidR="00CB140F" w:rsidRDefault="00CB140F" w:rsidP="00CB140F">
      <w:pPr>
        <w:jc w:val="center"/>
        <w:rPr>
          <w:highlight w:val="lightGray"/>
        </w:rPr>
      </w:pPr>
      <w:r>
        <w:rPr>
          <w:noProof/>
          <w:highlight w:val="lightGray"/>
          <w:lang w:eastAsia="en-PH"/>
        </w:rPr>
        <w:drawing>
          <wp:inline distT="0" distB="0" distL="0" distR="0">
            <wp:extent cx="2543175" cy="5534025"/>
            <wp:effectExtent l="952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431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lightGray"/>
          <w:lang w:eastAsia="en-PH"/>
        </w:rPr>
        <w:drawing>
          <wp:inline distT="0" distB="0" distL="0" distR="0">
            <wp:extent cx="2809875" cy="5600700"/>
            <wp:effectExtent l="0" t="4762" r="4762" b="476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09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97B" w:rsidRPr="00476108" w:rsidRDefault="000A197B" w:rsidP="00CB140F">
      <w:pPr>
        <w:jc w:val="center"/>
        <w:rPr>
          <w:b/>
          <w:highlight w:val="lightGray"/>
        </w:rPr>
      </w:pPr>
      <w:r w:rsidRPr="00476108">
        <w:rPr>
          <w:b/>
          <w:noProof/>
          <w:highlight w:val="lightGray"/>
          <w:lang w:eastAsia="en-PH"/>
        </w:rPr>
        <w:drawing>
          <wp:inline distT="0" distB="0" distL="0" distR="0">
            <wp:extent cx="2619375" cy="5534025"/>
            <wp:effectExtent l="952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93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08" w:rsidRPr="00476108" w:rsidRDefault="00476108" w:rsidP="00476108">
      <w:pPr>
        <w:shd w:val="clear" w:color="auto" w:fill="FFFFFF" w:themeFill="background1"/>
        <w:jc w:val="center"/>
        <w:rPr>
          <w:b/>
        </w:rPr>
      </w:pPr>
      <w:r w:rsidRPr="00476108">
        <w:rPr>
          <w:b/>
        </w:rPr>
        <w:lastRenderedPageBreak/>
        <w:t>CURRENT HARMONICS</w:t>
      </w:r>
    </w:p>
    <w:p w:rsidR="00476108" w:rsidRDefault="00476108" w:rsidP="00CB140F">
      <w:pPr>
        <w:jc w:val="center"/>
        <w:rPr>
          <w:highlight w:val="lightGray"/>
        </w:rPr>
      </w:pPr>
      <w:r>
        <w:rPr>
          <w:noProof/>
          <w:highlight w:val="lightGray"/>
          <w:lang w:eastAsia="en-PH"/>
        </w:rPr>
        <w:drawing>
          <wp:inline distT="0" distB="0" distL="0" distR="0">
            <wp:extent cx="2730460" cy="5848350"/>
            <wp:effectExtent l="285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33459" cy="585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49A" w:rsidRDefault="001C049A" w:rsidP="00CB140F">
      <w:pPr>
        <w:jc w:val="center"/>
        <w:rPr>
          <w:highlight w:val="lightGray"/>
        </w:rPr>
      </w:pPr>
      <w:r>
        <w:rPr>
          <w:noProof/>
          <w:highlight w:val="lightGray"/>
          <w:lang w:eastAsia="en-PH"/>
        </w:rPr>
        <w:drawing>
          <wp:inline distT="0" distB="0" distL="0" distR="0" wp14:anchorId="33810900" wp14:editId="7843085C">
            <wp:extent cx="2904916" cy="5800725"/>
            <wp:effectExtent l="0" t="31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12844" cy="58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61" w:rsidRDefault="00304161" w:rsidP="00CB140F">
      <w:pPr>
        <w:jc w:val="center"/>
        <w:rPr>
          <w:highlight w:val="lightGray"/>
        </w:rPr>
      </w:pPr>
      <w:r>
        <w:rPr>
          <w:noProof/>
          <w:highlight w:val="lightGray"/>
          <w:lang w:eastAsia="en-PH"/>
        </w:rPr>
        <w:lastRenderedPageBreak/>
        <w:drawing>
          <wp:inline distT="0" distB="0" distL="0" distR="0">
            <wp:extent cx="2990850" cy="6124575"/>
            <wp:effectExtent l="0" t="4763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908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B9E" w:rsidRDefault="00165B9E" w:rsidP="00CB140F">
      <w:pPr>
        <w:jc w:val="center"/>
        <w:rPr>
          <w:highlight w:val="lightGray"/>
        </w:rPr>
      </w:pPr>
    </w:p>
    <w:p w:rsidR="00165B9E" w:rsidRPr="00BB1B99" w:rsidRDefault="00165B9E" w:rsidP="00165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B1B99">
        <w:rPr>
          <w:rFonts w:ascii="Arial" w:hAnsi="Arial" w:cs="Arial"/>
          <w:b/>
          <w:sz w:val="24"/>
          <w:szCs w:val="24"/>
        </w:rPr>
        <w:t>MAIN 250A (LOAD SIDE)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37"/>
        <w:gridCol w:w="1184"/>
        <w:gridCol w:w="1469"/>
        <w:gridCol w:w="1468"/>
        <w:gridCol w:w="1502"/>
        <w:gridCol w:w="1320"/>
        <w:gridCol w:w="1616"/>
      </w:tblGrid>
      <w:tr w:rsidR="00165B9E" w:rsidRPr="008D64A2" w:rsidTr="007C7EA4">
        <w:tc>
          <w:tcPr>
            <w:tcW w:w="1737" w:type="dxa"/>
          </w:tcPr>
          <w:p w:rsidR="00165B9E" w:rsidRPr="008D64A2" w:rsidRDefault="00165B9E" w:rsidP="007C7E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1184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PHASE</w:t>
            </w:r>
          </w:p>
        </w:tc>
        <w:tc>
          <w:tcPr>
            <w:tcW w:w="1469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MINIMUM</w:t>
            </w:r>
          </w:p>
        </w:tc>
        <w:tc>
          <w:tcPr>
            <w:tcW w:w="1468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  <w:tc>
          <w:tcPr>
            <w:tcW w:w="1502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MAXIMUM</w:t>
            </w:r>
          </w:p>
        </w:tc>
        <w:tc>
          <w:tcPr>
            <w:tcW w:w="1320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616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165B9E" w:rsidRPr="008D64A2" w:rsidTr="007C7EA4">
        <w:tc>
          <w:tcPr>
            <w:tcW w:w="1737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  <w:r w:rsidRPr="008D64A2">
              <w:rPr>
                <w:rFonts w:ascii="Arial" w:hAnsi="Arial" w:cs="Arial"/>
                <w:sz w:val="24"/>
                <w:szCs w:val="24"/>
              </w:rPr>
              <w:t xml:space="preserve"> HARMONIC DISTORTION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1.44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1320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5%</w:t>
            </w:r>
          </w:p>
        </w:tc>
        <w:tc>
          <w:tcPr>
            <w:tcW w:w="1616" w:type="dxa"/>
            <w:vMerge w:val="restart"/>
          </w:tcPr>
          <w:p w:rsidR="00165B9E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</w:p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A1D0B">
              <w:rPr>
                <w:rFonts w:ascii="Arial" w:hAnsi="Arial" w:cs="Arial"/>
                <w:b/>
                <w:sz w:val="24"/>
                <w:szCs w:val="24"/>
              </w:rPr>
              <w:t>WITHIN  LIMITS</w:t>
            </w: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BC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1.27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2.56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2.86</w:t>
            </w:r>
          </w:p>
        </w:tc>
        <w:tc>
          <w:tcPr>
            <w:tcW w:w="1320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1.53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1320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468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502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320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65B9E" w:rsidRDefault="00165B9E" w:rsidP="00165B9E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C0357">
        <w:rPr>
          <w:rFonts w:ascii="Arial" w:hAnsi="Arial" w:cs="Arial"/>
          <w:sz w:val="24"/>
          <w:szCs w:val="24"/>
        </w:rPr>
        <w:t xml:space="preserve">Should be a cause for concern. </w:t>
      </w:r>
      <w:r>
        <w:rPr>
          <w:rFonts w:ascii="Arial" w:hAnsi="Arial" w:cs="Arial"/>
          <w:sz w:val="24"/>
          <w:szCs w:val="24"/>
        </w:rPr>
        <w:t>T</w:t>
      </w:r>
      <w:r w:rsidRPr="005C0357">
        <w:rPr>
          <w:rFonts w:ascii="Arial" w:hAnsi="Arial" w:cs="Arial"/>
          <w:sz w:val="24"/>
          <w:szCs w:val="24"/>
        </w:rPr>
        <w:t xml:space="preserve">he harmonic </w:t>
      </w:r>
      <w:r>
        <w:rPr>
          <w:rFonts w:ascii="Arial" w:hAnsi="Arial" w:cs="Arial"/>
          <w:sz w:val="24"/>
          <w:szCs w:val="24"/>
        </w:rPr>
        <w:t>3</w:t>
      </w:r>
      <w:r w:rsidRPr="004C7C22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C0357">
        <w:rPr>
          <w:rFonts w:ascii="Arial" w:hAnsi="Arial" w:cs="Arial"/>
          <w:sz w:val="24"/>
          <w:szCs w:val="24"/>
        </w:rPr>
        <w:t>5</w:t>
      </w:r>
      <w:r w:rsidRPr="005C035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and</w:t>
      </w:r>
      <w:proofErr w:type="gramEnd"/>
      <w:r>
        <w:rPr>
          <w:rFonts w:ascii="Arial" w:hAnsi="Arial" w:cs="Arial"/>
          <w:sz w:val="24"/>
          <w:szCs w:val="24"/>
        </w:rPr>
        <w:t xml:space="preserve"> 7</w:t>
      </w:r>
      <w:r w:rsidRPr="004C7C2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order were registered </w:t>
      </w:r>
      <w:r w:rsidRPr="005C0357">
        <w:rPr>
          <w:rFonts w:ascii="Arial" w:hAnsi="Arial" w:cs="Arial"/>
          <w:sz w:val="24"/>
          <w:szCs w:val="24"/>
        </w:rPr>
        <w:t>dominant.</w:t>
      </w:r>
      <w:r>
        <w:rPr>
          <w:rFonts w:ascii="Arial" w:hAnsi="Arial" w:cs="Arial"/>
          <w:sz w:val="24"/>
          <w:szCs w:val="24"/>
        </w:rPr>
        <w:t xml:space="preserve"> This can cause heating on the equipment.</w:t>
      </w:r>
    </w:p>
    <w:p w:rsidR="00165B9E" w:rsidRDefault="00165B9E" w:rsidP="00165B9E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VFD-1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37"/>
        <w:gridCol w:w="1184"/>
        <w:gridCol w:w="1469"/>
        <w:gridCol w:w="1468"/>
        <w:gridCol w:w="1502"/>
        <w:gridCol w:w="1320"/>
        <w:gridCol w:w="1616"/>
      </w:tblGrid>
      <w:tr w:rsidR="00165B9E" w:rsidRPr="008D64A2" w:rsidTr="007C7EA4">
        <w:tc>
          <w:tcPr>
            <w:tcW w:w="1737" w:type="dxa"/>
          </w:tcPr>
          <w:p w:rsidR="00165B9E" w:rsidRPr="008D64A2" w:rsidRDefault="00165B9E" w:rsidP="007C7E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1184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PHASE</w:t>
            </w:r>
          </w:p>
        </w:tc>
        <w:tc>
          <w:tcPr>
            <w:tcW w:w="1469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MINIMUM</w:t>
            </w:r>
          </w:p>
        </w:tc>
        <w:tc>
          <w:tcPr>
            <w:tcW w:w="1468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  <w:tc>
          <w:tcPr>
            <w:tcW w:w="1502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MAXIMUM</w:t>
            </w:r>
          </w:p>
        </w:tc>
        <w:tc>
          <w:tcPr>
            <w:tcW w:w="1320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616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165B9E" w:rsidRPr="008D64A2" w:rsidTr="007C7EA4">
        <w:tc>
          <w:tcPr>
            <w:tcW w:w="1737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  <w:r w:rsidRPr="008D64A2">
              <w:rPr>
                <w:rFonts w:ascii="Arial" w:hAnsi="Arial" w:cs="Arial"/>
                <w:sz w:val="24"/>
                <w:szCs w:val="24"/>
              </w:rPr>
              <w:t xml:space="preserve"> HARMONIC DISTORTION</w:t>
            </w: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3.22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1320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5%</w:t>
            </w:r>
          </w:p>
        </w:tc>
        <w:tc>
          <w:tcPr>
            <w:tcW w:w="1616" w:type="dxa"/>
            <w:vMerge w:val="restart"/>
          </w:tcPr>
          <w:p w:rsidR="00165B9E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</w:p>
          <w:p w:rsidR="00165B9E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3A1D0B">
              <w:rPr>
                <w:rFonts w:ascii="Arial" w:hAnsi="Arial" w:cs="Arial"/>
                <w:b/>
                <w:sz w:val="24"/>
                <w:szCs w:val="24"/>
              </w:rPr>
              <w:t>WITHIN  LIMITS</w:t>
            </w:r>
          </w:p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BC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2.89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3.37</w:t>
            </w:r>
          </w:p>
        </w:tc>
        <w:tc>
          <w:tcPr>
            <w:tcW w:w="1320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3.22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3.36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1320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65B9E" w:rsidRPr="008D64A2" w:rsidTr="007C7EA4">
        <w:tc>
          <w:tcPr>
            <w:tcW w:w="1737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</w:tcPr>
          <w:p w:rsidR="00165B9E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69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468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502" w:type="dxa"/>
          </w:tcPr>
          <w:p w:rsidR="00165B9E" w:rsidRPr="00EF2F93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320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16" w:type="dxa"/>
            <w:vMerge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65B9E" w:rsidRPr="005C0357" w:rsidRDefault="00165B9E" w:rsidP="00165B9E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C0357">
        <w:rPr>
          <w:rFonts w:ascii="Arial" w:hAnsi="Arial" w:cs="Arial"/>
          <w:sz w:val="24"/>
          <w:szCs w:val="24"/>
        </w:rPr>
        <w:t xml:space="preserve">Should be a cause for concern. </w:t>
      </w:r>
      <w:r>
        <w:rPr>
          <w:rFonts w:ascii="Arial" w:hAnsi="Arial" w:cs="Arial"/>
          <w:sz w:val="24"/>
          <w:szCs w:val="24"/>
        </w:rPr>
        <w:t>T</w:t>
      </w:r>
      <w:r w:rsidRPr="005C0357">
        <w:rPr>
          <w:rFonts w:ascii="Arial" w:hAnsi="Arial" w:cs="Arial"/>
          <w:sz w:val="24"/>
          <w:szCs w:val="24"/>
        </w:rPr>
        <w:t xml:space="preserve">he harmonic </w:t>
      </w:r>
      <w:r>
        <w:rPr>
          <w:rFonts w:ascii="Arial" w:hAnsi="Arial" w:cs="Arial"/>
          <w:sz w:val="24"/>
          <w:szCs w:val="24"/>
        </w:rPr>
        <w:t>3</w:t>
      </w:r>
      <w:r w:rsidRPr="004C7C22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5C0357">
        <w:rPr>
          <w:rFonts w:ascii="Arial" w:hAnsi="Arial" w:cs="Arial"/>
          <w:sz w:val="24"/>
          <w:szCs w:val="24"/>
        </w:rPr>
        <w:t>5</w:t>
      </w:r>
      <w:r w:rsidRPr="005C035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and</w:t>
      </w:r>
      <w:proofErr w:type="gramEnd"/>
      <w:r>
        <w:rPr>
          <w:rFonts w:ascii="Arial" w:hAnsi="Arial" w:cs="Arial"/>
          <w:sz w:val="24"/>
          <w:szCs w:val="24"/>
        </w:rPr>
        <w:t xml:space="preserve"> 7</w:t>
      </w:r>
      <w:r w:rsidRPr="004C7C22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order were registered </w:t>
      </w:r>
      <w:r w:rsidRPr="005C0357">
        <w:rPr>
          <w:rFonts w:ascii="Arial" w:hAnsi="Arial" w:cs="Arial"/>
          <w:sz w:val="24"/>
          <w:szCs w:val="24"/>
        </w:rPr>
        <w:t>dominant.</w:t>
      </w:r>
      <w:r>
        <w:rPr>
          <w:rFonts w:ascii="Arial" w:hAnsi="Arial" w:cs="Arial"/>
          <w:sz w:val="24"/>
          <w:szCs w:val="24"/>
        </w:rPr>
        <w:t xml:space="preserve"> This can cause heating on the equipment.</w:t>
      </w:r>
    </w:p>
    <w:p w:rsidR="00165B9E" w:rsidRDefault="00165B9E" w:rsidP="00165B9E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VFD-2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737"/>
        <w:gridCol w:w="1184"/>
        <w:gridCol w:w="1469"/>
        <w:gridCol w:w="1468"/>
        <w:gridCol w:w="1502"/>
        <w:gridCol w:w="1320"/>
        <w:gridCol w:w="1616"/>
      </w:tblGrid>
      <w:tr w:rsidR="00165B9E" w:rsidRPr="008D64A2" w:rsidTr="007C7EA4">
        <w:tc>
          <w:tcPr>
            <w:tcW w:w="1737" w:type="dxa"/>
          </w:tcPr>
          <w:p w:rsidR="00165B9E" w:rsidRPr="008D64A2" w:rsidRDefault="00165B9E" w:rsidP="007C7E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1184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PHASE</w:t>
            </w:r>
          </w:p>
        </w:tc>
        <w:tc>
          <w:tcPr>
            <w:tcW w:w="1469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MINIMUM</w:t>
            </w:r>
          </w:p>
        </w:tc>
        <w:tc>
          <w:tcPr>
            <w:tcW w:w="1468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</w:tc>
        <w:tc>
          <w:tcPr>
            <w:tcW w:w="1502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MAXIMUM</w:t>
            </w:r>
          </w:p>
        </w:tc>
        <w:tc>
          <w:tcPr>
            <w:tcW w:w="1320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LIMITS</w:t>
            </w:r>
          </w:p>
        </w:tc>
        <w:tc>
          <w:tcPr>
            <w:tcW w:w="1616" w:type="dxa"/>
            <w:shd w:val="clear" w:color="auto" w:fill="ACB9CA" w:themeFill="text2" w:themeFillTint="66"/>
          </w:tcPr>
          <w:p w:rsidR="00165B9E" w:rsidRPr="008D64A2" w:rsidRDefault="00165B9E" w:rsidP="007C7E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</w:tc>
      </w:tr>
      <w:tr w:rsidR="00165B9E" w:rsidRPr="008D64A2" w:rsidTr="007C7EA4">
        <w:tc>
          <w:tcPr>
            <w:tcW w:w="1737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  <w:r w:rsidRPr="008D64A2">
              <w:rPr>
                <w:rFonts w:ascii="Arial" w:hAnsi="Arial" w:cs="Arial"/>
                <w:sz w:val="24"/>
                <w:szCs w:val="24"/>
              </w:rPr>
              <w:t xml:space="preserve"> HARMONIC DISTORTION</w:t>
            </w:r>
            <w:r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1184" w:type="dxa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</w:t>
            </w:r>
          </w:p>
        </w:tc>
        <w:tc>
          <w:tcPr>
            <w:tcW w:w="1469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2.11</w:t>
            </w:r>
          </w:p>
        </w:tc>
        <w:tc>
          <w:tcPr>
            <w:tcW w:w="1468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1502" w:type="dxa"/>
            <w:vAlign w:val="bottom"/>
          </w:tcPr>
          <w:p w:rsidR="00165B9E" w:rsidRDefault="00165B9E" w:rsidP="007C7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2.68</w:t>
            </w:r>
          </w:p>
        </w:tc>
        <w:tc>
          <w:tcPr>
            <w:tcW w:w="1320" w:type="dxa"/>
            <w:vMerge w:val="restart"/>
          </w:tcPr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B9E" w:rsidRPr="008D64A2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64A2">
              <w:rPr>
                <w:rFonts w:ascii="Arial" w:hAnsi="Arial" w:cs="Arial"/>
                <w:b/>
                <w:sz w:val="24"/>
                <w:szCs w:val="24"/>
              </w:rPr>
              <w:t>5%</w:t>
            </w:r>
          </w:p>
        </w:tc>
        <w:tc>
          <w:tcPr>
            <w:tcW w:w="1616" w:type="dxa"/>
            <w:vMerge w:val="restart"/>
          </w:tcPr>
          <w:p w:rsidR="00165B9E" w:rsidRPr="00FB2C4F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B9E" w:rsidRPr="00FB2C4F" w:rsidRDefault="00165B9E" w:rsidP="007C7EA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2C4F">
              <w:rPr>
                <w:rFonts w:ascii="Arial" w:hAnsi="Arial" w:cs="Arial"/>
                <w:b/>
                <w:sz w:val="24"/>
                <w:szCs w:val="24"/>
              </w:rPr>
              <w:t>WITHIN LIMITS</w:t>
            </w:r>
          </w:p>
        </w:tc>
      </w:tr>
    </w:tbl>
    <w:p w:rsidR="00165B9E" w:rsidRDefault="00165B9E" w:rsidP="00CB140F">
      <w:pPr>
        <w:jc w:val="center"/>
        <w:rPr>
          <w:highlight w:val="lightGray"/>
        </w:rPr>
      </w:pPr>
    </w:p>
    <w:sectPr w:rsidR="00165B9E" w:rsidSect="004761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7E"/>
    <w:rsid w:val="000A197B"/>
    <w:rsid w:val="0011675D"/>
    <w:rsid w:val="00154F0A"/>
    <w:rsid w:val="00165B9E"/>
    <w:rsid w:val="001A165A"/>
    <w:rsid w:val="001C049A"/>
    <w:rsid w:val="002822C2"/>
    <w:rsid w:val="00304161"/>
    <w:rsid w:val="00383729"/>
    <w:rsid w:val="003A7254"/>
    <w:rsid w:val="003E767E"/>
    <w:rsid w:val="00476108"/>
    <w:rsid w:val="0052030F"/>
    <w:rsid w:val="0065499E"/>
    <w:rsid w:val="00793835"/>
    <w:rsid w:val="007B3B1F"/>
    <w:rsid w:val="00976AE1"/>
    <w:rsid w:val="00983F40"/>
    <w:rsid w:val="00A652BD"/>
    <w:rsid w:val="00CB140F"/>
    <w:rsid w:val="00D764B4"/>
    <w:rsid w:val="00F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46E66-E1B9-450E-AD4D-2DB498F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F40"/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983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983F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165B9E"/>
    <w:pPr>
      <w:spacing w:after="0" w:line="240" w:lineRule="auto"/>
    </w:pPr>
    <w:rPr>
      <w:rFonts w:eastAsiaTheme="minorEastAsia"/>
      <w:lang w:eastAsia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2019-02-22T23:58:00Z</dcterms:created>
  <dcterms:modified xsi:type="dcterms:W3CDTF">2019-03-06T12:43:00Z</dcterms:modified>
</cp:coreProperties>
</file>