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F6B24CA" w14:textId="77777777" w:rsidR="00AB0DC8" w:rsidRDefault="00000000">
      <w:pPr>
        <w:jc w:val="center"/>
        <w:rPr>
          <w:rFonts w:ascii="Lora SemiBold" w:eastAsia="Lora SemiBold" w:hAnsi="Lora SemiBold" w:cs="Lora SemiBold"/>
          <w:sz w:val="40"/>
          <w:szCs w:val="40"/>
        </w:rPr>
      </w:pPr>
      <w:r>
        <w:rPr>
          <w:rFonts w:ascii="Lora" w:eastAsia="Lora" w:hAnsi="Lora" w:cs="Lora"/>
          <w:b/>
          <w:sz w:val="40"/>
          <w:szCs w:val="40"/>
        </w:rPr>
        <w:t>Data Dictionary</w:t>
      </w:r>
    </w:p>
    <w:p w14:paraId="3C6F27C3" w14:textId="77777777" w:rsidR="00AB0DC8" w:rsidRDefault="00AB0DC8">
      <w:pPr>
        <w:jc w:val="center"/>
        <w:rPr>
          <w:rFonts w:ascii="Lora" w:eastAsia="Lora" w:hAnsi="Lora" w:cs="Lora"/>
          <w:b/>
          <w:sz w:val="24"/>
          <w:szCs w:val="24"/>
        </w:rPr>
      </w:pPr>
    </w:p>
    <w:tbl>
      <w:tblPr>
        <w:tblStyle w:val="a"/>
        <w:tblW w:w="999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40"/>
        <w:gridCol w:w="5850"/>
      </w:tblGrid>
      <w:tr w:rsidR="00AB0DC8" w14:paraId="0E2DD121" w14:textId="77777777">
        <w:trPr>
          <w:jc w:val="center"/>
        </w:trPr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52E2C" w14:textId="77777777" w:rsidR="00AB0DC8" w:rsidRDefault="00000000">
            <w:pPr>
              <w:jc w:val="center"/>
              <w:rPr>
                <w:rFonts w:ascii="Lora Medium" w:eastAsia="Lora Medium" w:hAnsi="Lora Medium" w:cs="Lora Medium"/>
                <w:sz w:val="28"/>
                <w:szCs w:val="28"/>
              </w:rPr>
            </w:pPr>
            <w:r>
              <w:rPr>
                <w:rFonts w:ascii="Lora SemiBold" w:eastAsia="Lora SemiBold" w:hAnsi="Lora SemiBold" w:cs="Lora SemiBold"/>
                <w:sz w:val="28"/>
                <w:szCs w:val="28"/>
              </w:rPr>
              <w:t>Indicator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908A7" w14:textId="77777777" w:rsidR="00AB0DC8" w:rsidRDefault="00000000">
            <w:pPr>
              <w:jc w:val="center"/>
              <w:rPr>
                <w:rFonts w:ascii="Lora Medium" w:eastAsia="Lora Medium" w:hAnsi="Lora Medium" w:cs="Lora Medium"/>
                <w:sz w:val="28"/>
                <w:szCs w:val="28"/>
              </w:rPr>
            </w:pPr>
            <w:r>
              <w:rPr>
                <w:rFonts w:ascii="Lora SemiBold" w:eastAsia="Lora SemiBold" w:hAnsi="Lora SemiBold" w:cs="Lora SemiBold"/>
                <w:sz w:val="28"/>
                <w:szCs w:val="28"/>
              </w:rPr>
              <w:t>Definition</w:t>
            </w:r>
          </w:p>
        </w:tc>
      </w:tr>
      <w:tr w:rsidR="00AB0DC8" w14:paraId="3825BD75" w14:textId="77777777">
        <w:trPr>
          <w:jc w:val="center"/>
        </w:trPr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C8607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Under-five mortality rate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E865E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The probability of death occurring between birth and exactly 5 years of age, expressed as the number of deaths per 1,000 live births</w:t>
            </w:r>
          </w:p>
        </w:tc>
      </w:tr>
      <w:tr w:rsidR="00AB0DC8" w14:paraId="3D57F898" w14:textId="77777777">
        <w:trPr>
          <w:jc w:val="center"/>
        </w:trPr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20E58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Annual rate of reduction in under-five mortality rate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CFB77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The annual percentage reduction in the under-five mortality rate (U5MR) defined as ARR=100*(ln(U5MRt2/U5MRt1)/(t1-t2)), where t1=2000 and t2=2021</w:t>
            </w:r>
          </w:p>
        </w:tc>
      </w:tr>
      <w:tr w:rsidR="00AB0DC8" w14:paraId="0D05F3A0" w14:textId="77777777">
        <w:trPr>
          <w:jc w:val="center"/>
        </w:trPr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8BC80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Infant mortality rate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4802C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The probability of death happening between birth and exactly 1 year of age, expressed per 1,000 live births.</w:t>
            </w:r>
          </w:p>
        </w:tc>
      </w:tr>
      <w:tr w:rsidR="00AB0DC8" w14:paraId="40485197" w14:textId="77777777">
        <w:trPr>
          <w:jc w:val="center"/>
        </w:trPr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FFA39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Neonatal mortality rate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F1FEB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The probability of death occurring during the initial 28 days of life, expressed per 1,000 live births.</w:t>
            </w:r>
          </w:p>
        </w:tc>
      </w:tr>
      <w:tr w:rsidR="00AB0DC8" w14:paraId="16741990" w14:textId="77777777">
        <w:trPr>
          <w:jc w:val="center"/>
        </w:trPr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ED1D1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Mortality rate (children aged 5 to 14 years)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40F1A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The probability of dying at age 5–14 years expressed per 1,000 children aged 5.</w:t>
            </w:r>
          </w:p>
        </w:tc>
      </w:tr>
      <w:tr w:rsidR="00AB0DC8" w14:paraId="2B86DC31" w14:textId="77777777">
        <w:trPr>
          <w:jc w:val="center"/>
        </w:trPr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556DE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Probability of dying among children aged 5–14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6D46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The likelihood of death at ages 5–14 years, expressed per 1,000 children aged 5.</w:t>
            </w:r>
          </w:p>
        </w:tc>
      </w:tr>
      <w:tr w:rsidR="00AB0DC8" w14:paraId="6C80DEAE" w14:textId="77777777">
        <w:trPr>
          <w:jc w:val="center"/>
        </w:trPr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9FB65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Probability of dying among youth aged 15–24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E495A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The likelihood of death at ages 15–24 years, expressed per 1,000 youth aged 15.</w:t>
            </w:r>
          </w:p>
        </w:tc>
      </w:tr>
      <w:tr w:rsidR="00AB0DC8" w14:paraId="08A4B5CC" w14:textId="77777777">
        <w:trPr>
          <w:jc w:val="center"/>
        </w:trPr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BA303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Probability of dying among adolescents aged 10–19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96FD9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The likelihood of death at ages 15–24 years, expressed per 1,000 youth aged 15.</w:t>
            </w:r>
          </w:p>
        </w:tc>
      </w:tr>
      <w:tr w:rsidR="00AB0DC8" w14:paraId="625C4F1C" w14:textId="77777777">
        <w:trPr>
          <w:jc w:val="center"/>
        </w:trPr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EFE0B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Under-five deaths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4C8E8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The number of deaths among children under 5 years of age</w:t>
            </w:r>
          </w:p>
        </w:tc>
      </w:tr>
      <w:tr w:rsidR="00AB0DC8" w14:paraId="24156A8A" w14:textId="77777777">
        <w:trPr>
          <w:jc w:val="center"/>
        </w:trPr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3D56B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Neonatal deaths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F2118" w14:textId="77777777" w:rsidR="00AB0DC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The number of deaths occurring within the first 28 days of life</w:t>
            </w:r>
          </w:p>
        </w:tc>
      </w:tr>
      <w:tr w:rsidR="00AB0DC8" w14:paraId="13A423D0" w14:textId="77777777">
        <w:trPr>
          <w:jc w:val="center"/>
        </w:trPr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4FB49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Neonatal deaths as a percentage of under-five deaths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9007A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The percentage of under-five deaths occurring within the first 28 days of life</w:t>
            </w:r>
          </w:p>
        </w:tc>
      </w:tr>
      <w:tr w:rsidR="00AB0DC8" w14:paraId="4F6BD2DC" w14:textId="77777777">
        <w:trPr>
          <w:jc w:val="center"/>
        </w:trPr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E8DB9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Deaths among children aged 5–14 years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FBDA9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The number of deaths among children aged 5 to 14 years</w:t>
            </w:r>
          </w:p>
        </w:tc>
      </w:tr>
      <w:tr w:rsidR="00AB0DC8" w14:paraId="71B131A5" w14:textId="77777777">
        <w:trPr>
          <w:jc w:val="center"/>
        </w:trPr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53349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Stillbirth rate (SBR)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D70E7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The number of babies born with no sign of life at 28 weeks or more of gestation per 1,000 total births</w:t>
            </w:r>
          </w:p>
        </w:tc>
      </w:tr>
      <w:tr w:rsidR="00AB0DC8" w14:paraId="743B36EA" w14:textId="77777777">
        <w:trPr>
          <w:jc w:val="center"/>
        </w:trPr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A7E27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Stillbirths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677B5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The number of stillbirths</w:t>
            </w:r>
          </w:p>
        </w:tc>
      </w:tr>
      <w:tr w:rsidR="00AB0DC8" w14:paraId="3BF498BA" w14:textId="77777777">
        <w:trPr>
          <w:jc w:val="center"/>
        </w:trPr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698E2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Annual rate of reduction in stillbirth rate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3E2E7" w14:textId="77777777" w:rsidR="00AB0DC8" w:rsidRDefault="00000000">
            <w:pPr>
              <w:widowControl w:val="0"/>
              <w:spacing w:line="240" w:lineRule="auto"/>
              <w:rPr>
                <w:rFonts w:ascii="Lora Medium" w:eastAsia="Lora Medium" w:hAnsi="Lora Medium" w:cs="Lora Medium"/>
                <w:sz w:val="20"/>
                <w:szCs w:val="20"/>
              </w:rPr>
            </w:pPr>
            <w:r>
              <w:rPr>
                <w:rFonts w:ascii="Lora Medium" w:eastAsia="Lora Medium" w:hAnsi="Lora Medium" w:cs="Lora Medium"/>
                <w:sz w:val="20"/>
                <w:szCs w:val="20"/>
              </w:rPr>
              <w:t>The annual percentage reduction in the stillbirth rate (SBR) defined as ARR=100*(</w:t>
            </w:r>
            <w:proofErr w:type="gramStart"/>
            <w:r>
              <w:rPr>
                <w:rFonts w:ascii="Lora Medium" w:eastAsia="Lora Medium" w:hAnsi="Lora Medium" w:cs="Lora Medium"/>
                <w:sz w:val="20"/>
                <w:szCs w:val="20"/>
              </w:rPr>
              <w:t>ln(</w:t>
            </w:r>
            <w:proofErr w:type="gramEnd"/>
            <w:r>
              <w:rPr>
                <w:rFonts w:ascii="Lora Medium" w:eastAsia="Lora Medium" w:hAnsi="Lora Medium" w:cs="Lora Medium"/>
                <w:sz w:val="20"/>
                <w:szCs w:val="20"/>
              </w:rPr>
              <w:t>SBRt2/SBRt1)/(t1-t2)), where t1=2000 and t2=2021</w:t>
            </w:r>
          </w:p>
        </w:tc>
      </w:tr>
    </w:tbl>
    <w:p w14:paraId="3193E51F" w14:textId="77777777" w:rsidR="00AB0DC8" w:rsidRDefault="00AB0DC8">
      <w:pPr>
        <w:rPr>
          <w:rFonts w:ascii="Lora" w:eastAsia="Lora" w:hAnsi="Lora" w:cs="Lora"/>
          <w:b/>
          <w:sz w:val="24"/>
          <w:szCs w:val="24"/>
        </w:rPr>
      </w:pPr>
    </w:p>
    <w:p w14:paraId="11C9B007" w14:textId="77777777" w:rsidR="00AB0DC8" w:rsidRDefault="00000000">
      <w:pPr>
        <w:rPr>
          <w:rFonts w:ascii="Lora" w:eastAsia="Lora" w:hAnsi="Lora" w:cs="Lora"/>
          <w:b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Source:</w:t>
      </w:r>
    </w:p>
    <w:p w14:paraId="0172C740" w14:textId="77777777" w:rsidR="00AB0DC8" w:rsidRDefault="00000000">
      <w:pPr>
        <w:rPr>
          <w:rFonts w:ascii="Lora" w:eastAsia="Lora" w:hAnsi="Lora" w:cs="Lora"/>
          <w:sz w:val="24"/>
          <w:szCs w:val="24"/>
        </w:rPr>
      </w:pPr>
      <w:hyperlink r:id="rId6">
        <w:r>
          <w:rPr>
            <w:rFonts w:ascii="Lora" w:eastAsia="Lora" w:hAnsi="Lora" w:cs="Lora"/>
            <w:color w:val="1155CC"/>
            <w:sz w:val="24"/>
            <w:szCs w:val="24"/>
            <w:u w:val="single"/>
          </w:rPr>
          <w:t>https://data.unicef.org/topic/child-survival/under-five-mortality/</w:t>
        </w:r>
      </w:hyperlink>
      <w:r>
        <w:rPr>
          <w:rFonts w:ascii="Lora" w:eastAsia="Lora" w:hAnsi="Lora" w:cs="Lora"/>
          <w:sz w:val="24"/>
          <w:szCs w:val="24"/>
        </w:rPr>
        <w:t xml:space="preserve"> </w:t>
      </w:r>
    </w:p>
    <w:sectPr w:rsidR="00AB0DC8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EA60B" w14:textId="77777777" w:rsidR="00E935FE" w:rsidRDefault="00E935FE" w:rsidP="00630F62">
      <w:pPr>
        <w:spacing w:line="240" w:lineRule="auto"/>
      </w:pPr>
      <w:r>
        <w:separator/>
      </w:r>
    </w:p>
  </w:endnote>
  <w:endnote w:type="continuationSeparator" w:id="0">
    <w:p w14:paraId="2EA9EF80" w14:textId="77777777" w:rsidR="00E935FE" w:rsidRDefault="00E935FE" w:rsidP="00630F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EBFB2023-3E1E-244A-8B21-FCE97E0DBD99}"/>
    <w:embedItalic r:id="rId2" w:fontKey="{84F27B01-1E1C-E54F-A699-C7E8EB75BF1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196376FD-1DCA-8841-9476-7260A2C25FC5}"/>
  </w:font>
  <w:font w:name="Lora SemiBold">
    <w:altName w:val="Calibri"/>
    <w:charset w:val="4D"/>
    <w:family w:val="auto"/>
    <w:pitch w:val="variable"/>
    <w:sig w:usb0="A00002FF" w:usb1="5000204B" w:usb2="00000000" w:usb3="00000000" w:csb0="00000097" w:csb1="00000000"/>
    <w:embedRegular r:id="rId4" w:fontKey="{4BCEBC0D-14B9-F644-A9AD-6F5BBD7C56AD}"/>
  </w:font>
  <w:font w:name="Lora">
    <w:panose1 w:val="00000000000000000000"/>
    <w:charset w:val="4D"/>
    <w:family w:val="auto"/>
    <w:pitch w:val="variable"/>
    <w:sig w:usb0="A00002FF" w:usb1="5000204B" w:usb2="00000000" w:usb3="00000000" w:csb0="00000097" w:csb1="00000000"/>
    <w:embedRegular r:id="rId5" w:fontKey="{9B1C2A1F-B7CF-D04E-A74A-95015FB868E3}"/>
    <w:embedBold r:id="rId6" w:fontKey="{812302E1-1F57-8F42-ADDC-28CEF9143410}"/>
  </w:font>
  <w:font w:name="Lora Medium">
    <w:panose1 w:val="00000000000000000000"/>
    <w:charset w:val="4D"/>
    <w:family w:val="auto"/>
    <w:pitch w:val="variable"/>
    <w:sig w:usb0="A00002F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DA460B08-CD05-1443-8915-D616E4DA309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96D7895A-9AF0-9C4B-BCC6-D4C503F5C3A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90488" w14:textId="77777777" w:rsidR="00630F62" w:rsidRDefault="00630F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BDAD8" w14:textId="77777777" w:rsidR="00630F62" w:rsidRDefault="00630F6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01DDB" w14:textId="77777777" w:rsidR="00630F62" w:rsidRDefault="00630F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B338B" w14:textId="77777777" w:rsidR="00E935FE" w:rsidRDefault="00E935FE" w:rsidP="00630F62">
      <w:pPr>
        <w:spacing w:line="240" w:lineRule="auto"/>
      </w:pPr>
      <w:r>
        <w:separator/>
      </w:r>
    </w:p>
  </w:footnote>
  <w:footnote w:type="continuationSeparator" w:id="0">
    <w:p w14:paraId="0D72EA7B" w14:textId="77777777" w:rsidR="00E935FE" w:rsidRDefault="00E935FE" w:rsidP="00630F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154F1" w14:textId="77777777" w:rsidR="00630F62" w:rsidRDefault="00630F6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B6737" w14:textId="77777777" w:rsidR="00630F62" w:rsidRDefault="00630F6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81BE4" w14:textId="77777777" w:rsidR="00630F62" w:rsidRDefault="00630F6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0DC8"/>
    <w:rsid w:val="00630F62"/>
    <w:rsid w:val="00AB0DC8"/>
    <w:rsid w:val="00E9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274CA4"/>
  <w15:docId w15:val="{EBA2AA44-C991-4941-B55B-F97C27BBE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F6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F62"/>
  </w:style>
  <w:style w:type="paragraph" w:styleId="Footer">
    <w:name w:val="footer"/>
    <w:basedOn w:val="Normal"/>
    <w:link w:val="FooterChar"/>
    <w:uiPriority w:val="99"/>
    <w:unhideWhenUsed/>
    <w:rsid w:val="00630F6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F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ata.unicef.org/topic/child-survival/under-five-mortality/" TargetMode="External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307</Words>
  <Characters>1753</Characters>
  <Application>Microsoft Office Word</Application>
  <DocSecurity>0</DocSecurity>
  <Lines>14</Lines>
  <Paragraphs>4</Paragraphs>
  <ScaleCrop>false</ScaleCrop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Antoinette-Ivy Owusu</cp:lastModifiedBy>
  <cp:revision>2</cp:revision>
  <dcterms:created xsi:type="dcterms:W3CDTF">2024-03-20T21:39:00Z</dcterms:created>
  <dcterms:modified xsi:type="dcterms:W3CDTF">2024-03-20T21:51:00Z</dcterms:modified>
</cp:coreProperties>
</file>