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Lora SemiBold" w:cs="Lora SemiBold" w:eastAsia="Lora SemiBold" w:hAnsi="Lora SemiBold"/>
          <w:sz w:val="40"/>
          <w:szCs w:val="40"/>
        </w:rPr>
      </w:pPr>
      <w:r w:rsidDel="00000000" w:rsidR="00000000" w:rsidRPr="00000000">
        <w:rPr>
          <w:rFonts w:ascii="Lora" w:cs="Lora" w:eastAsia="Lora" w:hAnsi="Lora"/>
          <w:b w:val="1"/>
          <w:sz w:val="40"/>
          <w:szCs w:val="40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850"/>
        <w:tblGridChange w:id="0">
          <w:tblGrid>
            <w:gridCol w:w="414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28"/>
                <w:szCs w:val="28"/>
                <w:rtl w:val="0"/>
              </w:rPr>
              <w:t xml:space="preserve">Indicator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Lora Medium" w:cs="Lora Medium" w:eastAsia="Lora Medium" w:hAnsi="Lora Medium"/>
                <w:sz w:val="28"/>
                <w:szCs w:val="28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28"/>
                <w:szCs w:val="28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Under-five mortality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probability of death occurring between birth and exactly 5 years of age, expressed as the number of deaths per 1,000 live births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Annual rate of reduction in under-five mortality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annual percentage reduction in the under-five mortality rate (U5MR) defined as ARR=100*(ln(U5MRt2/U5MRt1)/(t1-t2)), where t1=2000 and t2=2021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Infant mortality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probability of death happening between birth and exactly 1 year of age, expressed per 1,000 live births.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Neonatal mortality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probability of death occurring during the initial 28 days of life, expressed per 1,000 live births.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Mortality rate (children aged 5 to 14 years)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probability of dying at age 5–14 years expressed per 1,000 children aged 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Probability of dying among children aged 5–14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likelihood of death at ages 5–14 years, expressed per 1,000 children aged 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Probability of dying among youth aged 15–24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likelihood of death at ages 15–24 years, expressed per 1,000 youth aged 15.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Probability of dying among adolescents aged 10–19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likelihood of death at ages 15–24 years, expressed per 1,000 youth aged 15.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Under-five deaths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number of deaths among children under 5 years of 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Neonatal deaths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number of deaths occurring within the first 28 days of life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Neonatal deaths as a percentage of under-five deaths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percentage of under-five deaths occurring within the first 28 days of life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Deaths among children aged 5–14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number of deaths among children aged 5 to 14 years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Stillbirth rate (SBR)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number of babies born with no sign of life at 28 weeks or more of gestation per 1,000 total births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Stillbirths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number of stillbirths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Annual rate of reduction in stillbirth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ora Medium" w:cs="Lora Medium" w:eastAsia="Lora Medium" w:hAnsi="Lora Medium"/>
                <w:sz w:val="20"/>
                <w:szCs w:val="2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sz w:val="20"/>
                <w:szCs w:val="20"/>
                <w:rtl w:val="0"/>
              </w:rPr>
              <w:t xml:space="preserve">The annual percentage reduction in the stillbirth rate (SBR) defined as ARR=100*(ln(SBRt2/SBRt1)/(t1-t2)), where t1=2000 and t2=2021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Source:</w:t>
      </w:r>
    </w:p>
    <w:p w:rsidR="00000000" w:rsidDel="00000000" w:rsidP="00000000" w:rsidRDefault="00000000" w:rsidRPr="00000000" w14:paraId="00000025">
      <w:pPr>
        <w:jc w:val="left"/>
        <w:rPr>
          <w:rFonts w:ascii="Lora" w:cs="Lora" w:eastAsia="Lora" w:hAnsi="Lora"/>
          <w:sz w:val="24"/>
          <w:szCs w:val="24"/>
        </w:rPr>
      </w:pPr>
      <w:hyperlink r:id="rId6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https://data.unicef.org/topic/child-survival/under-five-mortality/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unicef.org/topic/child-survival/under-five-mortali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LoraSemiBold-regular.ttf"/><Relationship Id="rId6" Type="http://schemas.openxmlformats.org/officeDocument/2006/relationships/font" Target="fonts/LoraSemiBold-bold.ttf"/><Relationship Id="rId7" Type="http://schemas.openxmlformats.org/officeDocument/2006/relationships/font" Target="fonts/LoraSemiBold-italic.ttf"/><Relationship Id="rId8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