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DA8C" w14:textId="77777777" w:rsidR="00C3699C" w:rsidRDefault="00000000">
      <w:pPr>
        <w:spacing w:after="120"/>
        <w:jc w:val="center"/>
      </w:pPr>
      <w:r>
        <w:rPr>
          <w:rFonts w:eastAsia="Arial"/>
          <w:b/>
          <w:bCs/>
          <w:color w:val="1F3864"/>
          <w:sz w:val="52"/>
          <w:szCs w:val="52"/>
        </w:rPr>
        <w:t>Interview Questions</w:t>
      </w:r>
    </w:p>
    <w:p w14:paraId="1622F5C4" w14:textId="77777777" w:rsidR="00C3699C" w:rsidRDefault="00000000">
      <w:pPr>
        <w:spacing w:after="60"/>
        <w:jc w:val="center"/>
      </w:pPr>
      <w:r>
        <w:rPr>
          <w:rFonts w:eastAsia="Arial"/>
          <w:b/>
          <w:bCs/>
          <w:color w:val="2E75B6"/>
          <w:sz w:val="30"/>
          <w:szCs w:val="30"/>
        </w:rPr>
        <w:t>Data Analyst / Junior Quant</w:t>
      </w:r>
    </w:p>
    <w:p w14:paraId="563B2FED" w14:textId="77777777" w:rsidR="00C3699C" w:rsidRDefault="00000000">
      <w:pPr>
        <w:spacing w:after="480"/>
        <w:jc w:val="center"/>
      </w:pPr>
      <w:r>
        <w:rPr>
          <w:rFonts w:eastAsia="Arial"/>
          <w:i/>
          <w:iCs/>
          <w:color w:val="595959"/>
          <w:sz w:val="22"/>
          <w:szCs w:val="22"/>
        </w:rPr>
        <w:t>Based on Lecture 3: Regularization and Model Stability</w:t>
      </w:r>
    </w:p>
    <w:p w14:paraId="37AA7B21" w14:textId="77777777" w:rsidR="00C3699C" w:rsidRDefault="00000000">
      <w:pPr>
        <w:pStyle w:val="Heading2"/>
      </w:pPr>
      <w:r>
        <w:t>Coefficient Instability &amp; Multicollinearity</w:t>
      </w:r>
    </w:p>
    <w:p w14:paraId="22426746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What is coefficient instability in OLS regression, and why does it matter for a quant forecaster?</w:t>
      </w:r>
    </w:p>
    <w:p w14:paraId="6880AA70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Core concept — tests whether the candidate understands why OLS can be unreliable even when in-sample fit looks good.</w:t>
      </w:r>
    </w:p>
    <w:p w14:paraId="3403C742" w14:textId="77777777" w:rsidR="00623061" w:rsidRDefault="00623061">
      <w:pPr>
        <w:spacing w:after="80"/>
        <w:ind w:left="720"/>
        <w:rPr>
          <w:rFonts w:hint="eastAsia"/>
        </w:rPr>
      </w:pPr>
    </w:p>
    <w:p w14:paraId="3A8A4E78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Explain multicollinearity. Why do equity market predictors like lagged MSFT, AAPL, JPM, and XOM returns exhibit it?</w:t>
      </w:r>
    </w:p>
    <w:p w14:paraId="66F124B0" w14:textId="77777777" w:rsidR="00C3699C" w:rsidRDefault="00000000">
      <w:pPr>
        <w:spacing w:after="80"/>
        <w:ind w:left="720"/>
      </w:pPr>
      <w:r>
        <w:rPr>
          <w:rFonts w:eastAsia="Arial"/>
          <w:i/>
          <w:iCs/>
          <w:color w:val="2E75B6"/>
          <w:sz w:val="22"/>
          <w:szCs w:val="22"/>
        </w:rPr>
        <w:t>▶ Tests: Tests understanding of why multicollinearity is endemic in financial data — relevant to any role using multi-factor models.</w:t>
      </w:r>
    </w:p>
    <w:p w14:paraId="04505FDF" w14:textId="26F7939D" w:rsidR="00C3699C" w:rsidRDefault="00000000">
      <w:pPr>
        <w:spacing w:after="280"/>
        <w:ind w:left="720"/>
      </w:pPr>
      <w:r>
        <w:rPr>
          <w:rFonts w:eastAsia="Arial"/>
          <w:color w:val="404040"/>
          <w:sz w:val="22"/>
          <w:szCs w:val="22"/>
        </w:rPr>
        <w:t>.</w:t>
      </w:r>
    </w:p>
    <w:p w14:paraId="1A7A9A86" w14:textId="77777777" w:rsidR="00C3699C" w:rsidRDefault="00000000">
      <w:pPr>
        <w:pStyle w:val="Heading2"/>
      </w:pPr>
      <w:r>
        <w:t>Ridge and Lasso Regularization</w:t>
      </w:r>
    </w:p>
    <w:p w14:paraId="6C86B61B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Explain the Ridge regression penalty. What does shrinking coefficients toward zero achieve, and what does it cost?</w:t>
      </w:r>
    </w:p>
    <w:p w14:paraId="07052931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Fundamental regularization concept — asked in virtually every quant or ML-adjacent interview.</w:t>
      </w:r>
    </w:p>
    <w:p w14:paraId="660E1236" w14:textId="77777777" w:rsidR="00623061" w:rsidRDefault="00623061">
      <w:pPr>
        <w:spacing w:after="80"/>
        <w:ind w:left="720"/>
        <w:rPr>
          <w:rFonts w:hint="eastAsia"/>
        </w:rPr>
      </w:pPr>
    </w:p>
    <w:p w14:paraId="224AF36E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What is Lasso regression? Why can it produce exactly zero coefficients while Ridge cannot?</w:t>
      </w:r>
    </w:p>
    <w:p w14:paraId="30698F17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Differentiates candidates who understand the geometry of regularization vs. those who have only memorized names.</w:t>
      </w:r>
    </w:p>
    <w:p w14:paraId="026B2B6F" w14:textId="77777777" w:rsidR="00623061" w:rsidRDefault="00623061">
      <w:pPr>
        <w:spacing w:after="80"/>
        <w:ind w:left="720"/>
        <w:rPr>
          <w:rFonts w:hint="eastAsia"/>
        </w:rPr>
      </w:pPr>
    </w:p>
    <w:p w14:paraId="48271E7F" w14:textId="77777777" w:rsidR="00C3699C" w:rsidRDefault="00000000">
      <w:pPr>
        <w:pStyle w:val="Heading2"/>
      </w:pPr>
      <w:r>
        <w:t>Hyperparameter Tuning</w:t>
      </w:r>
    </w:p>
    <w:p w14:paraId="1FC9D89D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How do you choose the regularization parameter λ for Ridge or Lasso in a time-series setting?</w:t>
      </w:r>
    </w:p>
    <w:p w14:paraId="1D87B6C9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Tests workflow knowledge — separates candidates who know the concepts from those who can apply them correctly.</w:t>
      </w:r>
    </w:p>
    <w:p w14:paraId="6AF31B86" w14:textId="77777777" w:rsidR="00623061" w:rsidRDefault="00623061">
      <w:pPr>
        <w:spacing w:after="80"/>
        <w:ind w:left="720"/>
        <w:rPr>
          <w:rFonts w:hint="eastAsia"/>
        </w:rPr>
      </w:pPr>
    </w:p>
    <w:p w14:paraId="6F40EBB7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Why must we standardize features before applying Ridge or Lasso? What goes wrong if we skip this step?</w:t>
      </w:r>
    </w:p>
    <w:p w14:paraId="289FB4AF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lastRenderedPageBreak/>
        <w:t>▶ Tests: Practical data preprocessing knowledge — tested in data science and quant screening interviews.</w:t>
      </w:r>
    </w:p>
    <w:p w14:paraId="72E9C119" w14:textId="77777777" w:rsidR="00623061" w:rsidRDefault="00623061">
      <w:pPr>
        <w:spacing w:after="80"/>
        <w:ind w:left="720"/>
        <w:rPr>
          <w:rFonts w:hint="eastAsia"/>
        </w:rPr>
      </w:pPr>
    </w:p>
    <w:p w14:paraId="6F8172EE" w14:textId="77777777" w:rsidR="00C3699C" w:rsidRDefault="00000000">
      <w:pPr>
        <w:pStyle w:val="Heading2"/>
      </w:pPr>
      <w:r>
        <w:t>Bias-Variance and Model Selection</w:t>
      </w:r>
    </w:p>
    <w:p w14:paraId="5422FA83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 xml:space="preserve">A colleague </w:t>
      </w:r>
      <w:proofErr w:type="gramStart"/>
      <w:r>
        <w:rPr>
          <w:rFonts w:eastAsia="Arial"/>
          <w:b/>
          <w:bCs/>
        </w:rPr>
        <w:t>says</w:t>
      </w:r>
      <w:proofErr w:type="gramEnd"/>
      <w:r>
        <w:rPr>
          <w:rFonts w:eastAsia="Arial"/>
          <w:b/>
          <w:bCs/>
        </w:rPr>
        <w:t xml:space="preserve"> ‘Lasso zeroed out lagged XOM and AAPL, so they must not predict the S&amp;P 500.’ Do you agree?</w:t>
      </w:r>
    </w:p>
    <w:p w14:paraId="5CF15C90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Critical thinking about model output — tests statistical maturity and avoidance of causal overreach.</w:t>
      </w:r>
    </w:p>
    <w:p w14:paraId="354DF391" w14:textId="77777777" w:rsidR="00623061" w:rsidRDefault="00623061">
      <w:pPr>
        <w:spacing w:after="80"/>
        <w:ind w:left="720"/>
        <w:rPr>
          <w:rFonts w:hint="eastAsia"/>
        </w:rPr>
      </w:pPr>
    </w:p>
    <w:p w14:paraId="3F42F7B5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When would you prefer Ridge over Lasso, and when would Lasso be the better choice? Give a financial data example for each.</w:t>
      </w:r>
    </w:p>
    <w:p w14:paraId="0725B80B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Applied judgment — a classic follow-up to test whether candidates can translate concepts to decisions.</w:t>
      </w:r>
    </w:p>
    <w:p w14:paraId="4C74066D" w14:textId="77777777" w:rsidR="00623061" w:rsidRDefault="00623061">
      <w:pPr>
        <w:spacing w:after="80"/>
        <w:ind w:left="720"/>
        <w:rPr>
          <w:rFonts w:hint="eastAsia"/>
        </w:rPr>
      </w:pPr>
    </w:p>
    <w:p w14:paraId="7FFEEBE4" w14:textId="77777777" w:rsidR="00C3699C" w:rsidRDefault="00000000">
      <w:pPr>
        <w:pStyle w:val="Heading2"/>
      </w:pPr>
      <w:r>
        <w:t>Rolling Stability and Practical Risk</w:t>
      </w:r>
    </w:p>
    <w:p w14:paraId="71AC99C3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A risk manager asks you to demonstrate that your model’s key relationships are stable over time. How do you do this?</w:t>
      </w:r>
    </w:p>
    <w:p w14:paraId="0593CB80" w14:textId="77777777" w:rsidR="00C3699C" w:rsidRDefault="00000000">
      <w:pPr>
        <w:spacing w:after="80"/>
        <w:ind w:left="720"/>
        <w:rPr>
          <w:rFonts w:eastAsia="Arial"/>
          <w:i/>
          <w:iCs/>
          <w:color w:val="2E75B6"/>
          <w:sz w:val="22"/>
          <w:szCs w:val="22"/>
        </w:rPr>
      </w:pPr>
      <w:r>
        <w:rPr>
          <w:rFonts w:eastAsia="Arial"/>
          <w:i/>
          <w:iCs/>
          <w:color w:val="2E75B6"/>
          <w:sz w:val="22"/>
          <w:szCs w:val="22"/>
        </w:rPr>
        <w:t>▶ Tests: Practical stability assessment — expected from quant candidates in risk or portfolio construction roles.</w:t>
      </w:r>
    </w:p>
    <w:p w14:paraId="7426F89F" w14:textId="77777777" w:rsidR="00623061" w:rsidRDefault="00623061">
      <w:pPr>
        <w:spacing w:after="80"/>
        <w:ind w:left="720"/>
        <w:rPr>
          <w:rFonts w:hint="eastAsia"/>
        </w:rPr>
      </w:pPr>
    </w:p>
    <w:p w14:paraId="403D9CD0" w14:textId="77777777" w:rsidR="00C3699C" w:rsidRDefault="00000000">
      <w:pPr>
        <w:pStyle w:val="ListParagraph"/>
        <w:numPr>
          <w:ilvl w:val="0"/>
          <w:numId w:val="2"/>
        </w:numPr>
        <w:spacing w:before="240" w:after="60"/>
      </w:pPr>
      <w:r>
        <w:rPr>
          <w:rFonts w:eastAsia="Arial"/>
          <w:b/>
          <w:bCs/>
        </w:rPr>
        <w:t>You are building a multi-factor equity return model for live trading. Walk through the end-to-end workflow you would follow, including how regularization fits in.</w:t>
      </w:r>
    </w:p>
    <w:p w14:paraId="16B5A857" w14:textId="77777777" w:rsidR="00C3699C" w:rsidRDefault="00000000">
      <w:pPr>
        <w:spacing w:after="80"/>
        <w:ind w:left="720"/>
      </w:pPr>
      <w:r>
        <w:rPr>
          <w:rFonts w:eastAsia="Arial"/>
          <w:i/>
          <w:iCs/>
          <w:color w:val="2E75B6"/>
          <w:sz w:val="22"/>
          <w:szCs w:val="22"/>
        </w:rPr>
        <w:t>▶ Tests: End-to-end thinking — senior interviewers ask this to distinguish candidates who can operate independently.</w:t>
      </w:r>
    </w:p>
    <w:p w14:paraId="37254214" w14:textId="77777777" w:rsidR="00C3699C" w:rsidRDefault="00000000">
      <w:pPr>
        <w:pBdr>
          <w:top w:val="single" w:sz="4" w:space="0" w:color="CCCCCC"/>
        </w:pBdr>
        <w:spacing w:before="480"/>
      </w:pPr>
      <w:r>
        <w:rPr>
          <w:rFonts w:eastAsia="Arial"/>
          <w:i/>
          <w:iCs/>
          <w:color w:val="888888"/>
          <w:sz w:val="18"/>
          <w:szCs w:val="18"/>
        </w:rPr>
        <w:t>ECON 417 Business Forecasting — Ivy Yang, Southern Illinois University Edwardsville</w:t>
      </w:r>
    </w:p>
    <w:sectPr w:rsidR="00C369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A2B66"/>
    <w:multiLevelType w:val="hybridMultilevel"/>
    <w:tmpl w:val="6A8C099A"/>
    <w:lvl w:ilvl="0" w:tplc="D86087E6">
      <w:start w:val="1"/>
      <w:numFmt w:val="decimal"/>
      <w:lvlText w:val="Q%1."/>
      <w:lvlJc w:val="left"/>
      <w:pPr>
        <w:ind w:left="720" w:hanging="360"/>
      </w:pPr>
    </w:lvl>
    <w:lvl w:ilvl="1" w:tplc="F1D8AF8A">
      <w:numFmt w:val="decimal"/>
      <w:lvlText w:val=""/>
      <w:lvlJc w:val="left"/>
    </w:lvl>
    <w:lvl w:ilvl="2" w:tplc="BB00A5B6">
      <w:numFmt w:val="decimal"/>
      <w:lvlText w:val=""/>
      <w:lvlJc w:val="left"/>
    </w:lvl>
    <w:lvl w:ilvl="3" w:tplc="B50CFFD6">
      <w:numFmt w:val="decimal"/>
      <w:lvlText w:val=""/>
      <w:lvlJc w:val="left"/>
    </w:lvl>
    <w:lvl w:ilvl="4" w:tplc="6D8ACE3C">
      <w:numFmt w:val="decimal"/>
      <w:lvlText w:val=""/>
      <w:lvlJc w:val="left"/>
    </w:lvl>
    <w:lvl w:ilvl="5" w:tplc="85D00F2C">
      <w:numFmt w:val="decimal"/>
      <w:lvlText w:val=""/>
      <w:lvlJc w:val="left"/>
    </w:lvl>
    <w:lvl w:ilvl="6" w:tplc="7292E032">
      <w:numFmt w:val="decimal"/>
      <w:lvlText w:val=""/>
      <w:lvlJc w:val="left"/>
    </w:lvl>
    <w:lvl w:ilvl="7" w:tplc="58F06906">
      <w:numFmt w:val="decimal"/>
      <w:lvlText w:val=""/>
      <w:lvlJc w:val="left"/>
    </w:lvl>
    <w:lvl w:ilvl="8" w:tplc="9E825B50">
      <w:numFmt w:val="decimal"/>
      <w:lvlText w:val=""/>
      <w:lvlJc w:val="left"/>
    </w:lvl>
  </w:abstractNum>
  <w:abstractNum w:abstractNumId="1" w15:restartNumberingAfterBreak="0">
    <w:nsid w:val="75A93151"/>
    <w:multiLevelType w:val="hybridMultilevel"/>
    <w:tmpl w:val="45AE9BBE"/>
    <w:lvl w:ilvl="0" w:tplc="5B2C37E8">
      <w:start w:val="1"/>
      <w:numFmt w:val="bullet"/>
      <w:lvlText w:val="●"/>
      <w:lvlJc w:val="left"/>
      <w:pPr>
        <w:ind w:left="720" w:hanging="360"/>
      </w:pPr>
    </w:lvl>
    <w:lvl w:ilvl="1" w:tplc="3F74BE70">
      <w:start w:val="1"/>
      <w:numFmt w:val="bullet"/>
      <w:lvlText w:val="○"/>
      <w:lvlJc w:val="left"/>
      <w:pPr>
        <w:ind w:left="1440" w:hanging="360"/>
      </w:pPr>
    </w:lvl>
    <w:lvl w:ilvl="2" w:tplc="8668B634">
      <w:start w:val="1"/>
      <w:numFmt w:val="bullet"/>
      <w:lvlText w:val="■"/>
      <w:lvlJc w:val="left"/>
      <w:pPr>
        <w:ind w:left="2160" w:hanging="360"/>
      </w:pPr>
    </w:lvl>
    <w:lvl w:ilvl="3" w:tplc="59E06972">
      <w:start w:val="1"/>
      <w:numFmt w:val="bullet"/>
      <w:lvlText w:val="●"/>
      <w:lvlJc w:val="left"/>
      <w:pPr>
        <w:ind w:left="2880" w:hanging="360"/>
      </w:pPr>
    </w:lvl>
    <w:lvl w:ilvl="4" w:tplc="D4988616">
      <w:start w:val="1"/>
      <w:numFmt w:val="bullet"/>
      <w:lvlText w:val="○"/>
      <w:lvlJc w:val="left"/>
      <w:pPr>
        <w:ind w:left="3600" w:hanging="360"/>
      </w:pPr>
    </w:lvl>
    <w:lvl w:ilvl="5" w:tplc="60225BEC">
      <w:start w:val="1"/>
      <w:numFmt w:val="bullet"/>
      <w:lvlText w:val="■"/>
      <w:lvlJc w:val="left"/>
      <w:pPr>
        <w:ind w:left="4320" w:hanging="360"/>
      </w:pPr>
    </w:lvl>
    <w:lvl w:ilvl="6" w:tplc="FE7C8E74">
      <w:start w:val="1"/>
      <w:numFmt w:val="bullet"/>
      <w:lvlText w:val="●"/>
      <w:lvlJc w:val="left"/>
      <w:pPr>
        <w:ind w:left="5040" w:hanging="360"/>
      </w:pPr>
    </w:lvl>
    <w:lvl w:ilvl="7" w:tplc="5F92B800">
      <w:start w:val="1"/>
      <w:numFmt w:val="bullet"/>
      <w:lvlText w:val="●"/>
      <w:lvlJc w:val="left"/>
      <w:pPr>
        <w:ind w:left="5760" w:hanging="360"/>
      </w:pPr>
    </w:lvl>
    <w:lvl w:ilvl="8" w:tplc="6E82D2AC">
      <w:start w:val="1"/>
      <w:numFmt w:val="bullet"/>
      <w:lvlText w:val="●"/>
      <w:lvlJc w:val="left"/>
      <w:pPr>
        <w:ind w:left="6480" w:hanging="360"/>
      </w:pPr>
    </w:lvl>
  </w:abstractNum>
  <w:num w:numId="1" w16cid:durableId="68112668">
    <w:abstractNumId w:val="1"/>
    <w:lvlOverride w:ilvl="0">
      <w:startOverride w:val="1"/>
    </w:lvlOverride>
  </w:num>
  <w:num w:numId="2" w16cid:durableId="323437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99C"/>
    <w:rsid w:val="00590CB9"/>
    <w:rsid w:val="00623061"/>
    <w:rsid w:val="00C3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DC82A"/>
  <w15:docId w15:val="{6F689531-3724-EC41-AF09-2D67B805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Ivy Yang</cp:lastModifiedBy>
  <cp:revision>2</cp:revision>
  <dcterms:created xsi:type="dcterms:W3CDTF">2026-04-13T16:25:00Z</dcterms:created>
  <dcterms:modified xsi:type="dcterms:W3CDTF">2026-04-13T16:25:00Z</dcterms:modified>
</cp:coreProperties>
</file>