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号様式（第</w:t>
      </w:r>
      <w:r>
        <w:rPr>
          <w:rFonts w:hint="eastAsia"/>
        </w:rPr>
        <w:t>7</w:t>
      </w:r>
      <w:r>
        <w:rPr>
          <w:rFonts w:hint="eastAsia"/>
        </w:rPr>
        <w:t>条関係）　</w:t>
      </w:r>
    </w:p>
    <w:p>
      <w:pPr>
        <w:pStyle w:val="Normal"/>
        <w:ind w:firstLineChars="750" w:startChars="0" w:start="0" w:endChars="0" w:end="0"/>
        <w:rPr/>
      </w:pPr>
      <w:r>
        <w:rPr>
          <w:rFonts w:hint="eastAsia"/>
          <w:b/>
          <w:sz w:val="36"/>
          <w:szCs w:val="36"/>
        </w:rPr>
        <w:t>解体工事説明会等報告書</w:t>
      </w:r>
    </w:p>
    <w:p>
      <w:pPr>
        <w:pStyle w:val="Normal"/>
        <w:ind w:firstLineChars="750" w:startChars="0" w:start="0" w:endChars="0" w:end="0"/>
        <w:rPr>
          <w:rFonts w:hint="eastAsia"/>
          <w:b/>
          <w:sz w:val="16"/>
          <w:szCs w:val="16"/>
        </w:rPr>
      </w:pPr>
      <w:r>
        <w:rPr>
          <w:rFonts w:hint="eastAsia"/>
          <w:b/>
          <w:sz w:val="16"/>
          <w:szCs w:val="16"/>
        </w:rPr>
      </w:r>
    </w:p>
    <w:p>
      <w:pPr>
        <w:pStyle w:val="Normal"/>
        <w:ind w:firstLineChars="750" w:startChars="0" w:start="0" w:endChars="0" w:end="0"/>
        <w:rPr>
          <w:rFonts w:hint="eastAsia"/>
          <w:sz w:val="24"/>
        </w:rPr>
      </w:pPr>
      <w:r>
        <w:rPr>
          <w:rFonts w:hint="eastAsia"/>
          <w:sz w:val="36"/>
          <w:szCs w:val="36"/>
        </w:rPr>
        <w:t xml:space="preserve">        </w:t>
      </w:r>
      <w:r>
        <w:rPr>
          <w:rFonts w:hint="eastAsia"/>
          <w:sz w:val="36"/>
          <w:szCs w:val="36"/>
        </w:rPr>
        <w:t xml:space="preserve">　　　　　         </w:t>
      </w:r>
      <w:r>
        <w:rPr>
          <w:rFonts w:hint="eastAsia"/>
          <w:sz w:val="24"/>
        </w:rPr>
        <w:t>年　　月　　日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>東京都北区長　殿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>　　　　　　　　　　　　　　　　　　　　発注者　　住所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>　　　　　　　　　　　　　　　　　　　　　　　　　氏名</w:t>
      </w:r>
    </w:p>
    <w:p>
      <w:pPr>
        <w:pStyle w:val="Normal"/>
        <w:ind w:firstLineChars="4900" w:startChars="0" w:start="0" w:endChars="0" w:end="0"/>
        <w:rPr>
          <w:rFonts w:hint="eastAsia"/>
          <w:sz w:val="12"/>
          <w:szCs w:val="12"/>
        </w:rPr>
      </w:pPr>
      <w:r>
        <w:rPr>
          <w:rFonts w:hint="eastAsia"/>
          <w:sz w:val="24"/>
        </w:rPr>
        <w:t>　　　　　　　　　　　　　　　　　　　　　　　　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>　　　　　　　　　　　　　　　　　　　　　　　　　電話　　　（　　　）</w:t>
      </w:r>
    </w:p>
    <w:p>
      <w:pPr>
        <w:pStyle w:val="Normal"/>
        <w:rPr>
          <w:rFonts w:hint="eastAsia"/>
          <w:sz w:val="12"/>
          <w:szCs w:val="12"/>
        </w:rPr>
      </w:pP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3837940</wp:posOffset>
                </wp:positionH>
                <wp:positionV relativeFrom="paragraph">
                  <wp:posOffset>54610</wp:posOffset>
                </wp:positionV>
                <wp:extent cx="55880" cy="308610"/>
                <wp:effectExtent l="5080" t="5080" r="1270" b="571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" cy="308520"/>
                        </a:xfrm>
                        <a:custGeom>
                          <a:avLst/>
                          <a:gdLst>
                            <a:gd name="textAreaLeft" fmla="*/ 9360 w 31680"/>
                            <a:gd name="textAreaRight" fmla="*/ 32040 w 31680"/>
                            <a:gd name="textAreaTop" fmla="*/ 7200 h 174960"/>
                            <a:gd name="textAreaBottom" fmla="*/ 167760 h 174960"/>
                            <a:gd name="GluePoint1X" fmla="*/ 21600 w 21600"/>
                            <a:gd name="GluePoint1Y" fmla="*/ 0 h 21600"/>
                            <a:gd name="GluePoint2X" fmla="*/ 0 w 21600"/>
                            <a:gd name="GluePoint2Y" fmla="*/ 10800 h 21600"/>
                            <a:gd name="GluePoint3X" fmla="*/ 21600 w 21600"/>
                            <a:gd name="GluePoint3Y" fmla="*/ 216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21600" y="0"/>
                              </a:moveTo>
                              <a:cubicBezTo>
                                <a:pt x="10800" y="0"/>
                                <a:pt x="0" y="900"/>
                                <a:pt x="0" y="1800"/>
                              </a:cubicBezTo>
                              <a:lnTo>
                                <a:pt x="0" y="19800"/>
                              </a:lnTo>
                              <a:cubicBezTo>
                                <a:pt x="0" y="20700"/>
                                <a:pt x="10800" y="21600"/>
                                <a:pt x="2160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85" coordsize="21600,21600" o:spt="85" adj="1800" path="m21600,21600qx@9@10l0@1qy@11@12xnsem21600,21600qx@9@10l0@1qy@11@12nfe">
                <v:stroke joinstyle="miter"/>
                <v:formulas>
                  <v:f eqn="val 10800"/>
                  <v:f eqn="val #0"/>
                  <v:f eqn="sum height 0 @1"/>
                  <v:f eqn="sumangle 0 45 0"/>
                  <v:f eqn="cos width @3"/>
                  <v:f eqn="sin @1 @3"/>
                  <v:f eqn="sum width 0 @4"/>
                  <v:f eqn="sum @1 0 @5"/>
                  <v:f eqn="sum height @5 @1"/>
                  <v:f eqn="sum 0 21600 21600"/>
                  <v:f eqn="sum 0 21600 @1"/>
                  <v:f eqn="sum 21600 0 0"/>
                  <v:f eqn="sum 0 @1 @1"/>
                </v:formulas>
                <v:path gradientshapeok="t" o:connecttype="rect" textboxrect="@6,@7,21600,@8"/>
                <v:handles>
                  <v:h position="0,@1"/>
                </v:handles>
              </v:shapetype>
              <v:shape id="shape_0" stroked="t" o:allowincell="f" style="position:absolute;margin-left:302.2pt;margin-top:4.3pt;width:4.35pt;height:24.25pt;mso-wrap-style:none;v-text-anchor:middle" type="_x0000_t85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5175250</wp:posOffset>
                </wp:positionH>
                <wp:positionV relativeFrom="paragraph">
                  <wp:posOffset>59690</wp:posOffset>
                </wp:positionV>
                <wp:extent cx="58420" cy="308610"/>
                <wp:effectExtent l="1270" t="5080" r="5080" b="571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8320" cy="308520"/>
                        </a:xfrm>
                        <a:custGeom>
                          <a:avLst/>
                          <a:gdLst>
                            <a:gd name="textAreaLeft" fmla="*/ 9720 w 33120"/>
                            <a:gd name="textAreaRight" fmla="*/ 33480 w 33120"/>
                            <a:gd name="textAreaTop" fmla="*/ 7200 h 174960"/>
                            <a:gd name="textAreaBottom" fmla="*/ 167760 h 174960"/>
                            <a:gd name="GluePoint1X" fmla="*/ 21600 w 21600"/>
                            <a:gd name="GluePoint1Y" fmla="*/ 0 h 21600"/>
                            <a:gd name="GluePoint2X" fmla="*/ 0 w 21600"/>
                            <a:gd name="GluePoint2Y" fmla="*/ 10800 h 21600"/>
                            <a:gd name="GluePoint3X" fmla="*/ 21600 w 21600"/>
                            <a:gd name="GluePoint3Y" fmla="*/ 216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21600" y="0"/>
                              </a:moveTo>
                              <a:cubicBezTo>
                                <a:pt x="10800" y="0"/>
                                <a:pt x="0" y="900"/>
                                <a:pt x="0" y="1800"/>
                              </a:cubicBezTo>
                              <a:lnTo>
                                <a:pt x="0" y="19800"/>
                              </a:lnTo>
                              <a:cubicBezTo>
                                <a:pt x="0" y="20700"/>
                                <a:pt x="10800" y="21600"/>
                                <a:pt x="2160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07.5pt;margin-top:4.7pt;width:4.55pt;height:24.25pt;flip:x;mso-wrap-style:none;v-text-anchor:middle" type="_x0000_t85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w:rPr>
          <w:rFonts w:hint="eastAsia"/>
          <w:sz w:val="24"/>
        </w:rPr>
        <w:t>　　　　　　　　　　　　　　　　　　　　　　　　　</w:t>
      </w:r>
      <w:r>
        <w:rPr>
          <w:rFonts w:hint="eastAsia"/>
          <w:sz w:val="12"/>
          <w:szCs w:val="12"/>
        </w:rPr>
        <w:t>　法人にあっては、その事務所の所在地</w:t>
      </w:r>
    </w:p>
    <w:p>
      <w:pPr>
        <w:pStyle w:val="Normal"/>
        <w:ind w:firstLineChars="5100" w:startChars="0" w:start="0" w:endChars="0" w:end="0"/>
        <w:rPr>
          <w:rFonts w:hint="eastAsia"/>
          <w:sz w:val="12"/>
          <w:szCs w:val="12"/>
        </w:rPr>
      </w:pPr>
      <w:r>
        <w:rPr>
          <w:rFonts w:hint="eastAsia"/>
          <w:sz w:val="12"/>
          <w:szCs w:val="12"/>
        </w:rPr>
        <w:t>及び名称並びに代表者の氏名　</w:t>
      </w:r>
    </w:p>
    <w:p>
      <w:pPr>
        <w:pStyle w:val="Normal"/>
        <w:ind w:firstLineChars="5100" w:startChars="0" w:start="0" w:endChars="0" w:end="0"/>
        <w:rPr>
          <w:rFonts w:hint="eastAsia"/>
          <w:sz w:val="12"/>
          <w:szCs w:val="12"/>
        </w:rPr>
      </w:pPr>
      <w:r>
        <w:rPr>
          <w:rFonts w:hint="eastAsia"/>
          <w:sz w:val="12"/>
          <w:szCs w:val="12"/>
        </w:rPr>
      </w:r>
    </w:p>
    <w:p>
      <w:pPr>
        <w:pStyle w:val="Normal"/>
        <w:ind w:firstLineChars="4900" w:startChars="228" w:endChars="0" w:end="0"/>
        <w:rPr/>
      </w:pPr>
      <w:r>
        <w:rPr>
          <w:rFonts w:hint="eastAsia"/>
          <w:sz w:val="24"/>
        </w:rPr>
        <w:t>東建築物の解体工事の事前周知等に関する指導要綱第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条第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項の規定により説明会</w:t>
      </w:r>
    </w:p>
    <w:p>
      <w:pPr>
        <w:pStyle w:val="Normal"/>
        <w:ind w:firstLineChars="100" w:startChars="0" w:start="0" w:endChars="0" w:end="0"/>
        <w:rPr/>
      </w:pPr>
      <w:r>
        <w:rPr>
          <w:rFonts w:hint="eastAsia"/>
          <w:sz w:val="24"/>
        </w:rPr>
        <w:t>等を実施したので、同条第２項の規定により、次のとおり報告します。</w:t>
      </w:r>
    </w:p>
    <w:p>
      <w:pPr>
        <w:pStyle w:val="Normal"/>
        <w:ind w:firstLineChars="1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</w:r>
    </w:p>
    <w:tbl>
      <w:tblPr>
        <w:tblW w:w="96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05"/>
        <w:gridCol w:w="2130"/>
        <w:gridCol w:w="1274"/>
        <w:gridCol w:w="3404"/>
      </w:tblGrid>
      <w:tr>
        <w:trPr/>
        <w:tc>
          <w:tcPr>
            <w:tcW w:w="28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解体建築物の名称</w:t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/>
        <w:tc>
          <w:tcPr>
            <w:tcW w:w="280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解体工事施工者</w:t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住所</w:t>
            </w:r>
          </w:p>
        </w:tc>
      </w:tr>
      <w:tr>
        <w:trPr>
          <w:trHeight w:val="23" w:hRule="atLeast"/>
        </w:trPr>
        <w:tc>
          <w:tcPr>
            <w:tcW w:w="280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氏名</w:t>
            </w:r>
          </w:p>
        </w:tc>
      </w:tr>
      <w:tr>
        <w:trPr>
          <w:trHeight w:val="508" w:hRule="atLeast"/>
        </w:trPr>
        <w:tc>
          <w:tcPr>
            <w:tcW w:w="280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電話　　　　　（　　　　　　）</w:t>
            </w:r>
          </w:p>
        </w:tc>
      </w:tr>
      <w:tr>
        <w:trPr/>
        <w:tc>
          <w:tcPr>
            <w:tcW w:w="28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敷地の位置</w:t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東京都北区</w:t>
            </w:r>
          </w:p>
        </w:tc>
      </w:tr>
      <w:tr>
        <w:trPr/>
        <w:tc>
          <w:tcPr>
            <w:tcW w:w="280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建築物の概要</w:t>
            </w:r>
          </w:p>
        </w:tc>
        <w:tc>
          <w:tcPr>
            <w:tcW w:w="3404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高さ　　　　　　　　　ｍ</w:t>
            </w:r>
          </w:p>
        </w:tc>
        <w:tc>
          <w:tcPr>
            <w:tcW w:w="340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階数　地上　　 </w:t>
            </w:r>
            <w:r>
              <w:rPr>
                <w:rFonts w:hint="eastAsia"/>
                <w:sz w:val="24"/>
              </w:rPr>
              <w:t xml:space="preserve">/ </w:t>
            </w:r>
            <w:r>
              <w:rPr>
                <w:rFonts w:hint="eastAsia"/>
                <w:sz w:val="24"/>
              </w:rPr>
              <w:t>地下</w:t>
            </w:r>
          </w:p>
        </w:tc>
      </w:tr>
      <w:tr>
        <w:trPr/>
        <w:tc>
          <w:tcPr>
            <w:tcW w:w="280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404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構造　　　　　　　　　造</w:t>
            </w:r>
          </w:p>
        </w:tc>
        <w:tc>
          <w:tcPr>
            <w:tcW w:w="340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床面積　　　　　　　　</w:t>
            </w:r>
            <w:r>
              <w:rPr>
                <w:rFonts w:ascii="ＭＳ 明朝;MS Mincho" w:hAnsi="ＭＳ 明朝;MS Mincho" w:cs="ＭＳ 明朝;MS Mincho" w:hint="eastAsia"/>
                <w:sz w:val="24"/>
              </w:rPr>
              <w:t>㎡</w:t>
            </w:r>
          </w:p>
        </w:tc>
      </w:tr>
      <w:tr>
        <w:trPr>
          <w:trHeight w:val="1026" w:hRule="atLeast"/>
        </w:trPr>
        <w:tc>
          <w:tcPr>
            <w:tcW w:w="280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説明会等の状況</w:t>
            </w:r>
          </w:p>
        </w:tc>
        <w:tc>
          <w:tcPr>
            <w:tcW w:w="213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説　明　時　期</w:t>
            </w:r>
          </w:p>
        </w:tc>
        <w:tc>
          <w:tcPr>
            <w:tcW w:w="467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　　月　　日 ～</w:t>
            </w:r>
          </w:p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  <w:sz w:val="24"/>
              </w:rPr>
              <w:t>　　　　　　　　　年　　月　　日</w:t>
            </w:r>
          </w:p>
        </w:tc>
      </w:tr>
      <w:tr>
        <w:trPr>
          <w:trHeight w:val="1023" w:hRule="atLeast"/>
        </w:trPr>
        <w:tc>
          <w:tcPr>
            <w:tcW w:w="280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213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説　明　方　法</w:t>
            </w:r>
          </w:p>
        </w:tc>
        <w:tc>
          <w:tcPr>
            <w:tcW w:w="467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・説明会方式　　会場（　　　　　　　）</w:t>
            </w:r>
          </w:p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・個別説明方式</w:t>
            </w:r>
          </w:p>
        </w:tc>
      </w:tr>
      <w:tr>
        <w:trPr>
          <w:trHeight w:val="1023" w:hRule="atLeast"/>
        </w:trPr>
        <w:tc>
          <w:tcPr>
            <w:tcW w:w="280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213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説　明　内　容</w:t>
            </w:r>
          </w:p>
        </w:tc>
        <w:tc>
          <w:tcPr>
            <w:tcW w:w="467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Chars="1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別紙のとおり</w:t>
            </w:r>
          </w:p>
        </w:tc>
      </w:tr>
      <w:tr>
        <w:trPr>
          <w:trHeight w:val="1023" w:hRule="atLeast"/>
        </w:trPr>
        <w:tc>
          <w:tcPr>
            <w:tcW w:w="280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213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pacing w:val="24"/>
                <w:kern w:val="0"/>
                <w:sz w:val="24"/>
              </w:rPr>
              <w:t>近隣住民か</w:t>
            </w:r>
            <w:r>
              <w:rPr>
                <w:rFonts w:hint="eastAsia"/>
                <w:kern w:val="0"/>
                <w:sz w:val="24"/>
              </w:rPr>
              <w:t>ら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pacing w:val="120"/>
                <w:kern w:val="0"/>
                <w:sz w:val="24"/>
              </w:rPr>
              <w:t>の意見</w:t>
            </w:r>
            <w:r>
              <w:rPr>
                <w:rFonts w:hint="eastAsia"/>
                <w:kern w:val="0"/>
                <w:sz w:val="24"/>
              </w:rPr>
              <w:t>等</w:t>
            </w:r>
          </w:p>
        </w:tc>
        <w:tc>
          <w:tcPr>
            <w:tcW w:w="467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　</w:t>
            </w:r>
          </w:p>
        </w:tc>
      </w:tr>
    </w:tbl>
    <w:p>
      <w:pPr>
        <w:pStyle w:val="Normal"/>
        <w:rPr/>
      </w:pPr>
      <w:r>
        <w:rPr>
          <w:rFonts w:hint="eastAsia"/>
          <w:sz w:val="24"/>
        </w:rPr>
        <w:t xml:space="preserve">※ </w:t>
      </w:r>
      <w:r>
        <w:rPr>
          <w:rFonts w:hint="eastAsia"/>
          <w:sz w:val="24"/>
        </w:rPr>
        <w:t>説明内容は、説明に使用した資料を添付してください。</w:t>
      </w:r>
    </w:p>
    <w:sectPr>
      <w:type w:val="nextPage"/>
      <w:pgSz w:w="11906" w:h="16838"/>
      <w:pgMar w:left="1247" w:right="1247" w:gutter="0" w:header="0" w:top="1418" w:footer="0" w:bottom="1418"/>
      <w:pgNumType w:fmt="decimal"/>
      <w:formProt w:val="false"/>
      <w:textDirection w:val="lrTb"/>
      <w:docGrid w:type="lines" w:linePitch="31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">
    <w:charset w:val="00" w:characterSet="windows-1252"/>
    <w:family w:val="roman"/>
    <w:pitch w:val="variable"/>
  </w:font>
  <w:font w:name="Liberation Sans">
    <w:altName w:val="Arial"/>
    <w:charset w:val="80"/>
    <w:family w:val="swiss"/>
    <w:pitch w:val="variable"/>
  </w:font>
  <w:font w:name="ＭＳ 明朝">
    <w:altName w:val="MS Mincho"/>
    <w:charset w:val="80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bidi="ar-SA" w:val="en-US" w:eastAsia="ja-JP"/>
    </w:rPr>
  </w:style>
  <w:style w:type="character" w:styleId="Style14">
    <w:name w:val="段落フォント"/>
    <w:qFormat/>
    <w:rPr/>
  </w:style>
  <w:style w:type="paragraph" w:styleId="Style15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表の内容"/>
    <w:basedOn w:val="Normal"/>
    <w:qFormat/>
    <w:pPr>
      <w:widowControl w:val="false"/>
      <w:suppressLineNumbers/>
    </w:pPr>
    <w:rPr/>
  </w:style>
  <w:style w:type="paragraph" w:styleId="Style18">
    <w:name w:val="表の見出し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2005-12-02T10:03:00Z</dcterms:created>
  <dc:creator>iwasaki-11ef</dc:creator>
  <dc:description/>
  <dc:language>ja-JP</dc:language>
  <cp:lastModifiedBy>matumura-15fa</cp:lastModifiedBy>
  <cp:lastPrinted>2005-10-27T09:13:00Z</cp:lastPrinted>
  <dcterms:modified xsi:type="dcterms:W3CDTF">2005-12-02T10:03:00Z</dcterms:modified>
  <cp:revision>2</cp:revision>
  <dc:subject/>
  <dc:title>第2号様式（第6条関係）</dc:title>
</cp:coreProperties>
</file>