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120"/>
        <w:jc w:val="center"/>
      </w:pPr>
      <w:r>
        <w:rPr>
          <w:b/>
          <w:bCs/>
          <w:color w:val="1A2B8C"/>
          <w:sz w:val="40"/>
          <w:szCs w:val="40"/>
        </w:rPr>
        <w:t xml:space="preserve">Juno Tech Laboratory</w:t>
      </w:r>
    </w:p>
    <w:p>
      <w:pPr>
        <w:spacing w:after="40"/>
        <w:jc w:val="center"/>
      </w:pPr>
      <w:r>
        <w:rPr>
          <w:b/>
          <w:bCs/>
          <w:color w:val="111827"/>
          <w:spacing w:val="20"/>
          <w:sz w:val="26"/>
          <w:szCs w:val="26"/>
        </w:rPr>
        <w:t xml:space="preserve">PHLEBOTOMIST COMPENSATION AGREEMENT</w:t>
      </w:r>
    </w:p>
    <w:p>
      <w:pPr>
        <w:spacing w:after="220"/>
        <w:jc w:val="center"/>
      </w:pPr>
      <w:r>
        <w:rPr>
          <w:i/>
          <w:iCs/>
          <w:color w:val="6B7280"/>
          <w:sz w:val="20"/>
          <w:szCs w:val="20"/>
        </w:rPr>
        <w:t xml:space="preserve">Hourly, Non-Exempt — State of California</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2400"/>
        <w:gridCol w:w="6960"/>
      </w:tblGrid>
      <w:tr>
        <w:tc>
          <w:tcPr>
            <w:tcW w:type="dxa" w:w="2400"/>
            <w:shd w:fill="F1F5F9" w:color="auto" w:val="clear"/>
            <w:tcMar>
              <w:top w:type="dxa" w:w="60"/>
              <w:left w:type="dxa" w:w="110"/>
              <w:bottom w:type="dxa" w:w="60"/>
              <w:right w:type="dxa" w:w="110"/>
            </w:tcMar>
          </w:tcPr>
          <w:p>
            <w:r>
              <w:rPr>
                <w:b/>
                <w:bCs/>
                <w:color w:val="111827"/>
                <w:sz w:val="20"/>
                <w:szCs w:val="20"/>
              </w:rPr>
              <w:t xml:space="preserve">Employer</w:t>
            </w:r>
          </w:p>
        </w:tc>
        <w:tc>
          <w:tcPr>
            <w:tcW w:type="dxa" w:w="6960"/>
            <w:tcMar>
              <w:top w:type="dxa" w:w="60"/>
              <w:left w:type="dxa" w:w="110"/>
              <w:bottom w:type="dxa" w:w="60"/>
              <w:right w:type="dxa" w:w="110"/>
            </w:tcMar>
          </w:tcPr>
          <w:p>
            <w:r>
              <w:rPr>
                <w:sz w:val="20"/>
                <w:szCs w:val="20"/>
              </w:rPr>
              <w:t xml:space="preserve">Juno Tech Laboratory ("the Company")</w:t>
            </w:r>
          </w:p>
        </w:tc>
      </w:tr>
      <w:tr>
        <w:tc>
          <w:tcPr>
            <w:tcW w:type="dxa" w:w="2400"/>
            <w:shd w:fill="F1F5F9" w:color="auto" w:val="clear"/>
            <w:tcMar>
              <w:top w:type="dxa" w:w="60"/>
              <w:left w:type="dxa" w:w="110"/>
              <w:bottom w:type="dxa" w:w="60"/>
              <w:right w:type="dxa" w:w="110"/>
            </w:tcMar>
          </w:tcPr>
          <w:p>
            <w:r>
              <w:rPr>
                <w:b/>
                <w:bCs/>
                <w:color w:val="111827"/>
                <w:sz w:val="20"/>
                <w:szCs w:val="20"/>
              </w:rPr>
              <w:t xml:space="preserve">Employee</w:t>
            </w:r>
          </w:p>
        </w:tc>
        <w:tc>
          <w:tcPr>
            <w:tcW w:type="dxa" w:w="6960"/>
            <w:tcMar>
              <w:top w:type="dxa" w:w="60"/>
              <w:left w:type="dxa" w:w="110"/>
              <w:bottom w:type="dxa" w:w="60"/>
              <w:right w:type="dxa" w:w="110"/>
            </w:tcMar>
          </w:tcPr>
          <w:p>
            <w:r>
              <w:rPr>
                <w:color w:val="6B7280"/>
                <w:sz w:val="20"/>
                <w:szCs w:val="20"/>
              </w:rPr>
              <w:t xml:space="preserve">Name: </w:t>
            </w:r>
            <w:r>
              <w:rPr>
                <w:sz w:val="21"/>
                <w:szCs w:val="21"/>
              </w:rPr>
              <w:t xml:space="preserve">__________________________________ </w:t>
            </w:r>
          </w:p>
        </w:tc>
      </w:tr>
      <w:tr>
        <w:tc>
          <w:tcPr>
            <w:tcW w:type="dxa" w:w="2400"/>
            <w:shd w:fill="F1F5F9" w:color="auto" w:val="clear"/>
            <w:tcMar>
              <w:top w:type="dxa" w:w="60"/>
              <w:left w:type="dxa" w:w="110"/>
              <w:bottom w:type="dxa" w:w="60"/>
              <w:right w:type="dxa" w:w="110"/>
            </w:tcMar>
          </w:tcPr>
          <w:p>
            <w:r>
              <w:rPr>
                <w:b/>
                <w:bCs/>
                <w:color w:val="111827"/>
                <w:sz w:val="20"/>
                <w:szCs w:val="20"/>
              </w:rPr>
              <w:t xml:space="preserve">Position</w:t>
            </w:r>
          </w:p>
        </w:tc>
        <w:tc>
          <w:tcPr>
            <w:tcW w:type="dxa" w:w="6960"/>
            <w:tcMar>
              <w:top w:type="dxa" w:w="60"/>
              <w:left w:type="dxa" w:w="110"/>
              <w:bottom w:type="dxa" w:w="60"/>
              <w:right w:type="dxa" w:w="110"/>
            </w:tcMar>
          </w:tcPr>
          <w:p>
            <w:r>
              <w:rPr>
                <w:sz w:val="20"/>
                <w:szCs w:val="20"/>
              </w:rPr>
              <w:t xml:space="preserve">Phlebotomist (hourly, non-exempt)</w:t>
            </w:r>
          </w:p>
        </w:tc>
      </w:tr>
      <w:tr>
        <w:tc>
          <w:tcPr>
            <w:tcW w:type="dxa" w:w="2400"/>
            <w:shd w:fill="F1F5F9" w:color="auto" w:val="clear"/>
            <w:tcMar>
              <w:top w:type="dxa" w:w="60"/>
              <w:left w:type="dxa" w:w="110"/>
              <w:bottom w:type="dxa" w:w="60"/>
              <w:right w:type="dxa" w:w="110"/>
            </w:tcMar>
          </w:tcPr>
          <w:p>
            <w:r>
              <w:rPr>
                <w:b/>
                <w:bCs/>
                <w:color w:val="111827"/>
                <w:sz w:val="20"/>
                <w:szCs w:val="20"/>
              </w:rPr>
              <w:t xml:space="preserve">Effective Date</w:t>
            </w:r>
          </w:p>
        </w:tc>
        <w:tc>
          <w:tcPr>
            <w:tcW w:type="dxa" w:w="6960"/>
            <w:tcMar>
              <w:top w:type="dxa" w:w="60"/>
              <w:left w:type="dxa" w:w="110"/>
              <w:bottom w:type="dxa" w:w="60"/>
              <w:right w:type="dxa" w:w="110"/>
            </w:tcMar>
          </w:tcPr>
          <w:p>
            <w:r>
              <w:rPr>
                <w:sz w:val="21"/>
                <w:szCs w:val="21"/>
              </w:rPr>
              <w:t xml:space="preserve">________________________ </w:t>
            </w:r>
          </w:p>
        </w:tc>
      </w:tr>
    </w:tbl>
    <w:p>
      <w:pPr>
        <w:spacing w:after="120"/>
      </w:pPr>
    </w:p>
    <w:p>
      <w:pPr>
        <w:pStyle w:val="Heading1"/>
        <w:spacing w:after="120" w:before="260"/>
      </w:pPr>
      <w:r>
        <w:rPr>
          <w:b/>
          <w:bCs/>
          <w:color w:val="1A2B8C"/>
          <w:sz w:val="26"/>
          <w:szCs w:val="26"/>
        </w:rPr>
        <w:t xml:space="preserve">1.  Pay Schedule &amp; Pay Periods</w:t>
      </w:r>
    </w:p>
    <w:p>
      <w:pPr>
        <w:spacing w:after="120" w:line="276"/>
      </w:pPr>
      <w:r>
        <w:rPr>
          <w:b/>
          <w:bCs/>
          <w:sz w:val="21"/>
          <w:szCs w:val="21"/>
        </w:rPr>
        <w:t xml:space="preserve">The Employee is paid on a biweekly schedule — once every two weeks, on Friday.</w:t>
      </w:r>
    </w:p>
    <w:p>
      <w:pPr>
        <w:pStyle w:val="ListParagraph"/>
        <w:numPr>
          <w:ilvl w:val="0"/>
          <w:numId w:val="2"/>
        </w:numPr>
        <w:spacing w:after="100" w:before="140" w:line="276"/>
      </w:pPr>
      <w:r>
        <w:rPr>
          <w:b/>
          <w:bCs/>
          <w:color w:val="111827"/>
          <w:sz w:val="21"/>
          <w:szCs w:val="21"/>
        </w:rPr>
        <w:t xml:space="preserve">Payday. </w:t>
      </w:r>
      <w:r>
        <w:rPr>
          <w:sz w:val="21"/>
          <w:szCs w:val="21"/>
        </w:rPr>
        <w:t xml:space="preserve">Wages are paid every other Friday. If a scheduled payday falls on a Company-observed holiday, wages are paid on the last business day before that holiday.</w:t>
      </w:r>
    </w:p>
    <w:p>
      <w:pPr>
        <w:pStyle w:val="ListParagraph"/>
        <w:numPr>
          <w:ilvl w:val="0"/>
          <w:numId w:val="2"/>
        </w:numPr>
        <w:spacing w:after="100" w:before="140" w:line="276"/>
      </w:pPr>
      <w:r>
        <w:rPr>
          <w:b/>
          <w:bCs/>
          <w:color w:val="111827"/>
          <w:sz w:val="21"/>
          <w:szCs w:val="21"/>
        </w:rPr>
        <w:t xml:space="preserve">Pay period. </w:t>
      </w:r>
      <w:r>
        <w:rPr>
          <w:sz w:val="21"/>
          <w:szCs w:val="21"/>
        </w:rPr>
        <w:t xml:space="preserve">Each pay period is a fixed 14-day (two-week) period. Each payday covers the 14-day period ending two weeks (14 days) before that payday. In other words, there is a two-week lag between the end of a pay period and the payday for that period.</w:t>
      </w:r>
    </w:p>
    <w:p>
      <w:pPr>
        <w:pStyle w:val="ListParagraph"/>
        <w:numPr>
          <w:ilvl w:val="0"/>
          <w:numId w:val="2"/>
        </w:numPr>
        <w:spacing w:after="100" w:before="140" w:line="276"/>
      </w:pPr>
      <w:r>
        <w:rPr>
          <w:b/>
          <w:bCs/>
          <w:color w:val="111827"/>
          <w:sz w:val="21"/>
          <w:szCs w:val="21"/>
        </w:rPr>
        <w:t xml:space="preserve">Reference schedule. </w:t>
      </w:r>
      <w:r>
        <w:rPr>
          <w:sz w:val="21"/>
          <w:szCs w:val="21"/>
        </w:rPr>
        <w:t xml:space="preserve">The biweekly cycle in effect begins with the payday of </w:t>
      </w:r>
      <w:r>
        <w:rPr>
          <w:b/>
          <w:bCs/>
          <w:sz w:val="21"/>
          <w:szCs w:val="21"/>
        </w:rPr>
        <w:t xml:space="preserve">Friday, August 14, 2026</w:t>
      </w:r>
      <w:r>
        <w:rPr>
          <w:sz w:val="21"/>
          <w:szCs w:val="21"/>
        </w:rPr>
        <w:t xml:space="preserve">. Paydays continue every other Friday thereafter (August 28, September 11, September 25, and so on).</w:t>
      </w:r>
    </w:p>
    <w:p>
      <w:pPr>
        <w:spacing w:after="120" w:line="276"/>
      </w:pPr>
      <w:r>
        <w:rPr>
          <w:b/>
          <w:bCs/>
          <w:color w:val="6B7280"/>
          <w:sz w:val="20"/>
          <w:szCs w:val="20"/>
        </w:rPr>
        <w:t xml:space="preserve">Illustrative pay periods:</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3120"/>
        <w:gridCol w:w="6240"/>
      </w:tblGrid>
      <w:tr>
        <w:trPr>
          <w:tblHeader/>
        </w:trPr>
        <w:tc>
          <w:tcPr>
            <w:tcW w:type="dxa" w:w="3120"/>
            <w:shd w:fill="1A2B8C" w:color="auto" w:val="clear"/>
            <w:tcMar>
              <w:top w:type="dxa" w:w="60"/>
              <w:left w:type="dxa" w:w="110"/>
              <w:bottom w:type="dxa" w:w="60"/>
              <w:right w:type="dxa" w:w="110"/>
            </w:tcMar>
          </w:tcPr>
          <w:p>
            <w:r>
              <w:rPr>
                <w:b/>
                <w:bCs/>
                <w:color w:val="111827"/>
                <w:sz w:val="20"/>
                <w:szCs w:val="20"/>
              </w:rPr>
              <w:t xml:space="preserve">Payday (Friday)</w:t>
            </w:r>
          </w:p>
        </w:tc>
        <w:tc>
          <w:tcPr>
            <w:tcW w:type="dxa" w:w="6240"/>
            <w:shd w:fill="1A2B8C" w:color="auto" w:val="clear"/>
            <w:tcMar>
              <w:top w:type="dxa" w:w="60"/>
              <w:left w:type="dxa" w:w="110"/>
              <w:bottom w:type="dxa" w:w="60"/>
              <w:right w:type="dxa" w:w="110"/>
            </w:tcMar>
          </w:tcPr>
          <w:p>
            <w:r>
              <w:rPr>
                <w:b/>
                <w:bCs/>
                <w:color w:val="111827"/>
                <w:sz w:val="20"/>
                <w:szCs w:val="20"/>
              </w:rPr>
              <w:t xml:space="preserve">Covers work performed during</w:t>
            </w:r>
          </w:p>
        </w:tc>
      </w:tr>
      <w:tr>
        <w:tc>
          <w:tcPr>
            <w:tcW w:type="dxa" w:w="3120"/>
            <w:tcMar>
              <w:top w:type="dxa" w:w="60"/>
              <w:left w:type="dxa" w:w="110"/>
              <w:bottom w:type="dxa" w:w="60"/>
              <w:right w:type="dxa" w:w="110"/>
            </w:tcMar>
          </w:tcPr>
          <w:p>
            <w:r>
              <w:rPr>
                <w:sz w:val="20"/>
                <w:szCs w:val="20"/>
              </w:rPr>
              <w:t xml:space="preserve">August 14, 2026</w:t>
            </w:r>
          </w:p>
        </w:tc>
        <w:tc>
          <w:tcPr>
            <w:tcW w:type="dxa" w:w="6240"/>
            <w:tcMar>
              <w:top w:type="dxa" w:w="60"/>
              <w:left w:type="dxa" w:w="110"/>
              <w:bottom w:type="dxa" w:w="60"/>
              <w:right w:type="dxa" w:w="110"/>
            </w:tcMar>
          </w:tcPr>
          <w:p>
            <w:r>
              <w:rPr>
                <w:sz w:val="20"/>
                <w:szCs w:val="20"/>
              </w:rPr>
              <w:t xml:space="preserve">July 18 – July 31, 2026</w:t>
            </w:r>
          </w:p>
        </w:tc>
      </w:tr>
      <w:tr>
        <w:tc>
          <w:tcPr>
            <w:tcW w:type="dxa" w:w="3120"/>
            <w:shd w:fill="FAFBFC" w:color="auto" w:val="clear"/>
            <w:tcMar>
              <w:top w:type="dxa" w:w="60"/>
              <w:left w:type="dxa" w:w="110"/>
              <w:bottom w:type="dxa" w:w="60"/>
              <w:right w:type="dxa" w:w="110"/>
            </w:tcMar>
          </w:tcPr>
          <w:p>
            <w:r>
              <w:rPr>
                <w:sz w:val="20"/>
                <w:szCs w:val="20"/>
              </w:rPr>
              <w:t xml:space="preserve">August 28, 2026</w:t>
            </w:r>
          </w:p>
        </w:tc>
        <w:tc>
          <w:tcPr>
            <w:tcW w:type="dxa" w:w="6240"/>
            <w:shd w:fill="FAFBFC" w:color="auto" w:val="clear"/>
            <w:tcMar>
              <w:top w:type="dxa" w:w="60"/>
              <w:left w:type="dxa" w:w="110"/>
              <w:bottom w:type="dxa" w:w="60"/>
              <w:right w:type="dxa" w:w="110"/>
            </w:tcMar>
          </w:tcPr>
          <w:p>
            <w:r>
              <w:rPr>
                <w:sz w:val="20"/>
                <w:szCs w:val="20"/>
              </w:rPr>
              <w:t xml:space="preserve">August 1 – August 14, 2026</w:t>
            </w:r>
          </w:p>
        </w:tc>
      </w:tr>
      <w:tr>
        <w:tc>
          <w:tcPr>
            <w:tcW w:type="dxa" w:w="3120"/>
            <w:tcMar>
              <w:top w:type="dxa" w:w="60"/>
              <w:left w:type="dxa" w:w="110"/>
              <w:bottom w:type="dxa" w:w="60"/>
              <w:right w:type="dxa" w:w="110"/>
            </w:tcMar>
          </w:tcPr>
          <w:p>
            <w:r>
              <w:rPr>
                <w:sz w:val="20"/>
                <w:szCs w:val="20"/>
              </w:rPr>
              <w:t xml:space="preserve">September 11, 2026</w:t>
            </w:r>
          </w:p>
        </w:tc>
        <w:tc>
          <w:tcPr>
            <w:tcW w:type="dxa" w:w="6240"/>
            <w:tcMar>
              <w:top w:type="dxa" w:w="60"/>
              <w:left w:type="dxa" w:w="110"/>
              <w:bottom w:type="dxa" w:w="60"/>
              <w:right w:type="dxa" w:w="110"/>
            </w:tcMar>
          </w:tcPr>
          <w:p>
            <w:r>
              <w:rPr>
                <w:sz w:val="20"/>
                <w:szCs w:val="20"/>
              </w:rPr>
              <w:t xml:space="preserve">August 15 – August 28, 2026</w:t>
            </w:r>
          </w:p>
        </w:tc>
      </w:tr>
    </w:tbl>
    <w:p>
      <w:pPr>
        <w:spacing w:after="80"/>
      </w:pPr>
      <w:r>
        <w:rPr>
          <w:i/>
          <w:iCs/>
          <w:color w:val="6B7280"/>
          <w:sz w:val="18"/>
          <w:szCs w:val="18"/>
        </w:rPr>
        <w:t xml:space="preserve">Note: dates above are examples of how the two-week lag works; the same pattern applies to every future pay period.</w:t>
      </w:r>
    </w:p>
    <w:p>
      <w:pPr>
        <w:pStyle w:val="Heading1"/>
        <w:spacing w:after="120" w:before="260"/>
      </w:pPr>
      <w:r>
        <w:rPr>
          <w:b/>
          <w:bCs/>
          <w:color w:val="1A2B8C"/>
          <w:sz w:val="26"/>
          <w:szCs w:val="26"/>
        </w:rPr>
        <w:t xml:space="preserve">2.  Rate of Pay</w:t>
      </w:r>
    </w:p>
    <w:p>
      <w:pPr>
        <w:spacing w:after="120" w:line="276"/>
      </w:pPr>
      <w:r>
        <w:rPr>
          <w:b/>
          <w:bCs/>
          <w:sz w:val="21"/>
          <w:szCs w:val="21"/>
        </w:rPr>
        <w:t xml:space="preserve">Most shifts are paid at a single Draw Rate for the entire shift.</w:t>
      </w:r>
      <w:r>
        <w:rPr>
          <w:sz w:val="21"/>
          <w:szCs w:val="21"/>
        </w:rPr>
        <w:t xml:space="preserve"> A separate, lower Travel Rate applies only when the Employee is assigned to a designated distant facility (see 2.1). The two rates are:</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2600"/>
        <w:gridCol w:w="4360"/>
        <w:gridCol w:w="2400"/>
      </w:tblGrid>
      <w:tr>
        <w:trPr>
          <w:tblHeader/>
        </w:trPr>
        <w:tc>
          <w:tcPr>
            <w:tcW w:type="dxa" w:w="2600"/>
            <w:shd w:fill="1A2B8C" w:color="auto" w:val="clear"/>
            <w:tcMar>
              <w:top w:type="dxa" w:w="60"/>
              <w:left w:type="dxa" w:w="110"/>
              <w:bottom w:type="dxa" w:w="60"/>
              <w:right w:type="dxa" w:w="110"/>
            </w:tcMar>
          </w:tcPr>
          <w:p>
            <w:r>
              <w:rPr>
                <w:b/>
                <w:bCs/>
                <w:color w:val="111827"/>
                <w:sz w:val="20"/>
                <w:szCs w:val="20"/>
              </w:rPr>
              <w:t xml:space="preserve">Rate</w:t>
            </w:r>
          </w:p>
        </w:tc>
        <w:tc>
          <w:tcPr>
            <w:tcW w:type="dxa" w:w="4360"/>
            <w:shd w:fill="1A2B8C" w:color="auto" w:val="clear"/>
            <w:tcMar>
              <w:top w:type="dxa" w:w="60"/>
              <w:left w:type="dxa" w:w="110"/>
              <w:bottom w:type="dxa" w:w="60"/>
              <w:right w:type="dxa" w:w="110"/>
            </w:tcMar>
          </w:tcPr>
          <w:p>
            <w:r>
              <w:rPr>
                <w:b/>
                <w:bCs/>
                <w:color w:val="111827"/>
                <w:sz w:val="20"/>
                <w:szCs w:val="20"/>
              </w:rPr>
              <w:t xml:space="preserve">Applies to</w:t>
            </w:r>
          </w:p>
        </w:tc>
        <w:tc>
          <w:tcPr>
            <w:tcW w:type="dxa" w:w="2400"/>
            <w:shd w:fill="1A2B8C" w:color="auto" w:val="clear"/>
            <w:tcMar>
              <w:top w:type="dxa" w:w="60"/>
              <w:left w:type="dxa" w:w="110"/>
              <w:bottom w:type="dxa" w:w="60"/>
              <w:right w:type="dxa" w:w="110"/>
            </w:tcMar>
          </w:tcPr>
          <w:p>
            <w:pPr>
              <w:jc w:val="center"/>
            </w:pPr>
            <w:r>
              <w:rPr>
                <w:b/>
                <w:bCs/>
                <w:color w:val="111827"/>
                <w:sz w:val="20"/>
                <w:szCs w:val="20"/>
              </w:rPr>
              <w:t xml:space="preserve">Amount (USD/hr)</w:t>
            </w:r>
          </w:p>
        </w:tc>
      </w:tr>
      <w:tr>
        <w:tc>
          <w:tcPr>
            <w:tcW w:type="dxa" w:w="2600"/>
            <w:tcMar>
              <w:top w:type="dxa" w:w="60"/>
              <w:left w:type="dxa" w:w="110"/>
              <w:bottom w:type="dxa" w:w="60"/>
              <w:right w:type="dxa" w:w="110"/>
            </w:tcMar>
          </w:tcPr>
          <w:p>
            <w:r>
              <w:rPr>
                <w:b/>
                <w:bCs/>
                <w:color w:val="111827"/>
                <w:sz w:val="20"/>
                <w:szCs w:val="20"/>
              </w:rPr>
              <w:t xml:space="preserve">Draw Rate</w:t>
            </w:r>
          </w:p>
        </w:tc>
        <w:tc>
          <w:tcPr>
            <w:tcW w:type="dxa" w:w="4360"/>
            <w:tcMar>
              <w:top w:type="dxa" w:w="60"/>
              <w:left w:type="dxa" w:w="110"/>
              <w:bottom w:type="dxa" w:w="60"/>
              <w:right w:type="dxa" w:w="110"/>
            </w:tcMar>
          </w:tcPr>
          <w:p>
            <w:r>
              <w:rPr>
                <w:sz w:val="20"/>
                <w:szCs w:val="20"/>
              </w:rPr>
              <w:t xml:space="preserve">Active work — phlebotomy, patient processing, sample handling, and other productive duties. Paid for the whole shift at all local facilities.</w:t>
            </w:r>
          </w:p>
        </w:tc>
        <w:tc>
          <w:tcPr>
            <w:tcW w:type="dxa" w:w="2400"/>
            <w:tcMar>
              <w:top w:type="dxa" w:w="60"/>
              <w:left w:type="dxa" w:w="110"/>
              <w:bottom w:type="dxa" w:w="60"/>
              <w:right w:type="dxa" w:w="110"/>
            </w:tcMar>
          </w:tcPr>
          <w:p>
            <w:pPr>
              <w:jc w:val="center"/>
            </w:pPr>
            <w:r>
              <w:rPr>
                <w:sz w:val="20"/>
                <w:szCs w:val="20"/>
              </w:rPr>
              <w:t xml:space="preserve">$ </w:t>
            </w:r>
            <w:r>
              <w:rPr>
                <w:sz w:val="21"/>
                <w:szCs w:val="21"/>
              </w:rPr>
              <w:t xml:space="preserve">____________ </w:t>
            </w:r>
          </w:p>
        </w:tc>
      </w:tr>
      <w:tr>
        <w:tc>
          <w:tcPr>
            <w:tcW w:type="dxa" w:w="2600"/>
            <w:shd w:fill="FAFBFC" w:color="auto" w:val="clear"/>
            <w:tcMar>
              <w:top w:type="dxa" w:w="60"/>
              <w:left w:type="dxa" w:w="110"/>
              <w:bottom w:type="dxa" w:w="60"/>
              <w:right w:type="dxa" w:w="110"/>
            </w:tcMar>
          </w:tcPr>
          <w:p>
            <w:r>
              <w:rPr>
                <w:b/>
                <w:bCs/>
                <w:color w:val="111827"/>
                <w:sz w:val="20"/>
                <w:szCs w:val="20"/>
              </w:rPr>
              <w:t xml:space="preserve">Travel Rate</w:t>
            </w:r>
          </w:p>
        </w:tc>
        <w:tc>
          <w:tcPr>
            <w:tcW w:type="dxa" w:w="4360"/>
            <w:shd w:fill="FAFBFC" w:color="auto" w:val="clear"/>
            <w:tcMar>
              <w:top w:type="dxa" w:w="60"/>
              <w:left w:type="dxa" w:w="110"/>
              <w:bottom w:type="dxa" w:w="60"/>
              <w:right w:type="dxa" w:w="110"/>
            </w:tcMar>
          </w:tcPr>
          <w:p>
            <w:r>
              <w:rPr>
                <w:sz w:val="20"/>
                <w:szCs w:val="20"/>
              </w:rPr>
              <w:t xml:space="preserve">Compensable travel to and from a designated distant facility. Applies only on those assignments.</w:t>
            </w:r>
          </w:p>
        </w:tc>
        <w:tc>
          <w:tcPr>
            <w:tcW w:type="dxa" w:w="2400"/>
            <w:shd w:fill="FAFBFC" w:color="auto" w:val="clear"/>
            <w:tcMar>
              <w:top w:type="dxa" w:w="60"/>
              <w:left w:type="dxa" w:w="110"/>
              <w:bottom w:type="dxa" w:w="60"/>
              <w:right w:type="dxa" w:w="110"/>
            </w:tcMar>
          </w:tcPr>
          <w:p>
            <w:pPr>
              <w:jc w:val="center"/>
            </w:pPr>
            <w:r>
              <w:rPr>
                <w:sz w:val="20"/>
                <w:szCs w:val="20"/>
              </w:rPr>
              <w:t xml:space="preserve">$ </w:t>
            </w:r>
            <w:r>
              <w:rPr>
                <w:sz w:val="21"/>
                <w:szCs w:val="21"/>
              </w:rPr>
              <w:t xml:space="preserve">____________ </w:t>
            </w:r>
          </w:p>
        </w:tc>
      </w:tr>
    </w:tbl>
    <w:p>
      <w:pPr>
        <w:spacing w:after="100" w:before="120" w:line="276"/>
      </w:pPr>
      <w:r>
        <w:rPr>
          <w:b/>
          <w:bCs/>
          <w:color w:val="111827"/>
          <w:sz w:val="21"/>
          <w:szCs w:val="21"/>
        </w:rPr>
        <w:t xml:space="preserve">2.1  When the two-rate split applies. </w:t>
      </w:r>
      <w:r>
        <w:rPr>
          <w:sz w:val="21"/>
          <w:szCs w:val="21"/>
        </w:rPr>
        <w:t xml:space="preserve">The Travel Rate is used only for shifts at a designated distant facility — currently </w:t>
      </w:r>
      <w:r>
        <w:rPr>
          <w:b/>
          <w:bCs/>
          <w:sz w:val="21"/>
          <w:szCs w:val="21"/>
        </w:rPr>
        <w:t xml:space="preserve">Yucca Valley</w:t>
      </w:r>
      <w:r>
        <w:rPr>
          <w:sz w:val="21"/>
          <w:szCs w:val="21"/>
        </w:rPr>
        <w:t xml:space="preserve"> and </w:t>
      </w:r>
      <w:r>
        <w:rPr>
          <w:b/>
          <w:bCs/>
          <w:sz w:val="21"/>
          <w:szCs w:val="21"/>
        </w:rPr>
        <w:t xml:space="preserve">Leisure Garden</w:t>
      </w:r>
      <w:r>
        <w:rPr>
          <w:sz w:val="21"/>
          <w:szCs w:val="21"/>
        </w:rPr>
        <w:t xml:space="preserve"> (Leisure Garden only for phlebotomists who are not based there). For every other facility, the entire shift is paid at the Draw Rate with no travel deduction. On a qualifying distant shift, the supervisor records the approved travel hours; those are paid at the Travel Rate and the remaining hours at the Draw Rate (travel + draw always equals the total paid shift). The Company may update the list of designated distant facilities on written notice.</w:t>
      </w:r>
    </w:p>
    <w:p>
      <w:pPr>
        <w:spacing w:after="120" w:before="100"/>
      </w:pPr>
      <w:r>
        <w:rPr>
          <w:b/>
          <w:bCs/>
          <w:sz w:val="21"/>
          <w:szCs w:val="21"/>
        </w:rPr>
        <w:t xml:space="preserve">Rate floor. </w:t>
      </w:r>
      <w:r>
        <w:rPr>
          <w:sz w:val="21"/>
          <w:szCs w:val="21"/>
        </w:rPr>
        <w:t xml:space="preserve">The Travel Rate, and every rate paid under this Agreement, will never be less than $17.00 per hour — a company floor set above the California minimum wage. If the legal minimum wage ever rises above this floor, rates are raised further to comply.</w:t>
      </w:r>
    </w:p>
    <w:p>
      <w:pPr>
        <w:pStyle w:val="ListParagraph"/>
        <w:numPr>
          <w:ilvl w:val="0"/>
          <w:numId w:val="2"/>
        </w:numPr>
        <w:spacing w:after="100" w:before="140" w:line="276"/>
      </w:pPr>
      <w:r>
        <w:rPr>
          <w:b/>
          <w:bCs/>
          <w:color w:val="111827"/>
          <w:sz w:val="21"/>
          <w:szCs w:val="21"/>
        </w:rPr>
        <w:t xml:space="preserve">Time recording. </w:t>
      </w:r>
      <w:r>
        <w:rPr>
          <w:sz w:val="21"/>
          <w:szCs w:val="21"/>
        </w:rPr>
        <w:t xml:space="preserve">Hours are recorded through the Company timekeeping kiosk. For a designated distant shift, the supervisor/administrator records the travel hours and the remainder is paid at the Draw Rate; local shifts carry no split and are paid entirely at the Draw Rate.</w:t>
      </w:r>
    </w:p>
    <w:p>
      <w:pPr>
        <w:pStyle w:val="Heading1"/>
        <w:spacing w:after="120" w:before="260"/>
      </w:pPr>
      <w:r>
        <w:rPr>
          <w:b/>
          <w:bCs/>
          <w:color w:val="1A2B8C"/>
          <w:sz w:val="26"/>
          <w:szCs w:val="26"/>
        </w:rPr>
        <w:t xml:space="preserve">3.  Meal &amp; Rest Breaks</w:t>
      </w:r>
    </w:p>
    <w:p>
      <w:pPr>
        <w:spacing w:after="120" w:line="276"/>
      </w:pPr>
      <w:r>
        <w:rPr>
          <w:sz w:val="21"/>
          <w:szCs w:val="21"/>
        </w:rPr>
        <w:t xml:space="preserve">The Employee acknowledges the right to a paid 10-minute rest break for every four hours worked, and an unpaid 30-minute meal break to be provided no later than the end of the fifth hour of work. The Company’s full meal- and rest-break policy is set out in a separate document.</w:t>
      </w:r>
    </w:p>
    <w:p>
      <w:pPr>
        <w:pStyle w:val="Heading1"/>
        <w:spacing w:after="120" w:before="260"/>
      </w:pPr>
      <w:r>
        <w:rPr>
          <w:b/>
          <w:bCs/>
          <w:color w:val="1A2B8C"/>
          <w:sz w:val="26"/>
          <w:szCs w:val="26"/>
        </w:rPr>
        <w:t xml:space="preserve">4.  Mileage Reimbursement</w:t>
      </w:r>
    </w:p>
    <w:p>
      <w:pPr>
        <w:spacing w:after="120" w:line="276"/>
      </w:pPr>
      <w:r>
        <w:rPr>
          <w:sz w:val="21"/>
          <w:szCs w:val="21"/>
        </w:rPr>
        <w:t xml:space="preserve">Approved business mileage driven in a personal vehicle is reimbursed at the IRS standard mileage rate in effect (</w:t>
      </w:r>
      <w:r>
        <w:rPr>
          <w:b/>
          <w:bCs/>
          <w:sz w:val="21"/>
          <w:szCs w:val="21"/>
        </w:rPr>
        <w:t xml:space="preserve">$0.76 per mile for 2026</w:t>
      </w:r>
      <w:r>
        <w:rPr>
          <w:sz w:val="21"/>
          <w:szCs w:val="21"/>
        </w:rPr>
        <w:t xml:space="preserve">). Mileage reimbursement is a reimbursement of expenses — it is not wages, is added to net pay, and is not subject to payroll tax withholding. Mileage is recorded through the kiosk and paid on the same biweekly cycle.</w:t>
      </w:r>
    </w:p>
    <w:p>
      <w:pPr>
        <w:pStyle w:val="Heading1"/>
        <w:spacing w:after="120" w:before="260"/>
      </w:pPr>
      <w:r>
        <w:rPr>
          <w:b/>
          <w:bCs/>
          <w:color w:val="1A2B8C"/>
          <w:sz w:val="26"/>
          <w:szCs w:val="26"/>
        </w:rPr>
        <w:t xml:space="preserve">5.  Taxes &amp; Payroll Deductions</w:t>
      </w:r>
    </w:p>
    <w:p>
      <w:pPr>
        <w:spacing w:after="120" w:line="276"/>
      </w:pPr>
      <w:r>
        <w:rPr>
          <w:sz w:val="21"/>
          <w:szCs w:val="21"/>
        </w:rPr>
        <w:t xml:space="preserve">Gross wages are subject to standard payroll withholding. The following are withheld each pay period:</w:t>
      </w:r>
    </w:p>
    <w:p>
      <w:pPr>
        <w:pStyle w:val="ListParagraph"/>
        <w:numPr>
          <w:ilvl w:val="0"/>
          <w:numId w:val="3"/>
        </w:numPr>
        <w:spacing w:after="60" w:line="268"/>
      </w:pPr>
      <w:r>
        <w:rPr>
          <w:b/>
          <w:bCs/>
          <w:sz w:val="21"/>
          <w:szCs w:val="21"/>
        </w:rPr>
        <w:t xml:space="preserve">Social Security (FICA / OASDI): </w:t>
      </w:r>
      <w:r>
        <w:rPr>
          <w:sz w:val="21"/>
          <w:szCs w:val="21"/>
        </w:rPr>
        <w:t xml:space="preserve">6.2% of wages, up to the annual Social Security wage base ($176,100 for 2026).</w:t>
      </w:r>
    </w:p>
    <w:p>
      <w:pPr>
        <w:pStyle w:val="ListParagraph"/>
        <w:numPr>
          <w:ilvl w:val="0"/>
          <w:numId w:val="3"/>
        </w:numPr>
        <w:spacing w:after="60" w:line="268"/>
      </w:pPr>
      <w:r>
        <w:rPr>
          <w:b/>
          <w:bCs/>
          <w:sz w:val="21"/>
          <w:szCs w:val="21"/>
        </w:rPr>
        <w:t xml:space="preserve">Medicare: </w:t>
      </w:r>
      <w:r>
        <w:rPr>
          <w:sz w:val="21"/>
          <w:szCs w:val="21"/>
        </w:rPr>
        <w:t xml:space="preserve">1.45% of wages.</w:t>
      </w:r>
    </w:p>
    <w:p>
      <w:pPr>
        <w:pStyle w:val="ListParagraph"/>
        <w:numPr>
          <w:ilvl w:val="0"/>
          <w:numId w:val="3"/>
        </w:numPr>
        <w:spacing w:after="60" w:line="268"/>
      </w:pPr>
      <w:r>
        <w:rPr>
          <w:b/>
          <w:bCs/>
          <w:sz w:val="21"/>
          <w:szCs w:val="21"/>
        </w:rPr>
        <w:t xml:space="preserve">Federal income tax withholding: </w:t>
      </w:r>
      <w:r>
        <w:rPr>
          <w:sz w:val="21"/>
          <w:szCs w:val="21"/>
        </w:rPr>
        <w:t xml:space="preserve">based on the Employee’s Form W-4 (filing status and adjustments), per IRS Publication 15-T.</w:t>
      </w:r>
    </w:p>
    <w:p>
      <w:pPr>
        <w:pStyle w:val="ListParagraph"/>
        <w:numPr>
          <w:ilvl w:val="0"/>
          <w:numId w:val="3"/>
        </w:numPr>
        <w:spacing w:after="60" w:line="268"/>
      </w:pPr>
      <w:r>
        <w:rPr>
          <w:b/>
          <w:bCs/>
          <w:sz w:val="21"/>
          <w:szCs w:val="21"/>
        </w:rPr>
        <w:t xml:space="preserve">California income tax withholding: </w:t>
      </w:r>
      <w:r>
        <w:rPr>
          <w:sz w:val="21"/>
          <w:szCs w:val="21"/>
        </w:rPr>
        <w:t xml:space="preserve">based on the Employee’s Form DE-4 (filing status and allowances).</w:t>
      </w:r>
    </w:p>
    <w:p>
      <w:pPr>
        <w:spacing w:after="120" w:line="276"/>
      </w:pPr>
      <w:r>
        <w:rPr>
          <w:sz w:val="21"/>
          <w:szCs w:val="21"/>
        </w:rPr>
        <w:t xml:space="preserve">The Employee is responsible for keeping Form W-4 and Form DE-4 current. Net pay = gross wages − total withholding + mileage reimbursement. An itemized pay statement is provided each payday showing hours, rates, gross wages, each deduction, mileage, and net pay, as required by Labor Code § 226.</w:t>
      </w:r>
    </w:p>
    <w:p>
      <w:pPr>
        <w:pStyle w:val="Heading1"/>
        <w:spacing w:after="120" w:before="260"/>
      </w:pPr>
      <w:r>
        <w:rPr>
          <w:b/>
          <w:bCs/>
          <w:color w:val="1A2B8C"/>
          <w:sz w:val="26"/>
          <w:szCs w:val="26"/>
        </w:rPr>
        <w:t xml:space="preserve">6.  Method of Payment</w:t>
      </w:r>
    </w:p>
    <w:p>
      <w:pPr>
        <w:spacing w:after="120" w:line="276"/>
      </w:pPr>
      <w:r>
        <w:rPr>
          <w:sz w:val="21"/>
          <w:szCs w:val="21"/>
        </w:rPr>
        <w:t xml:space="preserve">Wages are paid by (check one): </w:t>
      </w:r>
    </w:p>
    <w:p>
      <w:pPr>
        <w:pStyle w:val="ListParagraph"/>
        <w:numPr>
          <w:ilvl w:val="0"/>
          <w:numId w:val="3"/>
        </w:numPr>
        <w:spacing w:after="60" w:line="268"/>
      </w:pPr>
      <w:r>
        <w:rPr>
          <w:sz w:val="21"/>
          <w:szCs w:val="21"/>
        </w:rPr>
        <w:t xml:space="preserve">☐  Direct deposit to the account on file (voided check / authorization form required), or</w:t>
      </w:r>
    </w:p>
    <w:p>
      <w:pPr>
        <w:pStyle w:val="ListParagraph"/>
        <w:numPr>
          <w:ilvl w:val="0"/>
          <w:numId w:val="3"/>
        </w:numPr>
        <w:spacing w:after="60" w:line="268"/>
      </w:pPr>
      <w:r>
        <w:rPr>
          <w:sz w:val="21"/>
          <w:szCs w:val="21"/>
        </w:rPr>
        <w:t xml:space="preserve">☐  Live check.</w:t>
      </w:r>
    </w:p>
    <w:p>
      <w:pPr>
        <w:spacing w:after="120" w:line="276"/>
      </w:pPr>
      <w:r>
        <w:rPr>
          <w:sz w:val="21"/>
          <w:szCs w:val="21"/>
        </w:rPr>
        <w:t xml:space="preserve">Selected method: </w:t>
      </w:r>
      <w:r>
        <w:rPr>
          <w:sz w:val="21"/>
          <w:szCs w:val="21"/>
        </w:rPr>
        <w:t xml:space="preserve">________________________________________ </w:t>
      </w:r>
    </w:p>
    <w:p>
      <w:pPr>
        <w:pStyle w:val="Heading1"/>
        <w:spacing w:after="120" w:before="260"/>
      </w:pPr>
      <w:r>
        <w:rPr>
          <w:b/>
          <w:bCs/>
          <w:color w:val="1A2B8C"/>
          <w:sz w:val="26"/>
          <w:szCs w:val="26"/>
        </w:rPr>
        <w:t xml:space="preserve">7.  General Terms</w:t>
      </w:r>
    </w:p>
    <w:p>
      <w:pPr>
        <w:pStyle w:val="ListParagraph"/>
        <w:numPr>
          <w:ilvl w:val="0"/>
          <w:numId w:val="2"/>
        </w:numPr>
        <w:spacing w:after="100" w:before="140" w:line="276"/>
      </w:pPr>
      <w:r>
        <w:rPr>
          <w:b/>
          <w:bCs/>
          <w:color w:val="111827"/>
          <w:sz w:val="21"/>
          <w:szCs w:val="21"/>
        </w:rPr>
        <w:t xml:space="preserve">At-will employment. </w:t>
      </w:r>
      <w:r>
        <w:rPr>
          <w:sz w:val="21"/>
          <w:szCs w:val="21"/>
        </w:rPr>
        <w:t xml:space="preserve">Nothing in this Agreement changes the at-will nature of employment. Either the Employee or the Company may end the employment relationship at any time, with or without cause or notice, subject to applicable law.</w:t>
      </w:r>
    </w:p>
    <w:p>
      <w:pPr>
        <w:pStyle w:val="ListParagraph"/>
        <w:numPr>
          <w:ilvl w:val="0"/>
          <w:numId w:val="2"/>
        </w:numPr>
        <w:spacing w:after="100" w:before="140" w:line="276"/>
      </w:pPr>
      <w:r>
        <w:rPr>
          <w:b/>
          <w:bCs/>
          <w:color w:val="111827"/>
          <w:sz w:val="21"/>
          <w:szCs w:val="21"/>
        </w:rPr>
        <w:t xml:space="preserve">Rate changes. </w:t>
      </w:r>
      <w:r>
        <w:rPr>
          <w:sz w:val="21"/>
          <w:szCs w:val="21"/>
        </w:rPr>
        <w:t xml:space="preserve">The Company may change pay rates, schedules, or benefits on a going-forward basis. The Employee will receive written notice of any change to the pay rate or payday at least one pay period in advance, and in no event later than required by Labor Code § 2810.5.</w:t>
      </w:r>
    </w:p>
    <w:p>
      <w:pPr>
        <w:pStyle w:val="ListParagraph"/>
        <w:numPr>
          <w:ilvl w:val="0"/>
          <w:numId w:val="2"/>
        </w:numPr>
        <w:spacing w:after="100" w:before="140" w:line="276"/>
      </w:pPr>
      <w:r>
        <w:rPr>
          <w:b/>
          <w:bCs/>
          <w:color w:val="111827"/>
          <w:sz w:val="21"/>
          <w:szCs w:val="21"/>
        </w:rPr>
        <w:t xml:space="preserve">Final pay. </w:t>
      </w:r>
      <w:r>
        <w:rPr>
          <w:sz w:val="21"/>
          <w:szCs w:val="21"/>
        </w:rPr>
        <w:t xml:space="preserve">On separation, final wages are paid within the timeframe required by California law (immediately on an involuntary termination; within 72 hours of a resignation without notice, or on the last day if 72+ hours’ notice is given).</w:t>
      </w:r>
    </w:p>
    <w:p>
      <w:pPr>
        <w:pStyle w:val="ListParagraph"/>
        <w:numPr>
          <w:ilvl w:val="0"/>
          <w:numId w:val="2"/>
        </w:numPr>
        <w:spacing w:after="100" w:before="140" w:line="276"/>
      </w:pPr>
      <w:r>
        <w:rPr>
          <w:b/>
          <w:bCs/>
          <w:color w:val="111827"/>
          <w:sz w:val="21"/>
          <w:szCs w:val="21"/>
        </w:rPr>
        <w:t xml:space="preserve">Entire agreement. </w:t>
      </w:r>
      <w:r>
        <w:rPr>
          <w:sz w:val="21"/>
          <w:szCs w:val="21"/>
        </w:rPr>
        <w:t xml:space="preserve">This Agreement, together with the offer letter and Employee Handbook, is the entire agreement on compensation and supersedes prior discussions on pay. Any amendment must be in writing and signed by the Company.</w:t>
      </w:r>
    </w:p>
    <w:p>
      <w:pPr>
        <w:pStyle w:val="Heading1"/>
        <w:spacing w:after="120" w:before="260"/>
      </w:pPr>
      <w:r>
        <w:rPr>
          <w:b/>
          <w:bCs/>
          <w:color w:val="1A2B8C"/>
          <w:sz w:val="26"/>
          <w:szCs w:val="26"/>
        </w:rPr>
        <w:t xml:space="preserve">8.  Acknowledgement &amp; Signatures</w:t>
      </w:r>
    </w:p>
    <w:p>
      <w:pPr>
        <w:spacing w:after="120" w:line="276"/>
      </w:pPr>
      <w:r>
        <w:rPr>
          <w:sz w:val="21"/>
          <w:szCs w:val="21"/>
        </w:rPr>
        <w:t xml:space="preserve">By signing below, the Employee acknowledges having read and understood this Agreement, including the biweekly (every-other-Friday) pay schedule and two-week pay-period lag, the Draw and Travel rates, the meal- and rest-break acknowledgement, mileage reimbursement, and payroll deductions.</w:t>
      </w:r>
    </w:p>
    <w:tbl>
      <w:tblPr>
        <w:tblW w:type="dxa" w:w="9360"/>
        <w:tblBorders>
          <w:top w:val="none"/>
          <w:left w:val="none"/>
          <w:bottom w:val="none"/>
          <w:right w:val="none"/>
          <w:insideH w:val="none"/>
          <w:insideV w:val="none"/>
        </w:tblBorders>
      </w:tblPr>
      <w:tblGrid>
        <w:gridCol w:w="4680"/>
        <w:gridCol w:w="4680"/>
      </w:tblGrid>
      <w:tr>
        <w:tc>
          <w:tcPr>
            <w:tcW w:type="dxa" w:w="4680"/>
            <w:tcMar>
              <w:top w:type="dxa" w:w="60"/>
              <w:left w:type="dxa" w:w="110"/>
              <w:bottom w:type="dxa" w:w="60"/>
              <w:right w:type="dxa" w:w="110"/>
            </w:tcMar>
          </w:tcPr>
          <w:p>
            <w:pPr>
              <w:spacing w:after="0" w:before="360"/>
            </w:pPr>
            <w:r>
              <w:rPr>
                <w:sz w:val="21"/>
                <w:szCs w:val="21"/>
              </w:rPr>
              <w:t xml:space="preserve">__________________________________________</w:t>
            </w:r>
          </w:p>
          <w:p>
            <w:pPr>
              <w:spacing w:after="160"/>
            </w:pPr>
            <w:r>
              <w:rPr>
                <w:color w:val="6B7280"/>
                <w:sz w:val="18"/>
                <w:szCs w:val="18"/>
              </w:rPr>
              <w:t xml:space="preserve">Employee signature</w:t>
            </w:r>
          </w:p>
          <w:p>
            <w:pPr>
              <w:spacing w:after="0" w:before="0"/>
            </w:pPr>
            <w:r>
              <w:rPr>
                <w:color w:val="6B7280"/>
                <w:sz w:val="18"/>
                <w:szCs w:val="18"/>
              </w:rPr>
              <w:t xml:space="preserve">Print name: </w:t>
            </w:r>
            <w:r>
              <w:rPr>
                <w:sz w:val="21"/>
                <w:szCs w:val="21"/>
              </w:rPr>
              <w:t xml:space="preserve">____________________ </w:t>
            </w:r>
          </w:p>
          <w:p>
            <w:pPr>
              <w:spacing w:before="120"/>
            </w:pPr>
            <w:r>
              <w:rPr>
                <w:color w:val="6B7280"/>
                <w:sz w:val="18"/>
                <w:szCs w:val="18"/>
              </w:rPr>
              <w:t xml:space="preserve">Date: </w:t>
            </w:r>
            <w:r>
              <w:rPr>
                <w:sz w:val="21"/>
                <w:szCs w:val="21"/>
              </w:rPr>
              <w:t xml:space="preserve">__________________ </w:t>
            </w:r>
          </w:p>
        </w:tc>
        <w:tc>
          <w:tcPr>
            <w:tcW w:type="dxa" w:w="4680"/>
            <w:tcMar>
              <w:top w:type="dxa" w:w="60"/>
              <w:left w:type="dxa" w:w="110"/>
              <w:bottom w:type="dxa" w:w="60"/>
              <w:right w:type="dxa" w:w="110"/>
            </w:tcMar>
          </w:tcPr>
          <w:p>
            <w:pPr>
              <w:spacing w:after="0" w:before="360"/>
            </w:pPr>
            <w:r>
              <w:rPr>
                <w:sz w:val="21"/>
                <w:szCs w:val="21"/>
              </w:rPr>
              <w:t xml:space="preserve">__________________________________________</w:t>
            </w:r>
          </w:p>
          <w:p>
            <w:pPr>
              <w:spacing w:after="160"/>
            </w:pPr>
            <w:r>
              <w:rPr>
                <w:color w:val="6B7280"/>
                <w:sz w:val="18"/>
                <w:szCs w:val="18"/>
              </w:rPr>
              <w:t xml:space="preserve">For Juno Tech Laboratory</w:t>
            </w:r>
          </w:p>
          <w:p>
            <w:pPr>
              <w:spacing w:after="0" w:before="0"/>
            </w:pPr>
            <w:r>
              <w:rPr>
                <w:color w:val="6B7280"/>
                <w:sz w:val="18"/>
                <w:szCs w:val="18"/>
              </w:rPr>
              <w:t xml:space="preserve">Print name / title: </w:t>
            </w:r>
            <w:r>
              <w:rPr>
                <w:sz w:val="21"/>
                <w:szCs w:val="21"/>
              </w:rPr>
              <w:t xml:space="preserve">________________ </w:t>
            </w:r>
          </w:p>
          <w:p>
            <w:pPr>
              <w:spacing w:before="120"/>
            </w:pPr>
            <w:r>
              <w:rPr>
                <w:color w:val="6B7280"/>
                <w:sz w:val="18"/>
                <w:szCs w:val="18"/>
              </w:rPr>
              <w:t xml:space="preserve">Date: </w:t>
            </w:r>
            <w:r>
              <w:rPr>
                <w:sz w:val="21"/>
                <w:szCs w:val="21"/>
              </w:rPr>
              <w:t xml:space="preserve">__________________ </w:t>
            </w:r>
          </w:p>
        </w:tc>
      </w:tr>
    </w:tbl>
    <w:sectPr>
      <w:headerReference w:type="default" r:id="rId7"/>
      <w:footerReference w:type="default" r:id="rId8"/>
      <w:pgSz w:w="12240" w:h="15840" w:orient="portrait"/>
      <w:pgMar w:top="11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6" w:space="6"/>
      </w:pBdr>
      <w:jc w:val="center"/>
    </w:pPr>
    <w:r>
      <w:rPr>
        <w:color w:val="6B7280"/>
        <w:sz w:val="15"/>
        <w:szCs w:val="15"/>
      </w:rPr>
      <w:t xml:space="preserve">Phlebotomist Compensation Agreement   •   Confidential   •   Page </w:t>
    </w:r>
    <w:r>
      <w:rPr>
        <w:color w:val="6B7280"/>
        <w:sz w:val="15"/>
        <w:szCs w:val="15"/>
      </w:rPr>
      <w:fldChar w:fldCharType="begin"/>
      <w:instrText xml:space="preserve">PAGE</w:instrText>
      <w:fldChar w:fldCharType="separate"/>
      <w:fldChar w:fldCharType="end"/>
    </w:r>
    <w:r>
      <w:rPr>
        <w:color w:val="6B7280"/>
        <w:sz w:val="15"/>
        <w:szCs w:val="15"/>
      </w:rPr>
      <w:t xml:space="preserve"> of </w:t>
    </w:r>
    <w:r>
      <w:rPr>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B8C" w:sz="6" w:space="6"/>
      </w:pBdr>
      <w:spacing w:after="0"/>
      <w:jc w:val="right"/>
    </w:pPr>
    <w:r>
      <w:rPr>
        <w:b/>
        <w:bCs/>
        <w:color w:val="1A2B8C"/>
        <w:spacing w:val="30"/>
        <w:sz w:val="16"/>
        <w:szCs w:val="16"/>
      </w:rPr>
      <w:t xml:space="preserve">JUNO TECH LABORATORY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20"/>
      </w:pPr>
    </w:lvl>
  </w:abstractNum>
  <w:abstractNum w:abstractNumId="3" w15:restartNumberingAfterBreak="0">
    <w:multiLevelType w:val="hybridMultilevel"/>
    <w:lvl w:ilvl="0" w15:tentative="1">
      <w:start w:val="1"/>
      <w:numFmt w:val="bullet"/>
      <w:lvlText w:val="•"/>
      <w:lvlJc w:val="star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2026-08-22T17:42:51.362Z</dcterms:created>
  <dcterms:modified xsi:type="dcterms:W3CDTF">2026-08-22T17:42:51.364Z</dcterms:modified>
</cp:coreProperties>
</file>

<file path=docProps/custom.xml><?xml version="1.0" encoding="utf-8"?>
<Properties xmlns="http://schemas.openxmlformats.org/officeDocument/2006/custom-properties" xmlns:vt="http://schemas.openxmlformats.org/officeDocument/2006/docPropsVTypes"/>
</file>