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jc w:val="center"/>
      </w:pPr>
      <w:r>
        <w:rPr>
          <w:b/>
          <w:bCs/>
          <w:color w:val="1A2B8C"/>
          <w:sz w:val="40"/>
          <w:szCs w:val="40"/>
        </w:rPr>
        <w:t xml:space="preserve">Juno Tech Laboratory</w:t>
      </w:r>
    </w:p>
    <w:p>
      <w:pPr>
        <w:spacing w:after="40"/>
        <w:jc w:val="center"/>
      </w:pPr>
      <w:r>
        <w:rPr>
          <w:b/>
          <w:bCs/>
          <w:color w:val="111827"/>
          <w:spacing w:val="20"/>
          <w:sz w:val="26"/>
          <w:szCs w:val="26"/>
        </w:rPr>
        <w:t xml:space="preserve">PHLEBOTOMIST COMPENSATION AGREEMENT</w:t>
      </w:r>
    </w:p>
    <w:p>
      <w:pPr>
        <w:spacing w:after="220"/>
        <w:jc w:val="center"/>
      </w:pPr>
      <w:r>
        <w:rPr>
          <w:i/>
          <w:iCs/>
          <w:color w:val="6B7280"/>
          <w:sz w:val="20"/>
          <w:szCs w:val="20"/>
        </w:rPr>
        <w:t xml:space="preserve">Hourly, Non-Exempt — State of California</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400"/>
        <w:gridCol w:w="6960"/>
      </w:tblGrid>
      <w:tr>
        <w:tc>
          <w:tcPr>
            <w:tcW w:type="dxa" w:w="2400"/>
            <w:shd w:fill="F1F5F9" w:color="auto" w:val="clear"/>
            <w:tcMar>
              <w:top w:type="dxa" w:w="60"/>
              <w:left w:type="dxa" w:w="110"/>
              <w:bottom w:type="dxa" w:w="60"/>
              <w:right w:type="dxa" w:w="110"/>
            </w:tcMar>
          </w:tcPr>
          <w:p>
            <w:r>
              <w:rPr>
                <w:b/>
                <w:bCs/>
                <w:color w:val="111827"/>
                <w:sz w:val="20"/>
                <w:szCs w:val="20"/>
              </w:rPr>
              <w:t xml:space="preserve">Employer</w:t>
            </w:r>
          </w:p>
        </w:tc>
        <w:tc>
          <w:tcPr>
            <w:tcW w:type="dxa" w:w="6960"/>
            <w:tcMar>
              <w:top w:type="dxa" w:w="60"/>
              <w:left w:type="dxa" w:w="110"/>
              <w:bottom w:type="dxa" w:w="60"/>
              <w:right w:type="dxa" w:w="110"/>
            </w:tcMar>
          </w:tcPr>
          <w:p>
            <w:r>
              <w:rPr>
                <w:sz w:val="20"/>
                <w:szCs w:val="20"/>
              </w:rPr>
              <w:t xml:space="preserve">Juno Tech Laboratory ("the Company")</w:t>
            </w:r>
          </w:p>
        </w:tc>
      </w:tr>
      <w:tr>
        <w:tc>
          <w:tcPr>
            <w:tcW w:type="dxa" w:w="2400"/>
            <w:shd w:fill="F1F5F9" w:color="auto" w:val="clear"/>
            <w:tcMar>
              <w:top w:type="dxa" w:w="60"/>
              <w:left w:type="dxa" w:w="110"/>
              <w:bottom w:type="dxa" w:w="60"/>
              <w:right w:type="dxa" w:w="110"/>
            </w:tcMar>
          </w:tcPr>
          <w:p>
            <w:r>
              <w:rPr>
                <w:b/>
                <w:bCs/>
                <w:color w:val="111827"/>
                <w:sz w:val="20"/>
                <w:szCs w:val="20"/>
              </w:rPr>
              <w:t xml:space="preserve">Employee</w:t>
            </w:r>
          </w:p>
        </w:tc>
        <w:tc>
          <w:tcPr>
            <w:tcW w:type="dxa" w:w="6960"/>
            <w:tcMar>
              <w:top w:type="dxa" w:w="60"/>
              <w:left w:type="dxa" w:w="110"/>
              <w:bottom w:type="dxa" w:w="60"/>
              <w:right w:type="dxa" w:w="110"/>
            </w:tcMar>
          </w:tcPr>
          <w:p>
            <w:r>
              <w:rPr>
                <w:color w:val="6B7280"/>
                <w:sz w:val="20"/>
                <w:szCs w:val="20"/>
              </w:rPr>
              <w:t xml:space="preserve">Name: </w:t>
            </w:r>
            <w:r>
              <w:rPr>
                <w:sz w:val="21"/>
                <w:szCs w:val="21"/>
              </w:rPr>
              <w:t xml:space="preserve">__________________________________ </w:t>
            </w:r>
          </w:p>
        </w:tc>
      </w:tr>
      <w:tr>
        <w:tc>
          <w:tcPr>
            <w:tcW w:type="dxa" w:w="2400"/>
            <w:shd w:fill="F1F5F9" w:color="auto" w:val="clear"/>
            <w:tcMar>
              <w:top w:type="dxa" w:w="60"/>
              <w:left w:type="dxa" w:w="110"/>
              <w:bottom w:type="dxa" w:w="60"/>
              <w:right w:type="dxa" w:w="110"/>
            </w:tcMar>
          </w:tcPr>
          <w:p>
            <w:r>
              <w:rPr>
                <w:b/>
                <w:bCs/>
                <w:color w:val="111827"/>
                <w:sz w:val="20"/>
                <w:szCs w:val="20"/>
              </w:rPr>
              <w:t xml:space="preserve">Position</w:t>
            </w:r>
          </w:p>
        </w:tc>
        <w:tc>
          <w:tcPr>
            <w:tcW w:type="dxa" w:w="6960"/>
            <w:tcMar>
              <w:top w:type="dxa" w:w="60"/>
              <w:left w:type="dxa" w:w="110"/>
              <w:bottom w:type="dxa" w:w="60"/>
              <w:right w:type="dxa" w:w="110"/>
            </w:tcMar>
          </w:tcPr>
          <w:p>
            <w:r>
              <w:rPr>
                <w:sz w:val="20"/>
                <w:szCs w:val="20"/>
              </w:rPr>
              <w:t xml:space="preserve">Phlebotomist (hourly, non-exempt)</w:t>
            </w:r>
          </w:p>
        </w:tc>
      </w:tr>
      <w:tr>
        <w:tc>
          <w:tcPr>
            <w:tcW w:type="dxa" w:w="2400"/>
            <w:shd w:fill="F1F5F9" w:color="auto" w:val="clear"/>
            <w:tcMar>
              <w:top w:type="dxa" w:w="60"/>
              <w:left w:type="dxa" w:w="110"/>
              <w:bottom w:type="dxa" w:w="60"/>
              <w:right w:type="dxa" w:w="110"/>
            </w:tcMar>
          </w:tcPr>
          <w:p>
            <w:r>
              <w:rPr>
                <w:b/>
                <w:bCs/>
                <w:color w:val="111827"/>
                <w:sz w:val="20"/>
                <w:szCs w:val="20"/>
              </w:rPr>
              <w:t xml:space="preserve">Effective Date</w:t>
            </w:r>
          </w:p>
        </w:tc>
        <w:tc>
          <w:tcPr>
            <w:tcW w:type="dxa" w:w="6960"/>
            <w:tcMar>
              <w:top w:type="dxa" w:w="60"/>
              <w:left w:type="dxa" w:w="110"/>
              <w:bottom w:type="dxa" w:w="60"/>
              <w:right w:type="dxa" w:w="110"/>
            </w:tcMar>
          </w:tcPr>
          <w:p>
            <w:r>
              <w:rPr>
                <w:sz w:val="21"/>
                <w:szCs w:val="21"/>
              </w:rPr>
              <w:t xml:space="preserve">________________________ </w:t>
            </w:r>
          </w:p>
        </w:tc>
      </w:tr>
    </w:tbl>
    <w:p>
      <w:pPr>
        <w:spacing w:after="120"/>
      </w:pPr>
    </w:p>
    <w:p>
      <w:pPr>
        <w:spacing w:after="120" w:line="276"/>
      </w:pPr>
      <w:r>
        <w:rPr>
          <w:sz w:val="21"/>
          <w:szCs w:val="21"/>
        </w:rPr>
        <w:t xml:space="preserve">This Compensation Agreement ("Agreement") sets out how the Employee named above is paid for work performed as a phlebotomist for the Company. It supplements, and does not replace, the Employee’s offer letter, the Employee Handbook, and applicable federal and California law. Where any term conflicts with California law, California law controls.</w:t>
      </w:r>
    </w:p>
    <w:p>
      <w:pPr>
        <w:pStyle w:val="Heading1"/>
        <w:spacing w:after="120" w:before="260"/>
      </w:pPr>
      <w:r>
        <w:rPr>
          <w:b/>
          <w:bCs/>
          <w:color w:val="1A2B8C"/>
          <w:sz w:val="26"/>
          <w:szCs w:val="26"/>
        </w:rPr>
        <w:t xml:space="preserve">1.  Pay Schedule &amp; Pay Periods</w:t>
      </w:r>
    </w:p>
    <w:p>
      <w:pPr>
        <w:spacing w:after="120" w:line="276"/>
      </w:pPr>
      <w:r>
        <w:rPr>
          <w:b/>
          <w:bCs/>
          <w:sz w:val="21"/>
          <w:szCs w:val="21"/>
        </w:rPr>
        <w:t xml:space="preserve">The Employee is paid on a biweekly schedule — once every two weeks, on Friday.</w:t>
      </w:r>
    </w:p>
    <w:p>
      <w:pPr>
        <w:pStyle w:val="ListParagraph"/>
        <w:numPr>
          <w:ilvl w:val="0"/>
          <w:numId w:val="2"/>
        </w:numPr>
        <w:spacing w:after="100" w:before="140" w:line="276"/>
      </w:pPr>
      <w:r>
        <w:rPr>
          <w:b/>
          <w:bCs/>
          <w:color w:val="111827"/>
          <w:sz w:val="21"/>
          <w:szCs w:val="21"/>
        </w:rPr>
        <w:t xml:space="preserve">Payday. </w:t>
      </w:r>
      <w:r>
        <w:rPr>
          <w:sz w:val="21"/>
          <w:szCs w:val="21"/>
        </w:rPr>
        <w:t xml:space="preserve">Wages are paid every other Friday. If a scheduled payday falls on a Company-observed holiday, wages are paid on the last business day before that holiday.</w:t>
      </w:r>
    </w:p>
    <w:p>
      <w:pPr>
        <w:pStyle w:val="ListParagraph"/>
        <w:numPr>
          <w:ilvl w:val="0"/>
          <w:numId w:val="2"/>
        </w:numPr>
        <w:spacing w:after="100" w:before="140" w:line="276"/>
      </w:pPr>
      <w:r>
        <w:rPr>
          <w:b/>
          <w:bCs/>
          <w:color w:val="111827"/>
          <w:sz w:val="21"/>
          <w:szCs w:val="21"/>
        </w:rPr>
        <w:t xml:space="preserve">Pay period. </w:t>
      </w:r>
      <w:r>
        <w:rPr>
          <w:sz w:val="21"/>
          <w:szCs w:val="21"/>
        </w:rPr>
        <w:t xml:space="preserve">Each pay period is a fixed 14-day (two-week) period. Each payday covers the 14-day period ending two weeks (14 days) before that payday. In other words, there is a two-week lag between the end of a pay period and the payday for that period.</w:t>
      </w:r>
    </w:p>
    <w:p>
      <w:pPr>
        <w:pStyle w:val="ListParagraph"/>
        <w:numPr>
          <w:ilvl w:val="0"/>
          <w:numId w:val="2"/>
        </w:numPr>
        <w:spacing w:after="100" w:before="140" w:line="276"/>
      </w:pPr>
      <w:r>
        <w:rPr>
          <w:b/>
          <w:bCs/>
          <w:color w:val="111827"/>
          <w:sz w:val="21"/>
          <w:szCs w:val="21"/>
        </w:rPr>
        <w:t xml:space="preserve">Reference schedule. </w:t>
      </w:r>
      <w:r>
        <w:rPr>
          <w:sz w:val="21"/>
          <w:szCs w:val="21"/>
        </w:rPr>
        <w:t xml:space="preserve">The biweekly cycle in effect begins with the payday of </w:t>
      </w:r>
      <w:r>
        <w:rPr>
          <w:b/>
          <w:bCs/>
          <w:sz w:val="21"/>
          <w:szCs w:val="21"/>
        </w:rPr>
        <w:t xml:space="preserve">Friday, August 14, 2026</w:t>
      </w:r>
      <w:r>
        <w:rPr>
          <w:sz w:val="21"/>
          <w:szCs w:val="21"/>
        </w:rPr>
        <w:t xml:space="preserve">. Paydays continue every other Friday thereafter (August 28, September 11, September 25, and so on).</w:t>
      </w:r>
    </w:p>
    <w:p>
      <w:pPr>
        <w:spacing w:after="120" w:line="276"/>
      </w:pPr>
      <w:r>
        <w:rPr>
          <w:b/>
          <w:bCs/>
          <w:color w:val="6B7280"/>
          <w:sz w:val="20"/>
          <w:szCs w:val="20"/>
        </w:rPr>
        <w:t xml:space="preserve">Illustrative pay periods:</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3120"/>
        <w:gridCol w:w="6240"/>
      </w:tblGrid>
      <w:tr>
        <w:trPr>
          <w:tblHeader/>
        </w:trPr>
        <w:tc>
          <w:tcPr>
            <w:tcW w:type="dxa" w:w="3120"/>
            <w:shd w:fill="1A2B8C" w:color="auto" w:val="clear"/>
            <w:tcMar>
              <w:top w:type="dxa" w:w="60"/>
              <w:left w:type="dxa" w:w="110"/>
              <w:bottom w:type="dxa" w:w="60"/>
              <w:right w:type="dxa" w:w="110"/>
            </w:tcMar>
          </w:tcPr>
          <w:p>
            <w:r>
              <w:rPr>
                <w:b/>
                <w:bCs/>
                <w:color w:val="111827"/>
                <w:sz w:val="20"/>
                <w:szCs w:val="20"/>
              </w:rPr>
              <w:t xml:space="preserve">Payday (Friday)</w:t>
            </w:r>
          </w:p>
        </w:tc>
        <w:tc>
          <w:tcPr>
            <w:tcW w:type="dxa" w:w="6240"/>
            <w:shd w:fill="1A2B8C" w:color="auto" w:val="clear"/>
            <w:tcMar>
              <w:top w:type="dxa" w:w="60"/>
              <w:left w:type="dxa" w:w="110"/>
              <w:bottom w:type="dxa" w:w="60"/>
              <w:right w:type="dxa" w:w="110"/>
            </w:tcMar>
          </w:tcPr>
          <w:p>
            <w:r>
              <w:rPr>
                <w:b/>
                <w:bCs/>
                <w:color w:val="111827"/>
                <w:sz w:val="20"/>
                <w:szCs w:val="20"/>
              </w:rPr>
              <w:t xml:space="preserve">Covers work performed during</w:t>
            </w:r>
          </w:p>
        </w:tc>
      </w:tr>
      <w:tr>
        <w:tc>
          <w:tcPr>
            <w:tcW w:type="dxa" w:w="3120"/>
            <w:tcMar>
              <w:top w:type="dxa" w:w="60"/>
              <w:left w:type="dxa" w:w="110"/>
              <w:bottom w:type="dxa" w:w="60"/>
              <w:right w:type="dxa" w:w="110"/>
            </w:tcMar>
          </w:tcPr>
          <w:p>
            <w:r>
              <w:rPr>
                <w:sz w:val="20"/>
                <w:szCs w:val="20"/>
              </w:rPr>
              <w:t xml:space="preserve">August 14, 2026</w:t>
            </w:r>
          </w:p>
        </w:tc>
        <w:tc>
          <w:tcPr>
            <w:tcW w:type="dxa" w:w="6240"/>
            <w:tcMar>
              <w:top w:type="dxa" w:w="60"/>
              <w:left w:type="dxa" w:w="110"/>
              <w:bottom w:type="dxa" w:w="60"/>
              <w:right w:type="dxa" w:w="110"/>
            </w:tcMar>
          </w:tcPr>
          <w:p>
            <w:r>
              <w:rPr>
                <w:sz w:val="20"/>
                <w:szCs w:val="20"/>
              </w:rPr>
              <w:t xml:space="preserve">July 18 – July 31, 2026</w:t>
            </w:r>
          </w:p>
        </w:tc>
      </w:tr>
      <w:tr>
        <w:tc>
          <w:tcPr>
            <w:tcW w:type="dxa" w:w="3120"/>
            <w:shd w:fill="FAFBFC" w:color="auto" w:val="clear"/>
            <w:tcMar>
              <w:top w:type="dxa" w:w="60"/>
              <w:left w:type="dxa" w:w="110"/>
              <w:bottom w:type="dxa" w:w="60"/>
              <w:right w:type="dxa" w:w="110"/>
            </w:tcMar>
          </w:tcPr>
          <w:p>
            <w:r>
              <w:rPr>
                <w:sz w:val="20"/>
                <w:szCs w:val="20"/>
              </w:rPr>
              <w:t xml:space="preserve">August 28, 2026</w:t>
            </w:r>
          </w:p>
        </w:tc>
        <w:tc>
          <w:tcPr>
            <w:tcW w:type="dxa" w:w="6240"/>
            <w:shd w:fill="FAFBFC" w:color="auto" w:val="clear"/>
            <w:tcMar>
              <w:top w:type="dxa" w:w="60"/>
              <w:left w:type="dxa" w:w="110"/>
              <w:bottom w:type="dxa" w:w="60"/>
              <w:right w:type="dxa" w:w="110"/>
            </w:tcMar>
          </w:tcPr>
          <w:p>
            <w:r>
              <w:rPr>
                <w:sz w:val="20"/>
                <w:szCs w:val="20"/>
              </w:rPr>
              <w:t xml:space="preserve">August 1 – August 14, 2026</w:t>
            </w:r>
          </w:p>
        </w:tc>
      </w:tr>
      <w:tr>
        <w:tc>
          <w:tcPr>
            <w:tcW w:type="dxa" w:w="3120"/>
            <w:tcMar>
              <w:top w:type="dxa" w:w="60"/>
              <w:left w:type="dxa" w:w="110"/>
              <w:bottom w:type="dxa" w:w="60"/>
              <w:right w:type="dxa" w:w="110"/>
            </w:tcMar>
          </w:tcPr>
          <w:p>
            <w:r>
              <w:rPr>
                <w:sz w:val="20"/>
                <w:szCs w:val="20"/>
              </w:rPr>
              <w:t xml:space="preserve">September 11, 2026</w:t>
            </w:r>
          </w:p>
        </w:tc>
        <w:tc>
          <w:tcPr>
            <w:tcW w:type="dxa" w:w="6240"/>
            <w:tcMar>
              <w:top w:type="dxa" w:w="60"/>
              <w:left w:type="dxa" w:w="110"/>
              <w:bottom w:type="dxa" w:w="60"/>
              <w:right w:type="dxa" w:w="110"/>
            </w:tcMar>
          </w:tcPr>
          <w:p>
            <w:r>
              <w:rPr>
                <w:sz w:val="20"/>
                <w:szCs w:val="20"/>
              </w:rPr>
              <w:t xml:space="preserve">August 15 – August 28, 2026</w:t>
            </w:r>
          </w:p>
        </w:tc>
      </w:tr>
    </w:tbl>
    <w:p>
      <w:pPr>
        <w:spacing w:after="80"/>
      </w:pPr>
      <w:r>
        <w:rPr>
          <w:i/>
          <w:iCs/>
          <w:color w:val="6B7280"/>
          <w:sz w:val="18"/>
          <w:szCs w:val="18"/>
        </w:rPr>
        <w:t xml:space="preserve">Note: dates above are examples of how the two-week lag works; the same pattern applies to every future pay period.</w:t>
      </w:r>
    </w:p>
    <w:p>
      <w:pPr>
        <w:pStyle w:val="Heading1"/>
        <w:spacing w:after="120" w:before="260"/>
      </w:pPr>
      <w:r>
        <w:rPr>
          <w:b/>
          <w:bCs/>
          <w:color w:val="1A2B8C"/>
          <w:sz w:val="26"/>
          <w:szCs w:val="26"/>
        </w:rPr>
        <w:t xml:space="preserve">2.  Rate of Pay</w:t>
      </w:r>
    </w:p>
    <w:p>
      <w:pPr>
        <w:spacing w:after="120" w:line="276"/>
      </w:pPr>
      <w:r>
        <w:rPr>
          <w:sz w:val="21"/>
          <w:szCs w:val="21"/>
        </w:rPr>
        <w:t xml:space="preserve">The Employee is paid two hourly rates, applied to the type of time worked during the shift:</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600"/>
        <w:gridCol w:w="4360"/>
        <w:gridCol w:w="2400"/>
      </w:tblGrid>
      <w:tr>
        <w:trPr>
          <w:tblHeader/>
        </w:trPr>
        <w:tc>
          <w:tcPr>
            <w:tcW w:type="dxa" w:w="2600"/>
            <w:shd w:fill="1A2B8C" w:color="auto" w:val="clear"/>
            <w:tcMar>
              <w:top w:type="dxa" w:w="60"/>
              <w:left w:type="dxa" w:w="110"/>
              <w:bottom w:type="dxa" w:w="60"/>
              <w:right w:type="dxa" w:w="110"/>
            </w:tcMar>
          </w:tcPr>
          <w:p>
            <w:r>
              <w:rPr>
                <w:b/>
                <w:bCs/>
                <w:color w:val="111827"/>
                <w:sz w:val="20"/>
                <w:szCs w:val="20"/>
              </w:rPr>
              <w:t xml:space="preserve">Rate</w:t>
            </w:r>
          </w:p>
        </w:tc>
        <w:tc>
          <w:tcPr>
            <w:tcW w:type="dxa" w:w="4360"/>
            <w:shd w:fill="1A2B8C" w:color="auto" w:val="clear"/>
            <w:tcMar>
              <w:top w:type="dxa" w:w="60"/>
              <w:left w:type="dxa" w:w="110"/>
              <w:bottom w:type="dxa" w:w="60"/>
              <w:right w:type="dxa" w:w="110"/>
            </w:tcMar>
          </w:tcPr>
          <w:p>
            <w:r>
              <w:rPr>
                <w:b/>
                <w:bCs/>
                <w:color w:val="111827"/>
                <w:sz w:val="20"/>
                <w:szCs w:val="20"/>
              </w:rPr>
              <w:t xml:space="preserve">Applies to</w:t>
            </w:r>
          </w:p>
        </w:tc>
        <w:tc>
          <w:tcPr>
            <w:tcW w:type="dxa" w:w="2400"/>
            <w:shd w:fill="1A2B8C" w:color="auto" w:val="clear"/>
            <w:tcMar>
              <w:top w:type="dxa" w:w="60"/>
              <w:left w:type="dxa" w:w="110"/>
              <w:bottom w:type="dxa" w:w="60"/>
              <w:right w:type="dxa" w:w="110"/>
            </w:tcMar>
          </w:tcPr>
          <w:p>
            <w:pPr>
              <w:jc w:val="center"/>
            </w:pPr>
            <w:r>
              <w:rPr>
                <w:b/>
                <w:bCs/>
                <w:color w:val="111827"/>
                <w:sz w:val="20"/>
                <w:szCs w:val="20"/>
              </w:rPr>
              <w:t xml:space="preserve">Amount (USD/hr)</w:t>
            </w:r>
          </w:p>
        </w:tc>
      </w:tr>
      <w:tr>
        <w:tc>
          <w:tcPr>
            <w:tcW w:type="dxa" w:w="2600"/>
            <w:tcMar>
              <w:top w:type="dxa" w:w="60"/>
              <w:left w:type="dxa" w:w="110"/>
              <w:bottom w:type="dxa" w:w="60"/>
              <w:right w:type="dxa" w:w="110"/>
            </w:tcMar>
          </w:tcPr>
          <w:p>
            <w:r>
              <w:rPr>
                <w:b/>
                <w:bCs/>
                <w:color w:val="111827"/>
                <w:sz w:val="20"/>
                <w:szCs w:val="20"/>
              </w:rPr>
              <w:t xml:space="preserve">Draw Rate</w:t>
            </w:r>
          </w:p>
        </w:tc>
        <w:tc>
          <w:tcPr>
            <w:tcW w:type="dxa" w:w="4360"/>
            <w:tcMar>
              <w:top w:type="dxa" w:w="60"/>
              <w:left w:type="dxa" w:w="110"/>
              <w:bottom w:type="dxa" w:w="60"/>
              <w:right w:type="dxa" w:w="110"/>
            </w:tcMar>
          </w:tcPr>
          <w:p>
            <w:r>
              <w:rPr>
                <w:sz w:val="20"/>
                <w:szCs w:val="20"/>
              </w:rPr>
              <w:t xml:space="preserve">Active work — phlebotomy, patient processing, sample handling, and other productive duties at the facility.</w:t>
            </w:r>
          </w:p>
        </w:tc>
        <w:tc>
          <w:tcPr>
            <w:tcW w:type="dxa" w:w="2400"/>
            <w:tcMar>
              <w:top w:type="dxa" w:w="60"/>
              <w:left w:type="dxa" w:w="110"/>
              <w:bottom w:type="dxa" w:w="60"/>
              <w:right w:type="dxa" w:w="110"/>
            </w:tcMar>
          </w:tcPr>
          <w:p>
            <w:pPr>
              <w:jc w:val="center"/>
            </w:pPr>
            <w:r>
              <w:rPr>
                <w:sz w:val="20"/>
                <w:szCs w:val="20"/>
              </w:rPr>
              <w:t xml:space="preserve">$ </w:t>
            </w:r>
            <w:r>
              <w:rPr>
                <w:sz w:val="21"/>
                <w:szCs w:val="21"/>
              </w:rPr>
              <w:t xml:space="preserve">____________ </w:t>
            </w:r>
          </w:p>
        </w:tc>
      </w:tr>
      <w:tr>
        <w:tc>
          <w:tcPr>
            <w:tcW w:type="dxa" w:w="2600"/>
            <w:shd w:fill="FAFBFC" w:color="auto" w:val="clear"/>
            <w:tcMar>
              <w:top w:type="dxa" w:w="60"/>
              <w:left w:type="dxa" w:w="110"/>
              <w:bottom w:type="dxa" w:w="60"/>
              <w:right w:type="dxa" w:w="110"/>
            </w:tcMar>
          </w:tcPr>
          <w:p>
            <w:r>
              <w:rPr>
                <w:b/>
                <w:bCs/>
                <w:color w:val="111827"/>
                <w:sz w:val="20"/>
                <w:szCs w:val="20"/>
              </w:rPr>
              <w:t xml:space="preserve">Travel Rate</w:t>
            </w:r>
          </w:p>
        </w:tc>
        <w:tc>
          <w:tcPr>
            <w:tcW w:type="dxa" w:w="4360"/>
            <w:shd w:fill="FAFBFC" w:color="auto" w:val="clear"/>
            <w:tcMar>
              <w:top w:type="dxa" w:w="60"/>
              <w:left w:type="dxa" w:w="110"/>
              <w:bottom w:type="dxa" w:w="60"/>
              <w:right w:type="dxa" w:w="110"/>
            </w:tcMar>
          </w:tcPr>
          <w:p>
            <w:r>
              <w:rPr>
                <w:sz w:val="20"/>
                <w:szCs w:val="20"/>
              </w:rPr>
              <w:t xml:space="preserve">Non-productive time — compensable travel to and from the facility/assignment and other approved non-productive time.</w:t>
            </w:r>
          </w:p>
        </w:tc>
        <w:tc>
          <w:tcPr>
            <w:tcW w:type="dxa" w:w="2400"/>
            <w:shd w:fill="FAFBFC" w:color="auto" w:val="clear"/>
            <w:tcMar>
              <w:top w:type="dxa" w:w="60"/>
              <w:left w:type="dxa" w:w="110"/>
              <w:bottom w:type="dxa" w:w="60"/>
              <w:right w:type="dxa" w:w="110"/>
            </w:tcMar>
          </w:tcPr>
          <w:p>
            <w:pPr>
              <w:jc w:val="center"/>
            </w:pPr>
            <w:r>
              <w:rPr>
                <w:sz w:val="20"/>
                <w:szCs w:val="20"/>
              </w:rPr>
              <w:t xml:space="preserve">$ </w:t>
            </w:r>
            <w:r>
              <w:rPr>
                <w:sz w:val="21"/>
                <w:szCs w:val="21"/>
              </w:rPr>
              <w:t xml:space="preserve">____________ </w:t>
            </w:r>
          </w:p>
        </w:tc>
      </w:tr>
    </w:tbl>
    <w:p>
      <w:pPr>
        <w:spacing w:after="120" w:before="100"/>
      </w:pPr>
      <w:r>
        <w:rPr>
          <w:b/>
          <w:bCs/>
          <w:sz w:val="21"/>
          <w:szCs w:val="21"/>
        </w:rPr>
        <w:t xml:space="preserve">Minimum wage floor. </w:t>
      </w:r>
      <w:r>
        <w:rPr>
          <w:sz w:val="21"/>
          <w:szCs w:val="21"/>
        </w:rPr>
        <w:t xml:space="preserve">The Travel Rate, and every rate paid under this Agreement, will never be less than $16.50 per hour (the applicable California minimum wage). If the legal minimum wage increases, rates below the new minimum are raised automatically to comply.</w:t>
      </w:r>
    </w:p>
    <w:p>
      <w:pPr>
        <w:pStyle w:val="ListParagraph"/>
        <w:numPr>
          <w:ilvl w:val="0"/>
          <w:numId w:val="2"/>
        </w:numPr>
        <w:spacing w:after="100" w:before="140" w:line="276"/>
      </w:pPr>
      <w:r>
        <w:rPr>
          <w:b/>
          <w:bCs/>
          <w:color w:val="111827"/>
          <w:sz w:val="21"/>
          <w:szCs w:val="21"/>
        </w:rPr>
        <w:t xml:space="preserve">Time recording. </w:t>
      </w:r>
      <w:r>
        <w:rPr>
          <w:sz w:val="21"/>
          <w:szCs w:val="21"/>
        </w:rPr>
        <w:t xml:space="preserve">Hours are recorded through the Company timekeeping kiosk. Total paid shift time is split into travel hours and "draw" (active-work) hours; travel hours are recorded by the supervisor/administrator and the remainder of the shift is paid at the Draw Rate. Travel hours plus draw hours always equal the total paid shift.</w:t>
      </w:r>
    </w:p>
    <w:p>
      <w:pPr>
        <w:pStyle w:val="Heading1"/>
        <w:spacing w:after="120" w:before="260"/>
      </w:pPr>
      <w:r>
        <w:rPr>
          <w:b/>
          <w:bCs/>
          <w:color w:val="1A2B8C"/>
          <w:sz w:val="26"/>
          <w:szCs w:val="26"/>
        </w:rPr>
        <w:t xml:space="preserve">3.  Hours, Overtime &amp; Breaks</w:t>
      </w:r>
    </w:p>
    <w:p>
      <w:pPr>
        <w:pStyle w:val="ListParagraph"/>
        <w:numPr>
          <w:ilvl w:val="0"/>
          <w:numId w:val="2"/>
        </w:numPr>
        <w:spacing w:after="100" w:before="140" w:line="276"/>
      </w:pPr>
      <w:r>
        <w:rPr>
          <w:b/>
          <w:bCs/>
          <w:color w:val="111827"/>
          <w:sz w:val="21"/>
          <w:szCs w:val="21"/>
        </w:rPr>
        <w:t xml:space="preserve">Standard shift. </w:t>
      </w:r>
      <w:r>
        <w:rPr>
          <w:sz w:val="21"/>
          <w:szCs w:val="21"/>
        </w:rPr>
        <w:t xml:space="preserve">A standard shift is scheduled up to eight (8) hours. The kiosk issues a wrap-up alert at 7 hours 30 minutes and a hard clock-out reminder at 8 hours. Working beyond a standard shift requires advance supervisor approval.</w:t>
      </w:r>
    </w:p>
    <w:p>
      <w:pPr>
        <w:pStyle w:val="ListParagraph"/>
        <w:numPr>
          <w:ilvl w:val="0"/>
          <w:numId w:val="2"/>
        </w:numPr>
        <w:spacing w:after="100" w:before="140" w:line="276"/>
      </w:pPr>
      <w:r>
        <w:rPr>
          <w:b/>
          <w:bCs/>
          <w:color w:val="111827"/>
          <w:sz w:val="21"/>
          <w:szCs w:val="21"/>
        </w:rPr>
        <w:t xml:space="preserve">Overtime. </w:t>
      </w:r>
      <w:r>
        <w:rPr>
          <w:sz w:val="21"/>
          <w:szCs w:val="21"/>
        </w:rPr>
        <w:t xml:space="preserve">As a non-exempt employee, the Employee is paid overtime as required by California law: one-and-one-half times (1.5×) the regular rate for hours over 8 in a workday and over 40 in a workweek, and for the first 8 hours on the seventh consecutive day in a workweek; and double time (2×) for hours over 12 in a workday and over 8 on the seventh consecutive day. Overtime must be authorized in advance but is paid whenever worked.</w:t>
      </w:r>
    </w:p>
    <w:p>
      <w:pPr>
        <w:pStyle w:val="ListParagraph"/>
        <w:numPr>
          <w:ilvl w:val="0"/>
          <w:numId w:val="2"/>
        </w:numPr>
        <w:spacing w:after="100" w:before="140" w:line="276"/>
      </w:pPr>
      <w:r>
        <w:rPr>
          <w:b/>
          <w:bCs/>
          <w:color w:val="111827"/>
          <w:sz w:val="21"/>
          <w:szCs w:val="21"/>
        </w:rPr>
        <w:t xml:space="preserve">Meal &amp; rest breaks. </w:t>
      </w:r>
      <w:r>
        <w:rPr>
          <w:sz w:val="21"/>
          <w:szCs w:val="21"/>
        </w:rPr>
        <w:t xml:space="preserve">The Company provides meal and rest breaks per California law. The kiosk schedules a paid 10-minute rest break at 2 hours, an unpaid 30-minute meal break at 4 hours, and a second paid 10-minute rest break at 6 hours. Paid rest breaks are counted as time worked; the unpaid meal break is not paid and is deducted from the shift. If a compliant meal or rest break is not provided, the Employee is owed one additional hour of pay at the regular rate for that day, as required by law.</w:t>
      </w:r>
    </w:p>
    <w:p>
      <w:pPr>
        <w:pStyle w:val="Heading1"/>
        <w:spacing w:after="120" w:before="260"/>
      </w:pPr>
      <w:r>
        <w:rPr>
          <w:b/>
          <w:bCs/>
          <w:color w:val="1A2B8C"/>
          <w:sz w:val="26"/>
          <w:szCs w:val="26"/>
        </w:rPr>
        <w:t xml:space="preserve">4.  Mileage Reimbursement</w:t>
      </w:r>
    </w:p>
    <w:p>
      <w:pPr>
        <w:spacing w:after="120" w:line="276"/>
      </w:pPr>
      <w:r>
        <w:rPr>
          <w:sz w:val="21"/>
          <w:szCs w:val="21"/>
        </w:rPr>
        <w:t xml:space="preserve">Approved business mileage driven in a personal vehicle is reimbursed at the IRS standard mileage rate in effect (</w:t>
      </w:r>
      <w:r>
        <w:rPr>
          <w:b/>
          <w:bCs/>
          <w:sz w:val="21"/>
          <w:szCs w:val="21"/>
        </w:rPr>
        <w:t xml:space="preserve">$0.76 per mile for 2026</w:t>
      </w:r>
      <w:r>
        <w:rPr>
          <w:sz w:val="21"/>
          <w:szCs w:val="21"/>
        </w:rPr>
        <w:t xml:space="preserve">). Mileage reimbursement is a reimbursement of expenses — it is not wages, is added to net pay, and is not subject to payroll tax withholding. Mileage is recorded through the kiosk and paid on the same biweekly cycle.</w:t>
      </w:r>
    </w:p>
    <w:p>
      <w:pPr>
        <w:pStyle w:val="Heading1"/>
        <w:spacing w:after="120" w:before="260"/>
      </w:pPr>
      <w:r>
        <w:rPr>
          <w:b/>
          <w:bCs/>
          <w:color w:val="1A2B8C"/>
          <w:sz w:val="26"/>
          <w:szCs w:val="26"/>
        </w:rPr>
        <w:t xml:space="preserve">5.  Taxes &amp; Payroll Deductions</w:t>
      </w:r>
    </w:p>
    <w:p>
      <w:pPr>
        <w:spacing w:after="120" w:line="276"/>
      </w:pPr>
      <w:r>
        <w:rPr>
          <w:sz w:val="21"/>
          <w:szCs w:val="21"/>
        </w:rPr>
        <w:t xml:space="preserve">Gross wages are subject to standard payroll withholding. The following are withheld each pay period:</w:t>
      </w:r>
    </w:p>
    <w:p>
      <w:pPr>
        <w:pStyle w:val="ListParagraph"/>
        <w:numPr>
          <w:ilvl w:val="0"/>
          <w:numId w:val="3"/>
        </w:numPr>
        <w:spacing w:after="60" w:line="268"/>
      </w:pPr>
      <w:r>
        <w:rPr>
          <w:b/>
          <w:bCs/>
          <w:sz w:val="21"/>
          <w:szCs w:val="21"/>
        </w:rPr>
        <w:t xml:space="preserve">Social Security (FICA / OASDI): </w:t>
      </w:r>
      <w:r>
        <w:rPr>
          <w:sz w:val="21"/>
          <w:szCs w:val="21"/>
        </w:rPr>
        <w:t xml:space="preserve">6.2% of wages, up to the annual Social Security wage base ($176,100 for 2026).</w:t>
      </w:r>
    </w:p>
    <w:p>
      <w:pPr>
        <w:pStyle w:val="ListParagraph"/>
        <w:numPr>
          <w:ilvl w:val="0"/>
          <w:numId w:val="3"/>
        </w:numPr>
        <w:spacing w:after="60" w:line="268"/>
      </w:pPr>
      <w:r>
        <w:rPr>
          <w:b/>
          <w:bCs/>
          <w:sz w:val="21"/>
          <w:szCs w:val="21"/>
        </w:rPr>
        <w:t xml:space="preserve">Medicare: </w:t>
      </w:r>
      <w:r>
        <w:rPr>
          <w:sz w:val="21"/>
          <w:szCs w:val="21"/>
        </w:rPr>
        <w:t xml:space="preserve">1.45% of wages.</w:t>
      </w:r>
    </w:p>
    <w:p>
      <w:pPr>
        <w:pStyle w:val="ListParagraph"/>
        <w:numPr>
          <w:ilvl w:val="0"/>
          <w:numId w:val="3"/>
        </w:numPr>
        <w:spacing w:after="60" w:line="268"/>
      </w:pPr>
      <w:r>
        <w:rPr>
          <w:b/>
          <w:bCs/>
          <w:sz w:val="21"/>
          <w:szCs w:val="21"/>
        </w:rPr>
        <w:t xml:space="preserve">Federal income tax withholding: </w:t>
      </w:r>
      <w:r>
        <w:rPr>
          <w:sz w:val="21"/>
          <w:szCs w:val="21"/>
        </w:rPr>
        <w:t xml:space="preserve">based on the Employee’s Form W-4 (filing status and adjustments), per IRS Publication 15-T.</w:t>
      </w:r>
    </w:p>
    <w:p>
      <w:pPr>
        <w:pStyle w:val="ListParagraph"/>
        <w:numPr>
          <w:ilvl w:val="0"/>
          <w:numId w:val="3"/>
        </w:numPr>
        <w:spacing w:after="60" w:line="268"/>
      </w:pPr>
      <w:r>
        <w:rPr>
          <w:b/>
          <w:bCs/>
          <w:sz w:val="21"/>
          <w:szCs w:val="21"/>
        </w:rPr>
        <w:t xml:space="preserve">California income tax withholding: </w:t>
      </w:r>
      <w:r>
        <w:rPr>
          <w:sz w:val="21"/>
          <w:szCs w:val="21"/>
        </w:rPr>
        <w:t xml:space="preserve">based on the Employee’s Form DE-4 (filing status and allowances).</w:t>
      </w:r>
    </w:p>
    <w:p>
      <w:pPr>
        <w:spacing w:after="120" w:line="276"/>
      </w:pPr>
      <w:r>
        <w:rPr>
          <w:sz w:val="21"/>
          <w:szCs w:val="21"/>
        </w:rPr>
        <w:t xml:space="preserve">The Employee is responsible for keeping Form W-4 and Form DE-4 current. Net pay = gross wages − total withholding + mileage reimbursement. An itemized pay statement is provided each payday showing hours, rates, gross wages, each deduction, mileage, and net pay, as required by Labor Code § 226.</w:t>
      </w:r>
    </w:p>
    <w:p>
      <w:pPr>
        <w:pStyle w:val="Heading1"/>
        <w:spacing w:after="120" w:before="260"/>
      </w:pPr>
      <w:r>
        <w:rPr>
          <w:b/>
          <w:bCs/>
          <w:color w:val="1A2B8C"/>
          <w:sz w:val="26"/>
          <w:szCs w:val="26"/>
        </w:rPr>
        <w:t xml:space="preserve">6.  Method of Payment</w:t>
      </w:r>
    </w:p>
    <w:p>
      <w:pPr>
        <w:spacing w:after="120" w:line="276"/>
      </w:pPr>
      <w:r>
        <w:rPr>
          <w:sz w:val="21"/>
          <w:szCs w:val="21"/>
        </w:rPr>
        <w:t xml:space="preserve">Wages are paid by (check one): </w:t>
      </w:r>
    </w:p>
    <w:p>
      <w:pPr>
        <w:pStyle w:val="ListParagraph"/>
        <w:numPr>
          <w:ilvl w:val="0"/>
          <w:numId w:val="3"/>
        </w:numPr>
        <w:spacing w:after="60" w:line="268"/>
      </w:pPr>
      <w:r>
        <w:rPr>
          <w:sz w:val="21"/>
          <w:szCs w:val="21"/>
        </w:rPr>
        <w:t xml:space="preserve">☐  Direct deposit to the account on file (voided check / authorization form required), or</w:t>
      </w:r>
    </w:p>
    <w:p>
      <w:pPr>
        <w:pStyle w:val="ListParagraph"/>
        <w:numPr>
          <w:ilvl w:val="0"/>
          <w:numId w:val="3"/>
        </w:numPr>
        <w:spacing w:after="60" w:line="268"/>
      </w:pPr>
      <w:r>
        <w:rPr>
          <w:sz w:val="21"/>
          <w:szCs w:val="21"/>
        </w:rPr>
        <w:t xml:space="preserve">☐  Live check.</w:t>
      </w:r>
    </w:p>
    <w:p>
      <w:pPr>
        <w:spacing w:after="120" w:line="276"/>
      </w:pPr>
      <w:r>
        <w:rPr>
          <w:sz w:val="21"/>
          <w:szCs w:val="21"/>
        </w:rPr>
        <w:t xml:space="preserve">Selected method: </w:t>
      </w:r>
      <w:r>
        <w:rPr>
          <w:sz w:val="21"/>
          <w:szCs w:val="21"/>
        </w:rPr>
        <w:t xml:space="preserve">________________________________________ </w:t>
      </w:r>
    </w:p>
    <w:p>
      <w:pPr>
        <w:pStyle w:val="Heading1"/>
        <w:spacing w:after="120" w:before="260"/>
      </w:pPr>
      <w:r>
        <w:rPr>
          <w:b/>
          <w:bCs/>
          <w:color w:val="1A2B8C"/>
          <w:sz w:val="26"/>
          <w:szCs w:val="26"/>
        </w:rPr>
        <w:t xml:space="preserve">7.  General Terms</w:t>
      </w:r>
    </w:p>
    <w:p>
      <w:pPr>
        <w:pStyle w:val="ListParagraph"/>
        <w:numPr>
          <w:ilvl w:val="0"/>
          <w:numId w:val="2"/>
        </w:numPr>
        <w:spacing w:after="100" w:before="140" w:line="276"/>
      </w:pPr>
      <w:r>
        <w:rPr>
          <w:b/>
          <w:bCs/>
          <w:color w:val="111827"/>
          <w:sz w:val="21"/>
          <w:szCs w:val="21"/>
        </w:rPr>
        <w:t xml:space="preserve">At-will employment. </w:t>
      </w:r>
      <w:r>
        <w:rPr>
          <w:sz w:val="21"/>
          <w:szCs w:val="21"/>
        </w:rPr>
        <w:t xml:space="preserve">Nothing in this Agreement changes the at-will nature of employment. Either the Employee or the Company may end the employment relationship at any time, with or without cause or notice, subject to applicable law.</w:t>
      </w:r>
    </w:p>
    <w:p>
      <w:pPr>
        <w:pStyle w:val="ListParagraph"/>
        <w:numPr>
          <w:ilvl w:val="0"/>
          <w:numId w:val="2"/>
        </w:numPr>
        <w:spacing w:after="100" w:before="140" w:line="276"/>
      </w:pPr>
      <w:r>
        <w:rPr>
          <w:b/>
          <w:bCs/>
          <w:color w:val="111827"/>
          <w:sz w:val="21"/>
          <w:szCs w:val="21"/>
        </w:rPr>
        <w:t xml:space="preserve">Rate changes. </w:t>
      </w:r>
      <w:r>
        <w:rPr>
          <w:sz w:val="21"/>
          <w:szCs w:val="21"/>
        </w:rPr>
        <w:t xml:space="preserve">The Company may change pay rates, schedules, or benefits on a going-forward basis. The Employee will receive written notice of any change to the pay rate or payday at least one pay period in advance, and in no event later than required by Labor Code § 2810.5.</w:t>
      </w:r>
    </w:p>
    <w:p>
      <w:pPr>
        <w:pStyle w:val="ListParagraph"/>
        <w:numPr>
          <w:ilvl w:val="0"/>
          <w:numId w:val="2"/>
        </w:numPr>
        <w:spacing w:after="100" w:before="140" w:line="276"/>
      </w:pPr>
      <w:r>
        <w:rPr>
          <w:b/>
          <w:bCs/>
          <w:color w:val="111827"/>
          <w:sz w:val="21"/>
          <w:szCs w:val="21"/>
        </w:rPr>
        <w:t xml:space="preserve">Final pay. </w:t>
      </w:r>
      <w:r>
        <w:rPr>
          <w:sz w:val="21"/>
          <w:szCs w:val="21"/>
        </w:rPr>
        <w:t xml:space="preserve">On separation, final wages are paid within the timeframe required by California law (immediately on an involuntary termination; within 72 hours of a resignation without notice, or on the last day if 72+ hours’ notice is given).</w:t>
      </w:r>
    </w:p>
    <w:p>
      <w:pPr>
        <w:pStyle w:val="ListParagraph"/>
        <w:numPr>
          <w:ilvl w:val="0"/>
          <w:numId w:val="2"/>
        </w:numPr>
        <w:spacing w:after="100" w:before="140" w:line="276"/>
      </w:pPr>
      <w:r>
        <w:rPr>
          <w:b/>
          <w:bCs/>
          <w:color w:val="111827"/>
          <w:sz w:val="21"/>
          <w:szCs w:val="21"/>
        </w:rPr>
        <w:t xml:space="preserve">Entire agreement. </w:t>
      </w:r>
      <w:r>
        <w:rPr>
          <w:sz w:val="21"/>
          <w:szCs w:val="21"/>
        </w:rPr>
        <w:t xml:space="preserve">This Agreement, together with the offer letter and Employee Handbook, is the entire agreement on compensation and supersedes prior discussions on pay. Any amendment must be in writing and signed by the Company.</w:t>
      </w:r>
    </w:p>
    <w:p>
      <w:pPr>
        <w:pStyle w:val="Heading1"/>
        <w:spacing w:after="120" w:before="260"/>
      </w:pPr>
      <w:r>
        <w:rPr>
          <w:b/>
          <w:bCs/>
          <w:color w:val="1A2B8C"/>
          <w:sz w:val="26"/>
          <w:szCs w:val="26"/>
        </w:rPr>
        <w:t xml:space="preserve">8.  Acknowledgement &amp; Signatures</w:t>
      </w:r>
    </w:p>
    <w:p>
      <w:pPr>
        <w:spacing w:after="120" w:line="276"/>
      </w:pPr>
      <w:r>
        <w:rPr>
          <w:sz w:val="21"/>
          <w:szCs w:val="21"/>
        </w:rPr>
        <w:t xml:space="preserve">By signing below, the Employee acknowledges having read and understood this Agreement, including the biweekly (every-other-Friday) pay schedule and two-week pay-period lag, the Draw and Travel rates, overtime and break rules, mileage reimbursement, and payroll deductions.</w:t>
      </w:r>
    </w:p>
    <w:tbl>
      <w:tblPr>
        <w:tblW w:type="dxa" w:w="9360"/>
        <w:tblBorders>
          <w:top w:val="none"/>
          <w:left w:val="none"/>
          <w:bottom w:val="none"/>
          <w:right w:val="none"/>
          <w:insideH w:val="none"/>
          <w:insideV w:val="none"/>
        </w:tblBorders>
      </w:tblPr>
      <w:tblGrid>
        <w:gridCol w:w="4680"/>
        <w:gridCol w:w="4680"/>
      </w:tblGrid>
      <w:tr>
        <w:tc>
          <w:tcPr>
            <w:tcW w:type="dxa" w:w="4680"/>
            <w:tcMar>
              <w:top w:type="dxa" w:w="60"/>
              <w:left w:type="dxa" w:w="110"/>
              <w:bottom w:type="dxa" w:w="60"/>
              <w:right w:type="dxa" w:w="110"/>
            </w:tcMar>
          </w:tcPr>
          <w:p>
            <w:pPr>
              <w:spacing w:after="0" w:before="360"/>
            </w:pPr>
            <w:r>
              <w:rPr>
                <w:sz w:val="21"/>
                <w:szCs w:val="21"/>
              </w:rPr>
              <w:t xml:space="preserve">__________________________________________</w:t>
            </w:r>
          </w:p>
          <w:p>
            <w:pPr>
              <w:spacing w:after="160"/>
            </w:pPr>
            <w:r>
              <w:rPr>
                <w:color w:val="6B7280"/>
                <w:sz w:val="18"/>
                <w:szCs w:val="18"/>
              </w:rPr>
              <w:t xml:space="preserve">Employee signature</w:t>
            </w:r>
          </w:p>
          <w:p>
            <w:pPr>
              <w:spacing w:after="0" w:before="0"/>
            </w:pPr>
            <w:r>
              <w:rPr>
                <w:color w:val="6B7280"/>
                <w:sz w:val="18"/>
                <w:szCs w:val="18"/>
              </w:rPr>
              <w:t xml:space="preserve">Print name: </w:t>
            </w:r>
            <w:r>
              <w:rPr>
                <w:sz w:val="21"/>
                <w:szCs w:val="21"/>
              </w:rPr>
              <w:t xml:space="preserve">____________________ </w:t>
            </w:r>
          </w:p>
          <w:p>
            <w:pPr>
              <w:spacing w:before="120"/>
            </w:pPr>
            <w:r>
              <w:rPr>
                <w:color w:val="6B7280"/>
                <w:sz w:val="18"/>
                <w:szCs w:val="18"/>
              </w:rPr>
              <w:t xml:space="preserve">Date: </w:t>
            </w:r>
            <w:r>
              <w:rPr>
                <w:sz w:val="21"/>
                <w:szCs w:val="21"/>
              </w:rPr>
              <w:t xml:space="preserve">__________________ </w:t>
            </w:r>
          </w:p>
        </w:tc>
        <w:tc>
          <w:tcPr>
            <w:tcW w:type="dxa" w:w="4680"/>
            <w:tcMar>
              <w:top w:type="dxa" w:w="60"/>
              <w:left w:type="dxa" w:w="110"/>
              <w:bottom w:type="dxa" w:w="60"/>
              <w:right w:type="dxa" w:w="110"/>
            </w:tcMar>
          </w:tcPr>
          <w:p>
            <w:pPr>
              <w:spacing w:after="0" w:before="360"/>
            </w:pPr>
            <w:r>
              <w:rPr>
                <w:sz w:val="21"/>
                <w:szCs w:val="21"/>
              </w:rPr>
              <w:t xml:space="preserve">__________________________________________</w:t>
            </w:r>
          </w:p>
          <w:p>
            <w:pPr>
              <w:spacing w:after="160"/>
            </w:pPr>
            <w:r>
              <w:rPr>
                <w:color w:val="6B7280"/>
                <w:sz w:val="18"/>
                <w:szCs w:val="18"/>
              </w:rPr>
              <w:t xml:space="preserve">For Juno Tech Laboratory</w:t>
            </w:r>
          </w:p>
          <w:p>
            <w:pPr>
              <w:spacing w:after="0" w:before="0"/>
            </w:pPr>
            <w:r>
              <w:rPr>
                <w:color w:val="6B7280"/>
                <w:sz w:val="18"/>
                <w:szCs w:val="18"/>
              </w:rPr>
              <w:t xml:space="preserve">Print name / title: </w:t>
            </w:r>
            <w:r>
              <w:rPr>
                <w:sz w:val="21"/>
                <w:szCs w:val="21"/>
              </w:rPr>
              <w:t xml:space="preserve">________________ </w:t>
            </w:r>
          </w:p>
          <w:p>
            <w:pPr>
              <w:spacing w:before="120"/>
            </w:pPr>
            <w:r>
              <w:rPr>
                <w:color w:val="6B7280"/>
                <w:sz w:val="18"/>
                <w:szCs w:val="18"/>
              </w:rPr>
              <w:t xml:space="preserve">Date: </w:t>
            </w:r>
            <w:r>
              <w:rPr>
                <w:sz w:val="21"/>
                <w:szCs w:val="21"/>
              </w:rPr>
              <w:t xml:space="preserve">__________________ </w:t>
            </w:r>
          </w:p>
        </w:tc>
      </w:tr>
    </w:tbl>
    <w:sectPr>
      <w:headerReference w:type="default" r:id="rId7"/>
      <w:footerReference w:type="default" r:id="rId8"/>
      <w:pgSz w:w="12240" w:h="15840" w:orient="portrait"/>
      <w:pgMar w:top="11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6" w:space="6"/>
      </w:pBdr>
      <w:jc w:val="center"/>
    </w:pPr>
    <w:r>
      <w:rPr>
        <w:color w:val="6B7280"/>
        <w:sz w:val="15"/>
        <w:szCs w:val="15"/>
      </w:rPr>
      <w:t xml:space="preserve">Phlebotomist Compensation Agreement   •   Confidential   •   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B8C" w:sz="6" w:space="6"/>
      </w:pBdr>
      <w:spacing w:after="0"/>
      <w:jc w:val="right"/>
    </w:pPr>
    <w:r>
      <w:rPr>
        <w:b/>
        <w:bCs/>
        <w:color w:val="1A2B8C"/>
        <w:spacing w:val="30"/>
        <w:sz w:val="16"/>
        <w:szCs w:val="16"/>
      </w:rPr>
      <w:t xml:space="preserve">JUNO TECH LABORATORY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abstractNum w:abstractNumId="3" w15:restartNumberingAfterBreak="0">
    <w:multiLevelType w:val="hybridMultilevel"/>
    <w:lvl w:ilvl="0" w15:tentative="1">
      <w:start w:val="1"/>
      <w:numFmt w:val="bullet"/>
      <w:lvlText w:val="•"/>
      <w:lvlJc w:val="star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2026-08-22T16:28:36.142Z</dcterms:created>
  <dcterms:modified xsi:type="dcterms:W3CDTF">2026-08-22T16:28:36.143Z</dcterms:modified>
</cp:coreProperties>
</file>

<file path=docProps/custom.xml><?xml version="1.0" encoding="utf-8"?>
<Properties xmlns="http://schemas.openxmlformats.org/officeDocument/2006/custom-properties" xmlns:vt="http://schemas.openxmlformats.org/officeDocument/2006/docPropsVTypes"/>
</file>