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UNIVERSIDADE DE BRASÍLIA</w:t>
      </w:r>
    </w:p>
    <w:p>
      <w:pPr>
        <w:jc w:val="center"/>
      </w:pPr>
      <w:r>
        <w:rPr>
          <w:b w:val="0"/>
          <w:sz w:val="24"/>
        </w:rPr>
        <w:t>Departamento de Engenharia de Produção</w:t>
      </w:r>
    </w:p>
    <w:p>
      <w:pPr>
        <w:jc w:val="center"/>
      </w:pPr>
      <w:r>
        <w:rPr>
          <w:b w:val="0"/>
          <w:sz w:val="22"/>
        </w:rPr>
      </w:r>
    </w:p>
    <w:p>
      <w:pPr>
        <w:jc w:val="center"/>
      </w:pPr>
      <w:r>
        <w:rPr>
          <w:b/>
          <w:color w:val="1F4E79"/>
          <w:sz w:val="40"/>
        </w:rPr>
        <w:t>MVP — MINIMUM VIABLE PRODUCT</w:t>
      </w:r>
    </w:p>
    <w:p>
      <w:pPr>
        <w:jc w:val="center"/>
      </w:pPr>
      <w:r>
        <w:rPr>
          <w:b/>
          <w:color w:val="1F4E79"/>
          <w:sz w:val="32"/>
        </w:rPr>
        <w:t>Pipeline de dados em nuvem: produção industrial brasileira, juros, câmbio e inflação</w:t>
      </w:r>
    </w:p>
    <w:p>
      <w:pPr>
        <w:jc w:val="center"/>
      </w:pPr>
      <w:r>
        <w:rPr>
          <w:b w:val="0"/>
          <w:sz w:val="24"/>
        </w:rPr>
        <w:t>Recuperação pós-pandemia, sensibilidade ao juro real e risco por setor da indústria</w:t>
      </w:r>
    </w:p>
    <w:p>
      <w:pPr>
        <w:jc w:val="center"/>
      </w:pPr>
      <w:r>
        <w:rPr>
          <w:b w:val="0"/>
          <w:sz w:val="22"/>
        </w:rPr>
      </w:r>
    </w:p>
    <w:p>
      <w:pPr>
        <w:jc w:val="center"/>
      </w:pPr>
      <w:r>
        <w:rPr>
          <w:b w:val="0"/>
          <w:sz w:val="24"/>
        </w:rPr>
        <w:t>Aluno: Lucas Iwano</w:t>
      </w:r>
    </w:p>
    <w:p>
      <w:pPr>
        <w:jc w:val="center"/>
      </w:pPr>
      <w:r>
        <w:rPr>
          <w:b w:val="0"/>
          <w:sz w:val="24"/>
        </w:rPr>
        <w:t>Professor: André Luiz Marques Serrano</w:t>
      </w:r>
    </w:p>
    <w:p>
      <w:pPr>
        <w:jc w:val="center"/>
      </w:pPr>
      <w:r>
        <w:rPr>
          <w:b w:val="0"/>
          <w:sz w:val="24"/>
        </w:rPr>
        <w:t>Setembro de 2026</w:t>
      </w:r>
    </w:p>
    <w:p>
      <w:pPr>
        <w:jc w:val="center"/>
      </w:pPr>
      <w:r>
        <w:rPr>
          <w:b w:val="0"/>
          <w:sz w:val="22"/>
        </w:rPr>
        <w:t>Repositório: https://github.com/iwanolucas/MVP-Industria-Juros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pStyle w:val="Heading2"/>
      </w:pPr>
      <w:r>
        <w:t>1.1 Problema</w:t>
      </w:r>
    </w:p>
    <w:p>
      <w:r>
        <w:rPr>
          <w:b w:val="0"/>
        </w:rPr>
        <w:t>O juro real brasileiro está em nível elevado (9,3% a.a. em agosto/2026, pelos dados deste trabalho). Um gestor industrial, um banco de desenvolvimento ou um investidor que precise decidir onde expandir capacidade, provisionar risco ou renegociar prazos depara-se com duas perguntas: (i) a indústria brasileira se recuperou de fato do choque de 2020, ou a média esconde setores em depressão? e (ii) o quanto os juros e o câmbio explicam o ritmo de produção de cada setor, de modo que um corte de juros pudesse orientar a priorização de setores?</w:t>
      </w:r>
    </w:p>
    <w:p>
      <w:r>
        <w:rPr>
          <w:b w:val="0"/>
        </w:rPr>
        <w:t>O MVP constrói um pipeline de dados na nuvem que integra duas fontes públicas distintas, a Pesquisa Industrial Mensal – Produção Física (PIM-PF/IBGE), com 27 atividades industriais, e as séries macroeconômicas do Banco Central (Selic, IPCA e dólar), e usa o resultado para testar hipóteses explícitas sobre a relação entre política monetária, câmbio e produção industrial setorial.</w:t>
      </w:r>
    </w:p>
    <w:p>
      <w:r>
        <w:rPr>
          <w:b w:val="0"/>
        </w:rPr>
        <w:t>O objetivo foi definido antes da busca e da análise dos dados. A base foi escolhida depois, por ser aberta, agregada (sem dados pessoais) e capaz de responder às perguntas abaixo.</w:t>
      </w:r>
    </w:p>
    <w:p>
      <w:pPr>
        <w:pStyle w:val="Heading2"/>
      </w:pPr>
      <w:r>
        <w:t>1.2 Hipóteses</w:t>
      </w:r>
    </w:p>
    <w:p>
      <w:pPr>
        <w:pStyle w:val="ListBullet"/>
      </w:pPr>
      <w:r>
        <w:t>H1 — Juros. Juro real alto reduz o crescimento da produção industrial, com defasagem de alguns meses, e o efeito é mais forte em setores de bens de capital e de consumo durável, dependentes de crédito.</w:t>
      </w:r>
    </w:p>
    <w:p>
      <w:pPr>
        <w:pStyle w:val="ListBullet"/>
      </w:pPr>
      <w:r>
        <w:t>H2 — Câmbio. A desvalorização do real está associada a maior produção nos setores exportadores e de substituição de importações, depois de controlado o efeito dos juros.</w:t>
      </w:r>
    </w:p>
    <w:p>
      <w:pPr>
        <w:pStyle w:val="ListBullet"/>
      </w:pPr>
      <w:r>
        <w:t>H3 — Heterogeneidade. A recuperação pós-pandemia foi desigual: o agregado voltou ao nível de 2019, mas há divisões industriais que ainda estão abaixo dele.</w:t>
      </w:r>
    </w:p>
    <w:p>
      <w:pPr>
        <w:pStyle w:val="Heading2"/>
      </w:pPr>
      <w:r>
        <w:t>1.3 Perguntas de negócio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5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1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41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Decisão a que se liga</w:t>
            </w:r>
          </w:p>
        </w:tc>
      </w:tr>
      <w:tr>
        <w:tc>
          <w:tcPr>
            <w:tcW w:type="dxa" w:w="1156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4128"/>
          </w:tcPr>
          <w:p>
            <w:r/>
            <w:r>
              <w:rPr>
                <w:sz w:val="17"/>
              </w:rPr>
              <w:t>Quais atividades industriais ainda estão abaixo do nível de produção de 2019 e quais o superaram? Em quantos meses cada uma voltou ao patamar pré-pandemia?</w:t>
            </w:r>
          </w:p>
        </w:tc>
        <w:tc>
          <w:tcPr>
            <w:tcW w:type="dxa" w:w="4128"/>
          </w:tcPr>
          <w:p>
            <w:r/>
            <w:r>
              <w:rPr>
                <w:sz w:val="17"/>
              </w:rPr>
              <w:t>Onde há capacidade ociosa estrutural e onde há demanda aquecida.</w:t>
            </w:r>
          </w:p>
        </w:tc>
      </w:tr>
      <w:tr>
        <w:tc>
          <w:tcPr>
            <w:tcW w:type="dxa" w:w="1156"/>
          </w:tcPr>
          <w:p>
            <w:r/>
            <w:r>
              <w:rPr>
                <w:sz w:val="17"/>
              </w:rPr>
              <w:t>P2</w:t>
            </w:r>
          </w:p>
        </w:tc>
        <w:tc>
          <w:tcPr>
            <w:tcW w:type="dxa" w:w="4128"/>
          </w:tcPr>
          <w:p>
            <w:r/>
            <w:r>
              <w:rPr>
                <w:sz w:val="17"/>
              </w:rPr>
              <w:t>Quais atividades têm crescimento anual mais sensível ao juro real e com que defasagem (0 a 12 meses)? A relação é estatisticamente distinguível do acaso?</w:t>
            </w:r>
          </w:p>
        </w:tc>
        <w:tc>
          <w:tcPr>
            <w:tcW w:type="dxa" w:w="4128"/>
          </w:tcPr>
          <w:p>
            <w:r/>
            <w:r>
              <w:rPr>
                <w:sz w:val="17"/>
              </w:rPr>
              <w:t>Quando esperar o efeito de uma mudança da Selic e em que setores.</w:t>
            </w:r>
          </w:p>
        </w:tc>
      </w:tr>
      <w:tr>
        <w:tc>
          <w:tcPr>
            <w:tcW w:type="dxa" w:w="1156"/>
          </w:tcPr>
          <w:p>
            <w:r/>
            <w:r>
              <w:rPr>
                <w:sz w:val="17"/>
              </w:rPr>
              <w:t>P3</w:t>
            </w:r>
          </w:p>
        </w:tc>
        <w:tc>
          <w:tcPr>
            <w:tcW w:type="dxa" w:w="4128"/>
          </w:tcPr>
          <w:p>
            <w:r/>
            <w:r>
              <w:rPr>
                <w:sz w:val="17"/>
              </w:rPr>
              <w:t>Depois de controlar o juro real, a variação cambial de 12 meses está associada à produção de cada atividade? Em quais?</w:t>
            </w:r>
          </w:p>
        </w:tc>
        <w:tc>
          <w:tcPr>
            <w:tcW w:type="dxa" w:w="4128"/>
          </w:tcPr>
          <w:p>
            <w:r/>
            <w:r>
              <w:rPr>
                <w:sz w:val="17"/>
              </w:rPr>
              <w:t>Exposição cambial (insumos importados vs. competitividade).</w:t>
            </w:r>
          </w:p>
        </w:tc>
      </w:tr>
      <w:tr>
        <w:tc>
          <w:tcPr>
            <w:tcW w:type="dxa" w:w="1156"/>
          </w:tcPr>
          <w:p>
            <w:r/>
            <w:r>
              <w:rPr>
                <w:sz w:val="17"/>
              </w:rPr>
              <w:t>P4</w:t>
            </w:r>
          </w:p>
        </w:tc>
        <w:tc>
          <w:tcPr>
            <w:tcW w:type="dxa" w:w="4128"/>
          </w:tcPr>
          <w:p>
            <w:r/>
            <w:r>
              <w:rPr>
                <w:sz w:val="17"/>
              </w:rPr>
              <w:t>Quais atividades têm maior volatilidade do crescimento anual e quão maior é o risco relativo entre elas?</w:t>
            </w:r>
          </w:p>
        </w:tc>
        <w:tc>
          <w:tcPr>
            <w:tcW w:type="dxa" w:w="4128"/>
          </w:tcPr>
          <w:p>
            <w:r/>
            <w:r>
              <w:rPr>
                <w:sz w:val="17"/>
              </w:rPr>
              <w:t>Provisão de risco e dimensionamento de capital de giro.</w:t>
            </w:r>
          </w:p>
        </w:tc>
      </w:tr>
      <w:tr>
        <w:tc>
          <w:tcPr>
            <w:tcW w:type="dxa" w:w="1156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4128"/>
          </w:tcPr>
          <w:p>
            <w:r/>
            <w:r>
              <w:rPr>
                <w:sz w:val="17"/>
              </w:rPr>
              <w:t>Se o juro real caísse 3 p.p. (da faixa atual de 9,3% a.a. para perto da média histórica de 5,5%), qual variação de crescimento anual o modelo projeta para a indústria e para cada divisão, e com que incerteza?</w:t>
            </w:r>
          </w:p>
        </w:tc>
        <w:tc>
          <w:tcPr>
            <w:tcW w:type="dxa" w:w="4128"/>
          </w:tcPr>
          <w:p>
            <w:r/>
            <w:r>
              <w:rPr>
                <w:sz w:val="17"/>
              </w:rPr>
              <w:t>Priorização de setores em um cenário de flexibilização monetária.</w:t>
            </w:r>
          </w:p>
        </w:tc>
      </w:tr>
    </w:tbl>
    <w:p/>
    <w:p>
      <w:r>
        <w:rPr>
          <w:b w:val="0"/>
        </w:rPr>
        <w:t>Nenhuma pergunta foi removida ao final: as que não puderam ser respondidas de forma conclusiva estão discutidas na Seção 5.6 e na Autoavaliação.</w:t>
      </w:r>
    </w:p>
    <w:p>
      <w:pPr>
        <w:pStyle w:val="Heading1"/>
      </w:pPr>
      <w:r>
        <w:t>2. Coleta</w:t>
      </w:r>
    </w:p>
    <w:p>
      <w:pPr>
        <w:pStyle w:val="Heading2"/>
      </w:pPr>
      <w:r>
        <w:t>2.1 Fontes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5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Arquivo bruto</w:t>
            </w:r>
          </w:p>
        </w:tc>
        <w:tc>
          <w:tcPr>
            <w:tcW w:type="dxa" w:w="292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12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Registros</w:t>
            </w:r>
          </w:p>
        </w:tc>
        <w:tc>
          <w:tcPr>
            <w:tcW w:type="dxa" w:w="116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Tamanho</w:t>
            </w:r>
          </w:p>
        </w:tc>
        <w:tc>
          <w:tcPr>
            <w:tcW w:type="dxa" w:w="163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Formato original</w:t>
            </w:r>
          </w:p>
        </w:tc>
      </w:tr>
      <w:tr>
        <w:tc>
          <w:tcPr>
            <w:tcW w:type="dxa" w:w="2455"/>
          </w:tcPr>
          <w:p>
            <w:r/>
            <w:r>
              <w:rPr>
                <w:sz w:val="17"/>
              </w:rPr>
              <w:t>pimpf_8888.json</w:t>
            </w:r>
          </w:p>
        </w:tc>
        <w:tc>
          <w:tcPr>
            <w:tcW w:type="dxa" w:w="2923"/>
          </w:tcPr>
          <w:p>
            <w:r/>
            <w:r>
              <w:rPr>
                <w:sz w:val="17"/>
              </w:rPr>
              <w:t>apisidra.ibge.gov.br/values/t/8888/n1/all/v/12606/p/all/c544/all/f/n</w:t>
            </w:r>
          </w:p>
        </w:tc>
        <w:tc>
          <w:tcPr>
            <w:tcW w:type="dxa" w:w="1228"/>
          </w:tcPr>
          <w:p>
            <w:r/>
            <w:r>
              <w:rPr>
                <w:sz w:val="17"/>
              </w:rPr>
              <w:t>7.966</w:t>
            </w:r>
          </w:p>
        </w:tc>
        <w:tc>
          <w:tcPr>
            <w:tcW w:type="dxa" w:w="1169"/>
          </w:tcPr>
          <w:p>
            <w:r/>
            <w:r>
              <w:rPr>
                <w:sz w:val="17"/>
              </w:rPr>
              <w:t>1.612 KB</w:t>
            </w:r>
          </w:p>
        </w:tc>
        <w:tc>
          <w:tcPr>
            <w:tcW w:type="dxa" w:w="1637"/>
          </w:tcPr>
          <w:p>
            <w:r/>
            <w:r>
              <w:rPr>
                <w:sz w:val="17"/>
              </w:rPr>
              <w:t>JSON</w:t>
            </w:r>
          </w:p>
        </w:tc>
      </w:tr>
      <w:tr>
        <w:tc>
          <w:tcPr>
            <w:tcW w:type="dxa" w:w="2455"/>
          </w:tcPr>
          <w:p>
            <w:r/>
            <w:r>
              <w:rPr>
                <w:sz w:val="17"/>
              </w:rPr>
              <w:t>sgs_4189_selic_anualizada.json</w:t>
            </w:r>
          </w:p>
        </w:tc>
        <w:tc>
          <w:tcPr>
            <w:tcW w:type="dxa" w:w="2923"/>
          </w:tcPr>
          <w:p>
            <w:r/>
            <w:r>
              <w:rPr>
                <w:sz w:val="17"/>
              </w:rPr>
              <w:t>api.bcb.gov.br/dados/serie/bcdata.sgs.4189/dados?formato=json&amp;dataInic…</w:t>
            </w:r>
          </w:p>
        </w:tc>
        <w:tc>
          <w:tcPr>
            <w:tcW w:type="dxa" w:w="1228"/>
          </w:tcPr>
          <w:p>
            <w:r/>
            <w:r>
              <w:rPr>
                <w:sz w:val="17"/>
              </w:rPr>
              <w:t>297</w:t>
            </w:r>
          </w:p>
        </w:tc>
        <w:tc>
          <w:tcPr>
            <w:tcW w:type="dxa" w:w="1169"/>
          </w:tcPr>
          <w:p>
            <w:r/>
            <w:r>
              <w:rPr>
                <w:sz w:val="17"/>
              </w:rPr>
              <w:t>12 KB</w:t>
            </w:r>
          </w:p>
        </w:tc>
        <w:tc>
          <w:tcPr>
            <w:tcW w:type="dxa" w:w="1637"/>
          </w:tcPr>
          <w:p>
            <w:r/>
            <w:r>
              <w:rPr>
                <w:sz w:val="17"/>
              </w:rPr>
              <w:t>JSON</w:t>
            </w:r>
          </w:p>
        </w:tc>
      </w:tr>
      <w:tr>
        <w:tc>
          <w:tcPr>
            <w:tcW w:type="dxa" w:w="2455"/>
          </w:tcPr>
          <w:p>
            <w:r/>
            <w:r>
              <w:rPr>
                <w:sz w:val="17"/>
              </w:rPr>
              <w:t>sgs_433_ipca_mensal.json</w:t>
            </w:r>
          </w:p>
        </w:tc>
        <w:tc>
          <w:tcPr>
            <w:tcW w:type="dxa" w:w="2923"/>
          </w:tcPr>
          <w:p>
            <w:r/>
            <w:r>
              <w:rPr>
                <w:sz w:val="17"/>
              </w:rPr>
              <w:t>api.bcb.gov.br/dados/serie/bcdata.sgs.433/dados?formato=json&amp;dataInici…</w:t>
            </w:r>
          </w:p>
        </w:tc>
        <w:tc>
          <w:tcPr>
            <w:tcW w:type="dxa" w:w="1228"/>
          </w:tcPr>
          <w:p>
            <w:r/>
            <w:r>
              <w:rPr>
                <w:sz w:val="17"/>
              </w:rPr>
              <w:t>296</w:t>
            </w:r>
          </w:p>
        </w:tc>
        <w:tc>
          <w:tcPr>
            <w:tcW w:type="dxa" w:w="1169"/>
          </w:tcPr>
          <w:p>
            <w:r/>
            <w:r>
              <w:rPr>
                <w:sz w:val="17"/>
              </w:rPr>
              <w:t>12 KB</w:t>
            </w:r>
          </w:p>
        </w:tc>
        <w:tc>
          <w:tcPr>
            <w:tcW w:type="dxa" w:w="1637"/>
          </w:tcPr>
          <w:p>
            <w:r/>
            <w:r>
              <w:rPr>
                <w:sz w:val="17"/>
              </w:rPr>
              <w:t>JSON</w:t>
            </w:r>
          </w:p>
        </w:tc>
      </w:tr>
      <w:tr>
        <w:tc>
          <w:tcPr>
            <w:tcW w:type="dxa" w:w="2455"/>
          </w:tcPr>
          <w:p>
            <w:r/>
            <w:r>
              <w:rPr>
                <w:sz w:val="17"/>
              </w:rPr>
              <w:t>sgs_13522_ipca_12m.json</w:t>
            </w:r>
          </w:p>
        </w:tc>
        <w:tc>
          <w:tcPr>
            <w:tcW w:type="dxa" w:w="2923"/>
          </w:tcPr>
          <w:p>
            <w:r/>
            <w:r>
              <w:rPr>
                <w:sz w:val="17"/>
              </w:rPr>
              <w:t>api.bcb.gov.br/dados/serie/bcdata.sgs.13522/dados?formato=json&amp;dataIni…</w:t>
            </w:r>
          </w:p>
        </w:tc>
        <w:tc>
          <w:tcPr>
            <w:tcW w:type="dxa" w:w="1228"/>
          </w:tcPr>
          <w:p>
            <w:r/>
            <w:r>
              <w:rPr>
                <w:sz w:val="17"/>
              </w:rPr>
              <w:t>296</w:t>
            </w:r>
          </w:p>
        </w:tc>
        <w:tc>
          <w:tcPr>
            <w:tcW w:type="dxa" w:w="1169"/>
          </w:tcPr>
          <w:p>
            <w:r/>
            <w:r>
              <w:rPr>
                <w:sz w:val="17"/>
              </w:rPr>
              <w:t>12 KB</w:t>
            </w:r>
          </w:p>
        </w:tc>
        <w:tc>
          <w:tcPr>
            <w:tcW w:type="dxa" w:w="1637"/>
          </w:tcPr>
          <w:p>
            <w:r/>
            <w:r>
              <w:rPr>
                <w:sz w:val="17"/>
              </w:rPr>
              <w:t>JSON</w:t>
            </w:r>
          </w:p>
        </w:tc>
      </w:tr>
      <w:tr>
        <w:tc>
          <w:tcPr>
            <w:tcW w:type="dxa" w:w="2455"/>
          </w:tcPr>
          <w:p>
            <w:r/>
            <w:r>
              <w:rPr>
                <w:sz w:val="17"/>
              </w:rPr>
              <w:t>sgs_3698_dolar_medio.json</w:t>
            </w:r>
          </w:p>
        </w:tc>
        <w:tc>
          <w:tcPr>
            <w:tcW w:type="dxa" w:w="2923"/>
          </w:tcPr>
          <w:p>
            <w:r/>
            <w:r>
              <w:rPr>
                <w:sz w:val="17"/>
              </w:rPr>
              <w:t>api.bcb.gov.br/dados/serie/bcdata.sgs.3698/dados?formato=json&amp;dataInic…</w:t>
            </w:r>
          </w:p>
        </w:tc>
        <w:tc>
          <w:tcPr>
            <w:tcW w:type="dxa" w:w="1228"/>
          </w:tcPr>
          <w:p>
            <w:r/>
            <w:r>
              <w:rPr>
                <w:sz w:val="17"/>
              </w:rPr>
              <w:t>296</w:t>
            </w:r>
          </w:p>
        </w:tc>
        <w:tc>
          <w:tcPr>
            <w:tcW w:type="dxa" w:w="1169"/>
          </w:tcPr>
          <w:p>
            <w:r/>
            <w:r>
              <w:rPr>
                <w:sz w:val="17"/>
              </w:rPr>
              <w:t>12 KB</w:t>
            </w:r>
          </w:p>
        </w:tc>
        <w:tc>
          <w:tcPr>
            <w:tcW w:type="dxa" w:w="1637"/>
          </w:tcPr>
          <w:p>
            <w:r/>
            <w:r>
              <w:rPr>
                <w:sz w:val="17"/>
              </w:rPr>
              <w:t>JSON</w:t>
            </w:r>
          </w:p>
        </w:tc>
      </w:tr>
    </w:tbl>
    <w:p/>
    <w:p>
      <w:r>
        <w:rPr>
          <w:b w:val="0"/>
        </w:rPr>
        <w:t>Coleta realizada em 28/09/2026 (UTC) pelo script scripts/coleta.py, que grava também data/raw/_manifesto_coleta.json com URL, data, volume, formato e hash SHA-256 de cada arquivo. As APIs são públicas e não exigem chave. O script repete a requisição até 5 vezes, porque a API do BCB devolveu corpo vazio de forma intermitente durante o desenvolvimento.</w:t>
      </w:r>
    </w:p>
    <w:p>
      <w:r>
        <w:rPr>
          <w:b w:val="0"/>
        </w:rPr>
        <w:t>Não houve web scraping: as duas fontes oferecem API oficial. A tabela 8888 da SIDRA traz o número-índice de produção física com base 2022 = 100, sem ajuste sazonal, para o Brasil, de janeiro/2002 a julho/2026 (295 meses × 27 atividades). As quatro séries do SGS são mensais: Selic acumulada no mês anualizada (4189), IPCA mensal (433), IPCA acumulado em 12 meses (13522) e dólar médio de venda (3698).</w:t>
      </w:r>
    </w:p>
    <w:p>
      <w:pPr>
        <w:pStyle w:val="Heading2"/>
      </w:pPr>
      <w:r>
        <w:t>2.2 Persistência na nuvem</w:t>
      </w:r>
    </w:p>
    <w:p>
      <w:r>
        <w:rPr>
          <w:b w:val="0"/>
        </w:rPr>
        <w:t>Os arquivos brutos ficam versionados no repositório (data/raw). A persistência na plataforma de nuvem (Databricks, Volume do Unity Catalog e tabelas Delta) é feita pelos notebooks 01 e 02, e o status da execução consta na Seção 4.3.</w:t>
      </w:r>
    </w:p>
    <w:p>
      <w:pPr>
        <w:pStyle w:val="Heading1"/>
      </w:pPr>
      <w:r>
        <w:t>3. Modelagem</w:t>
      </w:r>
    </w:p>
    <w:p>
      <w:pPr>
        <w:pStyle w:val="Heading2"/>
      </w:pPr>
      <w:r>
        <w:t>3.1 Modelo de dados</w:t>
      </w:r>
    </w:p>
    <w:p>
      <w:r>
        <w:rPr>
          <w:b w:val="0"/>
        </w:rPr>
        <w:t>Adotou-se um esquema dimensional do tipo constelação de fatos, com duas tabelas fato que compartilham a dimensão tempo:</w:t>
      </w:r>
    </w:p>
    <w:p>
      <w:pPr>
        <w:pStyle w:val="ListBullet"/>
      </w:pPr>
      <w:r>
        <w:t>fato_producao: uma linha por mês e atividade (7.965 linhas): índice de produção, variação anual e indicador de ausência.</w:t>
      </w:r>
    </w:p>
    <w:p>
      <w:pPr>
        <w:pStyle w:val="ListBullet"/>
      </w:pPr>
      <w:r>
        <w:t>fato_macro: uma linha por mês (297 linhas): Selic, IPCA, dólar e as métricas derivadas (juro real e variação cambial de 12 meses).</w:t>
      </w:r>
    </w:p>
    <w:p>
      <w:pPr>
        <w:pStyle w:val="ListBullet"/>
      </w:pPr>
      <w:r>
        <w:t>dim_tempo: 297 meses, de janeiro/2002 a setembro/2026, com ano, trimestre e marcador de pandemia.</w:t>
      </w:r>
    </w:p>
    <w:p>
      <w:pPr>
        <w:pStyle w:val="ListBullet"/>
      </w:pPr>
      <w:r>
        <w:t>dim_atividade: 27 atividades com código CNAE, nível hierárquico (geral, seção, divisão) e nome abreviado.</w:t>
      </w:r>
    </w:p>
    <w:p>
      <w:r>
        <w:rPr>
          <w:b w:val="0"/>
        </w:rPr>
        <w:t>A escolha se justifica por três razões. As duas fontes têm o mesmo grão temporal (mês), o que torna o tempo a dimensão natural de integração. As métricas macro pertencem ao mês, não à atividade, e repeti-las em cada linha de produção multiplicaria por 27 o volume e o risco de inconsistência. Por fim, o esquema permite responder às perguntas com joins simples de 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14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str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4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Modelo dimensional do MVP (catalogo/diagrama_estrela.png).</w:t>
      </w:r>
    </w:p>
    <w:p>
      <w:pPr>
        <w:pStyle w:val="Heading2"/>
      </w:pPr>
      <w:r>
        <w:t>3.2 Catálogo de dados</w:t>
      </w:r>
    </w:p>
    <w:p>
      <w:r>
        <w:rPr>
          <w:b w:val="0"/>
        </w:rPr>
        <w:t>Os domínios abaixo foram lidos da própria base carregada, não declarados de memória. O catálogo completo, com descrição e linhagem de cada atributo, está em catalogo/catalogo_dados.md e .csv.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15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143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39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1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Domínio observado</w:t>
            </w:r>
          </w:p>
        </w:tc>
        <w:tc>
          <w:tcPr>
            <w:tcW w:type="dxa" w:w="78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Nulos</w:t>
            </w:r>
          </w:p>
        </w:tc>
        <w:tc>
          <w:tcPr>
            <w:tcW w:type="dxa" w:w="231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Linhagem (resumo)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dim_tempo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sk_tempo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inteiro (chave)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200201 a 202609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Gerada no ETL a partir do mês da fonte (R1).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dim_tempo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2002-01-01 a 2026-09-01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Mês em português da SIDRA / data dd/mm/aaaa do SGS -&gt; 1º dia do mês (R1, R4).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dim_tempo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ano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inteiro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2002 a 2026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Derivado de data.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dim_tempo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mes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inteiro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1 a 12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Derivado de data.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dim_tempo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trimestre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inteiro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1 a 4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Derivado de data.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dim_tempo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nome_mes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categórico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12 categorias (ex.: Apr, Aug, Dec, Feb, …)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Derivado de data.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dim_tempo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periodo_covid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booleano (0/1)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0 a 1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Regra fixa do ETL.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dim_atividade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sk_atividade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inteiro (chave)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1 a 27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Sequência gerada no ETL.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dim_atividade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codigo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categórico (texto)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27 categorias (ex.: 1, 2, 3, 3.10, …)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Extraído do rótulo da atividade (R2). IBGE/SIDRA tabela 8888 (PIM-PF), variável 12606, coletada em 28/09/2026.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dim_atividade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atividade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texto livre (27 valores distintos)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Extraído do rótulo (R2). IBGE/SIDRA tabela 8888 (PIM-PF), variável 12606, coletada em 28/09/2026.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dim_atividade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atividade_curta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texto livre (27 valores distintos)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Derivado de atividade.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dim_atividade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nivel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categórico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divisao, geral, secao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Derivado do código.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dim_atividade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secao_pai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categórico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Derivado do código.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fato_producao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sk_tempo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inteiro (FK)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200201 a 202607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FK para dim_tempo.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fato_producao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sk_atividade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inteiro (FK)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1 a 27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FK para dim_atividade.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fato_producao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indice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numérico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9.39 a 316.93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240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IBGE/SIDRA tabela 8888 (PIM-PF), variável 12606, coletada em 28/09/2026. '-' convertido em NULL (R3).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fato_producao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var_yoy_pct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numérico (%)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-92.11 a 938.77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564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Calculada no ETL (R6).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fato_producao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flag_indice_ausente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booleano (0/1)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0 a 1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Derivado de indice.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fato_macro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sk_tempo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inteiro (FK)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200201 a 202609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FK para dim_tempo.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fato_macro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selic_aa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numérico (% a.a.)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1.90 a 26.32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BCB/SGS série 4189, coletada em 28/09/2026.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fato_macro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ipca_mensal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numérico (% a.m.)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-0.68 a 3.02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BCB/SGS série 433, coletada em 28/09/2026.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fato_macro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ipca_12m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numérico (%)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1.88 a 17.24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BCB/SGS série 13522, coletada em 28/09/2026.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fato_macro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dolar_medio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numérico (R$/US$)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1.56 a 6.10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BCB/SGS série 3698, coletada em 28/09/2026.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fato_macro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selic_real_aa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numérico (% a.a.)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-4.44 a 12.95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Calculada no ETL (R7) a partir de selic_aa e ipca_12m.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fato_macro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var_cambial_12m_pct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numérico (%)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-26.90 a 67.45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Calculada no ETL (R8).</w:t>
            </w:r>
          </w:p>
        </w:tc>
      </w:tr>
      <w:tr>
        <w:tc>
          <w:tcPr>
            <w:tcW w:type="dxa" w:w="1159"/>
          </w:tcPr>
          <w:p>
            <w:r/>
            <w:r>
              <w:rPr>
                <w:sz w:val="17"/>
              </w:rPr>
              <w:t>fato_macro</w:t>
            </w:r>
          </w:p>
        </w:tc>
        <w:tc>
          <w:tcPr>
            <w:tcW w:type="dxa" w:w="1437"/>
          </w:tcPr>
          <w:p>
            <w:r/>
            <w:r>
              <w:rPr>
                <w:sz w:val="17"/>
              </w:rPr>
              <w:t>flag_tem_producao</w:t>
            </w:r>
          </w:p>
        </w:tc>
        <w:tc>
          <w:tcPr>
            <w:tcW w:type="dxa" w:w="1391"/>
          </w:tcPr>
          <w:p>
            <w:r/>
            <w:r>
              <w:rPr>
                <w:sz w:val="17"/>
              </w:rPr>
              <w:t>booleano (0/1)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0 a 1</w:t>
            </w:r>
          </w:p>
        </w:tc>
        <w:tc>
          <w:tcPr>
            <w:tcW w:type="dxa" w:w="78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318"/>
          </w:tcPr>
          <w:p>
            <w:r/>
            <w:r>
              <w:rPr>
                <w:sz w:val="17"/>
              </w:rPr>
              <w:t>Derivado no ETL.</w:t>
            </w:r>
          </w:p>
        </w:tc>
      </w:tr>
    </w:tbl>
    <w:p/>
    <w:p>
      <w:r>
        <w:rPr>
          <w:b w:val="0"/>
        </w:rPr>
        <w:t>Sobre a obrigatoriedade: os únicos nulos com significado próprio são (a) o índice das divisões 3.18 (Impressão) e 3.33 (Manutenção), que o IBGE só publica a partir de 2012, (b) os 12 primeiros meses de variação anual e cambial, que dependem de um ano de histórico, e (c) os campos do mês corrente do BCB (setembro/2026), ainda sem divulgação completa. Nenhum nulo foi imputado.</w:t>
      </w:r>
    </w:p>
    <w:p>
      <w:pPr>
        <w:pStyle w:val="Heading1"/>
      </w:pPr>
      <w:r>
        <w:t>4. Carga (ETL)</w:t>
      </w:r>
    </w:p>
    <w:p>
      <w:pPr>
        <w:pStyle w:val="Heading2"/>
      </w:pPr>
      <w:r>
        <w:t>4.1 Arquitetura do pipeline</w:t>
      </w:r>
    </w:p>
    <w:p>
      <w:r>
        <w:rPr>
          <w:b w:val="0"/>
        </w:rPr>
        <w:t>O pipeline segue a arquitetura em camadas (medallion) e é executado por três notebooks Databricks, cada um um invólucro fino sobre um script Python versionado. O mesmo código roda localmente (SQLite) e na nuvem (tabelas Delta), o que permitiu validar a lógica antes de subir à plataforma.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6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8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74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Onde</w:t>
            </w:r>
          </w:p>
        </w:tc>
        <w:tc>
          <w:tcPr>
            <w:tcW w:type="dxa" w:w="28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</w:tr>
      <w:tr>
        <w:tc>
          <w:tcPr>
            <w:tcW w:type="dxa" w:w="1064"/>
          </w:tcPr>
          <w:p>
            <w:r/>
            <w:r>
              <w:rPr>
                <w:sz w:val="17"/>
              </w:rPr>
              <w:t>Bronze</w:t>
            </w:r>
          </w:p>
        </w:tc>
        <w:tc>
          <w:tcPr>
            <w:tcW w:type="dxa" w:w="2801"/>
          </w:tcPr>
          <w:p>
            <w:r/>
            <w:r>
              <w:rPr>
                <w:sz w:val="17"/>
              </w:rPr>
              <w:t>JSON bruto das APIs, sem alteração</w:t>
            </w:r>
          </w:p>
        </w:tc>
        <w:tc>
          <w:tcPr>
            <w:tcW w:type="dxa" w:w="2745"/>
          </w:tcPr>
          <w:p>
            <w:r/>
            <w:r>
              <w:rPr>
                <w:sz w:val="17"/>
              </w:rPr>
              <w:t>Volume raw (Unity Catalog) / data/raw</w:t>
            </w:r>
          </w:p>
        </w:tc>
        <w:tc>
          <w:tcPr>
            <w:tcW w:type="dxa" w:w="2801"/>
          </w:tcPr>
          <w:p>
            <w:r/>
            <w:r>
              <w:rPr>
                <w:sz w:val="17"/>
              </w:rPr>
              <w:t>notebooks/01_coleta_bronze.py → scripts/coleta.py</w:t>
            </w:r>
          </w:p>
        </w:tc>
      </w:tr>
      <w:tr>
        <w:tc>
          <w:tcPr>
            <w:tcW w:type="dxa" w:w="1064"/>
          </w:tcPr>
          <w:p>
            <w:r/>
            <w:r>
              <w:rPr>
                <w:sz w:val="17"/>
              </w:rPr>
              <w:t>Silver</w:t>
            </w:r>
          </w:p>
        </w:tc>
        <w:tc>
          <w:tcPr>
            <w:tcW w:type="dxa" w:w="2801"/>
          </w:tcPr>
          <w:p>
            <w:r/>
            <w:r>
              <w:rPr>
                <w:sz w:val="17"/>
              </w:rPr>
              <w:t>Tabelas limpas e tipadas (datas, códigos, nulos)</w:t>
            </w:r>
          </w:p>
        </w:tc>
        <w:tc>
          <w:tcPr>
            <w:tcW w:type="dxa" w:w="2745"/>
          </w:tcPr>
          <w:p>
            <w:r/>
            <w:r>
              <w:rPr>
                <w:sz w:val="17"/>
              </w:rPr>
              <w:t>Memória do ETL</w:t>
            </w:r>
          </w:p>
        </w:tc>
        <w:tc>
          <w:tcPr>
            <w:tcW w:type="dxa" w:w="2801"/>
          </w:tcPr>
          <w:p>
            <w:r/>
            <w:r>
              <w:rPr>
                <w:sz w:val="17"/>
              </w:rPr>
              <w:t>scripts/etl.py (R1 a R6)</w:t>
            </w:r>
          </w:p>
        </w:tc>
      </w:tr>
      <w:tr>
        <w:tc>
          <w:tcPr>
            <w:tcW w:type="dxa" w:w="1064"/>
          </w:tcPr>
          <w:p>
            <w:r/>
            <w:r>
              <w:rPr>
                <w:sz w:val="17"/>
              </w:rPr>
              <w:t>Gold</w:t>
            </w:r>
          </w:p>
        </w:tc>
        <w:tc>
          <w:tcPr>
            <w:tcW w:type="dxa" w:w="2801"/>
          </w:tcPr>
          <w:p>
            <w:r/>
            <w:r>
              <w:rPr>
                <w:sz w:val="17"/>
              </w:rPr>
              <w:t>Esquema estrela em Delta</w:t>
            </w:r>
          </w:p>
        </w:tc>
        <w:tc>
          <w:tcPr>
            <w:tcW w:type="dxa" w:w="2745"/>
          </w:tcPr>
          <w:p>
            <w:r/>
            <w:r>
              <w:rPr>
                <w:sz w:val="17"/>
              </w:rPr>
              <w:t>workspace.industria_juros.*</w:t>
            </w:r>
          </w:p>
        </w:tc>
        <w:tc>
          <w:tcPr>
            <w:tcW w:type="dxa" w:w="2801"/>
          </w:tcPr>
          <w:p>
            <w:r/>
            <w:r>
              <w:rPr>
                <w:sz w:val="17"/>
              </w:rPr>
              <w:t>notebooks/02_etl_silver_gold.py → scripts/etl.py (R7 a R9)</w:t>
            </w:r>
          </w:p>
        </w:tc>
      </w:tr>
      <w:tr>
        <w:tc>
          <w:tcPr>
            <w:tcW w:type="dxa" w:w="1064"/>
          </w:tcPr>
          <w:p>
            <w:r/>
            <w:r>
              <w:rPr>
                <w:sz w:val="17"/>
              </w:rPr>
              <w:t>Consumo</w:t>
            </w:r>
          </w:p>
        </w:tc>
        <w:tc>
          <w:tcPr>
            <w:tcW w:type="dxa" w:w="2801"/>
          </w:tcPr>
          <w:p>
            <w:r/>
            <w:r>
              <w:rPr>
                <w:sz w:val="17"/>
              </w:rPr>
              <w:t>Consultas SQL, testes e gráficos</w:t>
            </w:r>
          </w:p>
        </w:tc>
        <w:tc>
          <w:tcPr>
            <w:tcW w:type="dxa" w:w="2745"/>
          </w:tcPr>
          <w:p>
            <w:r/>
            <w:r>
              <w:rPr>
                <w:sz w:val="17"/>
              </w:rPr>
              <w:t>Notebook 03</w:t>
            </w:r>
          </w:p>
        </w:tc>
        <w:tc>
          <w:tcPr>
            <w:tcW w:type="dxa" w:w="2801"/>
          </w:tcPr>
          <w:p>
            <w:r/>
            <w:r>
              <w:rPr>
                <w:sz w:val="17"/>
              </w:rPr>
              <w:t>notebooks/03_analise.py → scripts/analise.py</w:t>
            </w:r>
          </w:p>
        </w:tc>
      </w:tr>
    </w:tbl>
    <w:p/>
    <w:p>
      <w:pPr>
        <w:pStyle w:val="Heading2"/>
      </w:pPr>
      <w:r>
        <w:t>4.2 Regras de negócio da transformação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402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402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Efeito medido</w:t>
            </w:r>
          </w:p>
        </w:tc>
      </w:tr>
      <w:tr>
        <w:tc>
          <w:tcPr>
            <w:tcW w:type="dxa" w:w="1367"/>
          </w:tcPr>
          <w:p>
            <w:r/>
            <w:r>
              <w:rPr>
                <w:sz w:val="17"/>
              </w:rPr>
              <w:t>R1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Mês em português ("janeiro 2002") convertido em data (1º dia do mês) e chave AAAAMM.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295 meses PIM-PF e 297 meses BCB alinhados.</w:t>
            </w:r>
          </w:p>
        </w:tc>
      </w:tr>
      <w:tr>
        <w:tc>
          <w:tcPr>
            <w:tcW w:type="dxa" w:w="1367"/>
          </w:tcPr>
          <w:p>
            <w:r/>
            <w:r>
              <w:rPr>
                <w:sz w:val="17"/>
              </w:rPr>
              <w:t>R2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Código CNAE separado do nome da atividade.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27 atividades: 1 geral, 2 seções e 24 divisões.</w:t>
            </w:r>
          </w:p>
        </w:tc>
      </w:tr>
      <w:tr>
        <w:tc>
          <w:tcPr>
            <w:tcW w:type="dxa" w:w="1367"/>
          </w:tcPr>
          <w:p>
            <w:r/>
            <w:r>
              <w:rPr>
                <w:sz w:val="17"/>
              </w:rPr>
              <w:t>R3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"-" (sem informação) vira NULL; nunca imputado.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240 valores nulos (2 divisões × 120 meses).</w:t>
            </w:r>
          </w:p>
        </w:tc>
      </w:tr>
      <w:tr>
        <w:tc>
          <w:tcPr>
            <w:tcW w:type="dxa" w:w="1367"/>
          </w:tcPr>
          <w:p>
            <w:r/>
            <w:r>
              <w:rPr>
                <w:sz w:val="17"/>
              </w:rPr>
              <w:t>R4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Datas do BCB (dd/mm/aaaa) normalizadas para o 1º dia do mês; valores em ponto flutuante.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Junção exata por mês.</w:t>
            </w:r>
          </w:p>
        </w:tc>
      </w:tr>
      <w:tr>
        <w:tc>
          <w:tcPr>
            <w:tcW w:type="dxa" w:w="1367"/>
          </w:tcPr>
          <w:p>
            <w:r/>
            <w:r>
              <w:rPr>
                <w:sz w:val="17"/>
              </w:rPr>
              <w:t>R5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Duplicatas pela chave natural (mês, atividade) removidas, mantendo a primeira.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0 duplicatas.</w:t>
            </w:r>
          </w:p>
        </w:tc>
      </w:tr>
      <w:tr>
        <w:tc>
          <w:tcPr>
            <w:tcW w:type="dxa" w:w="1367"/>
          </w:tcPr>
          <w:p>
            <w:r/>
            <w:r>
              <w:rPr>
                <w:sz w:val="17"/>
              </w:rPr>
              <w:t>R6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Variação anual = índice ÷ índice de 12 meses antes − 1, por atividade.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564 nulos estruturais (12 meses iniciais e ausências).</w:t>
            </w:r>
          </w:p>
        </w:tc>
      </w:tr>
      <w:tr>
        <w:tc>
          <w:tcPr>
            <w:tcW w:type="dxa" w:w="1367"/>
          </w:tcPr>
          <w:p>
            <w:r/>
            <w:r>
              <w:rPr>
                <w:sz w:val="17"/>
              </w:rPr>
              <w:t>R7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Juro real ex-post = (1 + Selic a.a.) ÷ (1 + IPCA 12m) − 1.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Faixa observada de −4,4% a 13,0% a.a.</w:t>
            </w:r>
          </w:p>
        </w:tc>
      </w:tr>
      <w:tr>
        <w:tc>
          <w:tcPr>
            <w:tcW w:type="dxa" w:w="1367"/>
          </w:tcPr>
          <w:p>
            <w:r/>
            <w:r>
              <w:rPr>
                <w:sz w:val="17"/>
              </w:rPr>
              <w:t>R8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Variação cambial 12m = dólar médio ÷ dólar médio de 12 meses antes − 1.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Positivo = real desvalorizado.</w:t>
            </w:r>
          </w:p>
        </w:tc>
      </w:tr>
      <w:tr>
        <w:tc>
          <w:tcPr>
            <w:tcW w:type="dxa" w:w="1367"/>
          </w:tcPr>
          <w:p>
            <w:r/>
            <w:r>
              <w:rPr>
                <w:sz w:val="17"/>
              </w:rPr>
              <w:t>R9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Meses só do BCB (sem PIM-PF) permanecem na fato_macro com flag_tem_producao = 0.</w:t>
            </w:r>
          </w:p>
        </w:tc>
        <w:tc>
          <w:tcPr>
            <w:tcW w:type="dxa" w:w="4022"/>
          </w:tcPr>
          <w:p>
            <w:r/>
            <w:r>
              <w:rPr>
                <w:sz w:val="17"/>
              </w:rPr>
              <w:t>2 meses (ago. e set./2026).</w:t>
            </w:r>
          </w:p>
        </w:tc>
      </w:tr>
    </w:tbl>
    <w:p/>
    <w:p>
      <w:r>
        <w:rPr>
          <w:b w:val="0"/>
        </w:rPr>
        <w:t>Foram verificadas as integridades referencial (toda chave das fatos existe nas dimensões) e de unicidade (nenhuma duplicata na chave composta), com asserções no ETL: o script falha se alguma delas for violada.</w:t>
      </w:r>
    </w:p>
    <w:p>
      <w:pPr>
        <w:pStyle w:val="Heading2"/>
      </w:pPr>
      <w:r>
        <w:t>4.3 Execução na nuvem e persistência</w:t>
      </w:r>
    </w:p>
    <w:p>
      <w:r>
        <w:rPr>
          <w:b w:val="0"/>
        </w:rPr>
        <w:t xml:space="preserve">Status: os notebooks Databricks (notebooks/01, 02 e 03) foram escritos e a lógica que eles executam foi validada localmente, com o mesmo código e as mesmas consultas SQL (o resultado da consulta P1 em SQL bate com o do pandas, diferença 0,0). </w:t>
      </w:r>
      <w:r>
        <w:rPr>
          <w:b/>
        </w:rPr>
        <w:t>A execução dentro do Databricks ainda não foi realizada nesta versão</w:t>
      </w:r>
      <w:r>
        <w:rPr>
          <w:b w:val="0"/>
        </w:rPr>
        <w:t xml:space="preserve"> porque exige login da própria conta do aluno na plataforma, e não há evidência de nuvem (capturas de tela) neste relatório. Os passos para executar estão no README: criar a conta gratuita Databricks Free Edition, criar uma Git folder apontando para o repositório e executar os três notebooks em ordem. Ao final, o notebook 02 grava as quatro tabelas Delta e o comando DESCRIBE HISTORY comprova a persistência.</w:t>
      </w:r>
    </w:p>
    <w:p>
      <w:pPr>
        <w:pStyle w:val="Heading1"/>
      </w:pPr>
      <w:r>
        <w:t>5. Análise</w:t>
      </w:r>
    </w:p>
    <w:p>
      <w:pPr>
        <w:pStyle w:val="Heading2"/>
      </w:pPr>
      <w:r>
        <w:t>5.1 Qualidade dos dados</w:t>
      </w:r>
    </w:p>
    <w:p>
      <w:r>
        <w:rPr>
          <w:b w:val="0"/>
        </w:rPr>
        <w:t>Todos os atributos foram verificados nas seis dimensões usuais. Os números abaixo são gerados pelo script de análise (data/processed/resultados.json).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9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270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270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270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Tratamento</w:t>
            </w:r>
          </w:p>
        </w:tc>
      </w:tr>
      <w:tr>
        <w:tc>
          <w:tcPr>
            <w:tcW w:type="dxa" w:w="1298"/>
          </w:tcPr>
          <w:p>
            <w:r/>
            <w:r>
              <w:rPr>
                <w:sz w:val="17"/>
              </w:rPr>
              <w:t>Completude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Nulos por atributo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Índice: 240 nulos, todos nas divisões 3.18 e 3.33 entre jan/2002 e dez/2011. IPCA e dólar: 1 nulo cada (set./2026).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Não imputados. As séries são usadas só a partir de 2013, período em que todas as 27 estão completas.</w:t>
            </w:r>
          </w:p>
        </w:tc>
      </w:tr>
      <w:tr>
        <w:tc>
          <w:tcPr>
            <w:tcW w:type="dxa" w:w="1298"/>
          </w:tcPr>
          <w:p>
            <w:r/>
            <w:r>
              <w:rPr>
                <w:sz w:val="17"/>
              </w:rPr>
              <w:t>Unicidade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Duplicatas em (mês, atividade)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0 duplicatas; 0 lacunas de mês em qualquer série.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Nenhum.</w:t>
            </w:r>
          </w:p>
        </w:tc>
      </w:tr>
      <w:tr>
        <w:tc>
          <w:tcPr>
            <w:tcW w:type="dxa" w:w="1298"/>
          </w:tcPr>
          <w:p>
            <w:r/>
            <w:r>
              <w:rPr>
                <w:sz w:val="17"/>
              </w:rPr>
              <w:t>Consistência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Variação anual recalculada; IPCA 12m oficial vs. composição do IPCA mensal; indústria geral vs. seções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Diferença máxima da variação anual: 1e-14 p.p.; IPCA 12m: diferença média de 0,0025 p.p. (máxima 0,009 p.p., arredondamento); a indústria geral fica entre as seções em 100% dos meses.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Nenhum. Fontes coerentes entre si.</w:t>
            </w:r>
          </w:p>
        </w:tc>
      </w:tr>
      <w:tr>
        <w:tc>
          <w:tcPr>
            <w:tcW w:type="dxa" w:w="1298"/>
          </w:tcPr>
          <w:p>
            <w:r/>
            <w:r>
              <w:rPr>
                <w:sz w:val="17"/>
              </w:rPr>
              <w:t>Conformidade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Aderência ao domínio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Índice &gt; 0 em 100% das linhas (mín. 9,4; máx. 316,9). Selic 1,9–26,3% a.a.; dólar R$ 1,56–6,10.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Nenhum. Todos plausíveis.</w:t>
            </w:r>
          </w:p>
        </w:tc>
      </w:tr>
      <w:tr>
        <w:tc>
          <w:tcPr>
            <w:tcW w:type="dxa" w:w="1298"/>
          </w:tcPr>
          <w:p>
            <w:r/>
            <w:r>
              <w:rPr>
                <w:sz w:val="17"/>
              </w:rPr>
              <w:t>Acurácia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Outliers da variação anual (|z robusto| &gt; 5)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58 pontos, dos quais 48 em mar/2020–jun/2021 (choque e rebote: maior valor, veículos em abr/2021, +939% sobre a base do lockdown) e 10 fora dele.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A janela de pandemia é excluída das estatísticas (P2 a P5); os 10 pontos restantes são mantidos (variações reais de setores voláteis).</w:t>
            </w:r>
          </w:p>
        </w:tc>
      </w:tr>
      <w:tr>
        <w:tc>
          <w:tcPr>
            <w:tcW w:type="dxa" w:w="1298"/>
          </w:tcPr>
          <w:p>
            <w:r/>
            <w:r>
              <w:rPr>
                <w:sz w:val="17"/>
              </w:rPr>
              <w:t>Atualidade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Defasagem entre fontes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PIM-PF vai até jul/2026; o BCB, até 2026/09 (defasagem de 2 meses). O último mês do BCB é parcial.</w:t>
            </w:r>
          </w:p>
        </w:tc>
        <w:tc>
          <w:tcPr>
            <w:tcW w:type="dxa" w:w="2704"/>
          </w:tcPr>
          <w:p>
            <w:r/>
            <w:r>
              <w:rPr>
                <w:sz w:val="17"/>
              </w:rPr>
              <w:t>Junção por interseção (R9); o cenário P5 usa o último juro real completo (ago./2026).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qualidade_ausenc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Meses sem informação no IBGE: apenas as divisões 3.18 e 3.33, antes de 2012.</w:t>
      </w:r>
    </w:p>
    <w:p>
      <w:r>
        <w:rPr>
          <w:b w:val="0"/>
        </w:rPr>
        <w:t>Ressalva importante: o índice não tem ajuste sazonal. A série industrial oscila fortemente entre meses por sazonalidade (Figura 2), o que torna inadequada a comparação mês a mês. Por isso toda a análise usa variação contra o mesmo mês do ano anterior, que elimina a sazonalidade, e médias de 12 meses.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industria_e_juro_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Produção industrial (índice sem ajuste sazonal) e juro real ex-post, 2002–2026.</w:t>
      </w:r>
    </w:p>
    <w:p>
      <w:r>
        <w:rPr>
          <w:b w:val="0"/>
        </w:rPr>
        <w:t>Amostra de análise. Para P2 a P5 usa-se janeiro/2013 a julho/2026, excluindo mar/2020–jun/2021: 147 meses, comum às 27 atividades. O corte em 2013 é o primeiro mês em que as duas divisões de série curta têm variação anual; a exclusão da pandemia evita que um único choque de +900% domine correlações e regressões.</w:t>
      </w:r>
    </w:p>
    <w:p>
      <w:pPr>
        <w:pStyle w:val="Heading2"/>
      </w:pPr>
      <w:r>
        <w:t>5.2 P1 — Recuperação em relação a 2019</w:t>
      </w:r>
    </w:p>
    <w:p>
      <w:r>
        <w:rPr>
          <w:b w:val="0"/>
        </w:rPr>
        <w:t>O agregado voltou: a indústria geral produz hoje (média dos últimos 12 meses) 3,0% acima da média de 2019, com queda máxima de 31% no fundo de 2020 e retorno sustentado ao patamar de 2019 em 4 meses. As extrativas estão 10,3% acima, e a indústria de transformação, 1,5% acima. A média, porém, esconde a divisão: das 24 divisões da transformação, 13 ainda estão abaixo de 2019 e 11 acima (Figura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1_recuperacao_pre_pandem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Produção atual vs. média de 2019 por divisão (P1).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1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Cód.</w:t>
            </w:r>
          </w:p>
        </w:tc>
        <w:tc>
          <w:tcPr>
            <w:tcW w:type="dxa" w:w="315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Divisão</w:t>
            </w:r>
          </w:p>
        </w:tc>
        <w:tc>
          <w:tcPr>
            <w:tcW w:type="dxa" w:w="164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Atual vs. 2019</w:t>
            </w:r>
          </w:p>
        </w:tc>
        <w:tc>
          <w:tcPr>
            <w:tcW w:type="dxa" w:w="170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Queda máx. 2020</w:t>
            </w:r>
          </w:p>
        </w:tc>
        <w:tc>
          <w:tcPr>
            <w:tcW w:type="dxa" w:w="189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Meses p/ recuperar</w:t>
            </w:r>
          </w:p>
        </w:tc>
      </w:tr>
      <w:tr>
        <w:tc>
          <w:tcPr>
            <w:tcW w:type="dxa" w:w="1011"/>
          </w:tcPr>
          <w:p>
            <w:r/>
            <w:r>
              <w:rPr>
                <w:sz w:val="17"/>
              </w:rPr>
              <w:t>3.18</w:t>
            </w:r>
          </w:p>
        </w:tc>
        <w:tc>
          <w:tcPr>
            <w:tcW w:type="dxa" w:w="3158"/>
          </w:tcPr>
          <w:p>
            <w:r/>
            <w:r>
              <w:rPr>
                <w:sz w:val="17"/>
              </w:rPr>
              <w:t>Impressão e reprodução de gravações</w:t>
            </w:r>
          </w:p>
        </w:tc>
        <w:tc>
          <w:tcPr>
            <w:tcW w:type="dxa" w:w="1642"/>
          </w:tcPr>
          <w:p>
            <w:r/>
            <w:r>
              <w:rPr>
                <w:sz w:val="17"/>
              </w:rPr>
              <w:t>-33,1%</w:t>
            </w:r>
          </w:p>
        </w:tc>
        <w:tc>
          <w:tcPr>
            <w:tcW w:type="dxa" w:w="1705"/>
          </w:tcPr>
          <w:p>
            <w:r/>
            <w:r>
              <w:rPr>
                <w:sz w:val="17"/>
              </w:rPr>
              <w:t>-66%</w:t>
            </w:r>
          </w:p>
        </w:tc>
        <w:tc>
          <w:tcPr>
            <w:tcW w:type="dxa" w:w="1895"/>
          </w:tcPr>
          <w:p>
            <w:r/>
            <w:r>
              <w:rPr>
                <w:sz w:val="17"/>
              </w:rPr>
              <w:t>não recuperou</w:t>
            </w:r>
          </w:p>
        </w:tc>
      </w:tr>
      <w:tr>
        <w:tc>
          <w:tcPr>
            <w:tcW w:type="dxa" w:w="1011"/>
          </w:tcPr>
          <w:p>
            <w:r/>
            <w:r>
              <w:rPr>
                <w:sz w:val="17"/>
              </w:rPr>
              <w:t>3.14</w:t>
            </w:r>
          </w:p>
        </w:tc>
        <w:tc>
          <w:tcPr>
            <w:tcW w:type="dxa" w:w="3158"/>
          </w:tcPr>
          <w:p>
            <w:r/>
            <w:r>
              <w:rPr>
                <w:sz w:val="17"/>
              </w:rPr>
              <w:t>Confecção de artigos do vestuário e acessó</w:t>
            </w:r>
          </w:p>
        </w:tc>
        <w:tc>
          <w:tcPr>
            <w:tcW w:type="dxa" w:w="1642"/>
          </w:tcPr>
          <w:p>
            <w:r/>
            <w:r>
              <w:rPr>
                <w:sz w:val="17"/>
              </w:rPr>
              <w:t>-27,0%</w:t>
            </w:r>
          </w:p>
        </w:tc>
        <w:tc>
          <w:tcPr>
            <w:tcW w:type="dxa" w:w="1705"/>
          </w:tcPr>
          <w:p>
            <w:r/>
            <w:r>
              <w:rPr>
                <w:sz w:val="17"/>
              </w:rPr>
              <w:t>-67%</w:t>
            </w:r>
          </w:p>
        </w:tc>
        <w:tc>
          <w:tcPr>
            <w:tcW w:type="dxa" w:w="1895"/>
          </w:tcPr>
          <w:p>
            <w:r/>
            <w:r>
              <w:rPr>
                <w:sz w:val="17"/>
              </w:rPr>
              <w:t>não recuperou</w:t>
            </w:r>
          </w:p>
        </w:tc>
      </w:tr>
      <w:tr>
        <w:tc>
          <w:tcPr>
            <w:tcW w:type="dxa" w:w="1011"/>
          </w:tcPr>
          <w:p>
            <w:r/>
            <w:r>
              <w:rPr>
                <w:sz w:val="17"/>
              </w:rPr>
              <w:t>3.31</w:t>
            </w:r>
          </w:p>
        </w:tc>
        <w:tc>
          <w:tcPr>
            <w:tcW w:type="dxa" w:w="3158"/>
          </w:tcPr>
          <w:p>
            <w:r/>
            <w:r>
              <w:rPr>
                <w:sz w:val="17"/>
              </w:rPr>
              <w:t>móveis</w:t>
            </w:r>
          </w:p>
        </w:tc>
        <w:tc>
          <w:tcPr>
            <w:tcW w:type="dxa" w:w="1642"/>
          </w:tcPr>
          <w:p>
            <w:r/>
            <w:r>
              <w:rPr>
                <w:sz w:val="17"/>
              </w:rPr>
              <w:t>-17,3%</w:t>
            </w:r>
          </w:p>
        </w:tc>
        <w:tc>
          <w:tcPr>
            <w:tcW w:type="dxa" w:w="1705"/>
          </w:tcPr>
          <w:p>
            <w:r/>
            <w:r>
              <w:rPr>
                <w:sz w:val="17"/>
              </w:rPr>
              <w:t>-61%</w:t>
            </w:r>
          </w:p>
        </w:tc>
        <w:tc>
          <w:tcPr>
            <w:tcW w:type="dxa" w:w="1895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1011"/>
          </w:tcPr>
          <w:p>
            <w:r/>
            <w:r>
              <w:rPr>
                <w:sz w:val="17"/>
              </w:rPr>
              <w:t>3.15</w:t>
            </w:r>
          </w:p>
        </w:tc>
        <w:tc>
          <w:tcPr>
            <w:tcW w:type="dxa" w:w="3158"/>
          </w:tcPr>
          <w:p>
            <w:r/>
            <w:r>
              <w:rPr>
                <w:sz w:val="17"/>
              </w:rPr>
              <w:t>couros e fabricação de artefatos de couro,</w:t>
            </w:r>
          </w:p>
        </w:tc>
        <w:tc>
          <w:tcPr>
            <w:tcW w:type="dxa" w:w="1642"/>
          </w:tcPr>
          <w:p>
            <w:r/>
            <w:r>
              <w:rPr>
                <w:sz w:val="17"/>
              </w:rPr>
              <w:t>-16,1%</w:t>
            </w:r>
          </w:p>
        </w:tc>
        <w:tc>
          <w:tcPr>
            <w:tcW w:type="dxa" w:w="1705"/>
          </w:tcPr>
          <w:p>
            <w:r/>
            <w:r>
              <w:rPr>
                <w:sz w:val="17"/>
              </w:rPr>
              <w:t>-70%</w:t>
            </w:r>
          </w:p>
        </w:tc>
        <w:tc>
          <w:tcPr>
            <w:tcW w:type="dxa" w:w="1895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1011"/>
          </w:tcPr>
          <w:p>
            <w:r/>
            <w:r>
              <w:rPr>
                <w:sz w:val="17"/>
              </w:rPr>
              <w:t>3.32</w:t>
            </w:r>
          </w:p>
        </w:tc>
        <w:tc>
          <w:tcPr>
            <w:tcW w:type="dxa" w:w="3158"/>
          </w:tcPr>
          <w:p>
            <w:r/>
            <w:r>
              <w:rPr>
                <w:sz w:val="17"/>
              </w:rPr>
              <w:t>produtos diversos</w:t>
            </w:r>
          </w:p>
        </w:tc>
        <w:tc>
          <w:tcPr>
            <w:tcW w:type="dxa" w:w="1642"/>
          </w:tcPr>
          <w:p>
            <w:r/>
            <w:r>
              <w:rPr>
                <w:sz w:val="17"/>
              </w:rPr>
              <w:t>-15,7%</w:t>
            </w:r>
          </w:p>
        </w:tc>
        <w:tc>
          <w:tcPr>
            <w:tcW w:type="dxa" w:w="1705"/>
          </w:tcPr>
          <w:p>
            <w:r/>
            <w:r>
              <w:rPr>
                <w:sz w:val="17"/>
              </w:rPr>
              <w:t>-49%</w:t>
            </w:r>
          </w:p>
        </w:tc>
        <w:tc>
          <w:tcPr>
            <w:tcW w:type="dxa" w:w="1895"/>
          </w:tcPr>
          <w:p>
            <w:r/>
            <w:r>
              <w:rPr>
                <w:sz w:val="17"/>
              </w:rPr>
              <w:t>não recuperou</w:t>
            </w:r>
          </w:p>
        </w:tc>
      </w:tr>
      <w:tr>
        <w:tc>
          <w:tcPr>
            <w:tcW w:type="dxa" w:w="1011"/>
          </w:tcPr>
          <w:p>
            <w:r/>
            <w:r>
              <w:rPr>
                <w:sz w:val="17"/>
              </w:rPr>
              <w:t>3.17</w:t>
            </w:r>
          </w:p>
        </w:tc>
        <w:tc>
          <w:tcPr>
            <w:tcW w:type="dxa" w:w="3158"/>
          </w:tcPr>
          <w:p>
            <w:r/>
            <w:r>
              <w:rPr>
                <w:sz w:val="17"/>
              </w:rPr>
              <w:t>celulose, papel e produtos de papel</w:t>
            </w:r>
          </w:p>
        </w:tc>
        <w:tc>
          <w:tcPr>
            <w:tcW w:type="dxa" w:w="1642"/>
          </w:tcPr>
          <w:p>
            <w:r/>
            <w:r>
              <w:rPr>
                <w:sz w:val="17"/>
              </w:rPr>
              <w:t>+7,7%</w:t>
            </w:r>
          </w:p>
        </w:tc>
        <w:tc>
          <w:tcPr>
            <w:tcW w:type="dxa" w:w="1705"/>
          </w:tcPr>
          <w:p>
            <w:r/>
            <w:r>
              <w:rPr>
                <w:sz w:val="17"/>
              </w:rPr>
              <w:t>-6%</w:t>
            </w:r>
          </w:p>
        </w:tc>
        <w:tc>
          <w:tcPr>
            <w:tcW w:type="dxa" w:w="1895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1011"/>
          </w:tcPr>
          <w:p>
            <w:r/>
            <w:r>
              <w:rPr>
                <w:sz w:val="17"/>
              </w:rPr>
              <w:t>3.30</w:t>
            </w:r>
          </w:p>
        </w:tc>
        <w:tc>
          <w:tcPr>
            <w:tcW w:type="dxa" w:w="3158"/>
          </w:tcPr>
          <w:p>
            <w:r/>
            <w:r>
              <w:rPr>
                <w:sz w:val="17"/>
              </w:rPr>
              <w:t xml:space="preserve">outros equipamentos de transporte, exceto </w:t>
            </w:r>
          </w:p>
        </w:tc>
        <w:tc>
          <w:tcPr>
            <w:tcW w:type="dxa" w:w="1642"/>
          </w:tcPr>
          <w:p>
            <w:r/>
            <w:r>
              <w:rPr>
                <w:sz w:val="17"/>
              </w:rPr>
              <w:t>+10,3%</w:t>
            </w:r>
          </w:p>
        </w:tc>
        <w:tc>
          <w:tcPr>
            <w:tcW w:type="dxa" w:w="1705"/>
          </w:tcPr>
          <w:p>
            <w:r/>
            <w:r>
              <w:rPr>
                <w:sz w:val="17"/>
              </w:rPr>
              <w:t>-81%</w:t>
            </w:r>
          </w:p>
        </w:tc>
        <w:tc>
          <w:tcPr>
            <w:tcW w:type="dxa" w:w="1895"/>
          </w:tcPr>
          <w:p>
            <w:r/>
            <w:r>
              <w:rPr>
                <w:sz w:val="17"/>
              </w:rPr>
              <w:t>29</w:t>
            </w:r>
          </w:p>
        </w:tc>
      </w:tr>
      <w:tr>
        <w:tc>
          <w:tcPr>
            <w:tcW w:type="dxa" w:w="1011"/>
          </w:tcPr>
          <w:p>
            <w:r/>
            <w:r>
              <w:rPr>
                <w:sz w:val="17"/>
              </w:rPr>
              <w:t>3.28</w:t>
            </w:r>
          </w:p>
        </w:tc>
        <w:tc>
          <w:tcPr>
            <w:tcW w:type="dxa" w:w="3158"/>
          </w:tcPr>
          <w:p>
            <w:r/>
            <w:r>
              <w:rPr>
                <w:sz w:val="17"/>
              </w:rPr>
              <w:t>máquinas e equipamentos</w:t>
            </w:r>
          </w:p>
        </w:tc>
        <w:tc>
          <w:tcPr>
            <w:tcW w:type="dxa" w:w="1642"/>
          </w:tcPr>
          <w:p>
            <w:r/>
            <w:r>
              <w:rPr>
                <w:sz w:val="17"/>
              </w:rPr>
              <w:t>+10,7%</w:t>
            </w:r>
          </w:p>
        </w:tc>
        <w:tc>
          <w:tcPr>
            <w:tcW w:type="dxa" w:w="1705"/>
          </w:tcPr>
          <w:p>
            <w:r/>
            <w:r>
              <w:rPr>
                <w:sz w:val="17"/>
              </w:rPr>
              <w:t>-41%</w:t>
            </w:r>
          </w:p>
        </w:tc>
        <w:tc>
          <w:tcPr>
            <w:tcW w:type="dxa" w:w="1895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1011"/>
          </w:tcPr>
          <w:p>
            <w:r/>
            <w:r>
              <w:rPr>
                <w:sz w:val="17"/>
              </w:rPr>
              <w:t>3.19</w:t>
            </w:r>
          </w:p>
        </w:tc>
        <w:tc>
          <w:tcPr>
            <w:tcW w:type="dxa" w:w="3158"/>
          </w:tcPr>
          <w:p>
            <w:r/>
            <w:r>
              <w:rPr>
                <w:sz w:val="17"/>
              </w:rPr>
              <w:t>coque, de produtos derivados do petróleo e</w:t>
            </w:r>
          </w:p>
        </w:tc>
        <w:tc>
          <w:tcPr>
            <w:tcW w:type="dxa" w:w="1642"/>
          </w:tcPr>
          <w:p>
            <w:r/>
            <w:r>
              <w:rPr>
                <w:sz w:val="17"/>
              </w:rPr>
              <w:t>+14,8%</w:t>
            </w:r>
          </w:p>
        </w:tc>
        <w:tc>
          <w:tcPr>
            <w:tcW w:type="dxa" w:w="1705"/>
          </w:tcPr>
          <w:p>
            <w:r/>
            <w:r>
              <w:rPr>
                <w:sz w:val="17"/>
              </w:rPr>
              <w:t>-16%</w:t>
            </w:r>
          </w:p>
        </w:tc>
        <w:tc>
          <w:tcPr>
            <w:tcW w:type="dxa" w:w="1895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011"/>
          </w:tcPr>
          <w:p>
            <w:r/>
            <w:r>
              <w:rPr>
                <w:sz w:val="17"/>
              </w:rPr>
              <w:t>3.12</w:t>
            </w:r>
          </w:p>
        </w:tc>
        <w:tc>
          <w:tcPr>
            <w:tcW w:type="dxa" w:w="3158"/>
          </w:tcPr>
          <w:p>
            <w:r/>
            <w:r>
              <w:rPr>
                <w:sz w:val="17"/>
              </w:rPr>
              <w:t>produtos do fumo</w:t>
            </w:r>
          </w:p>
        </w:tc>
        <w:tc>
          <w:tcPr>
            <w:tcW w:type="dxa" w:w="1642"/>
          </w:tcPr>
          <w:p>
            <w:r/>
            <w:r>
              <w:rPr>
                <w:sz w:val="17"/>
              </w:rPr>
              <w:t>+38,4%</w:t>
            </w:r>
          </w:p>
        </w:tc>
        <w:tc>
          <w:tcPr>
            <w:tcW w:type="dxa" w:w="1705"/>
          </w:tcPr>
          <w:p>
            <w:r/>
            <w:r>
              <w:rPr>
                <w:sz w:val="17"/>
              </w:rPr>
              <w:t>2%</w:t>
            </w:r>
          </w:p>
        </w:tc>
        <w:tc>
          <w:tcPr>
            <w:tcW w:type="dxa" w:w="1895"/>
          </w:tcPr>
          <w:p>
            <w:r/>
            <w:r>
              <w:rPr>
                <w:sz w:val="17"/>
              </w:rPr>
              <w:t>0</w:t>
            </w:r>
          </w:p>
        </w:tc>
      </w:tr>
    </w:tbl>
    <w:p/>
    <w:p>
      <w:r>
        <w:rPr>
          <w:b w:val="0"/>
        </w:rPr>
        <w:t>Resposta a P1. Os cinco piores casos são Impressão (−33%), Confecção (−27%), Móveis (−17%), Couro e calçados (−16%) e Produtos diversos (−16%): atividades intensivas em mão de obra e ligadas ao consumo das famílias e à impressão de mídia física. Os cinco melhores são Fumo (+38%), Derivados de petróleo (+15%), Máquinas e equipamentos (+11%), Outros equipamentos de transporte (+10%) e Celulose e papel (+8%), setores ligados a commodities, energia e bens de capital. Quatro divisões (Impressão, Confecção, Produtos diversos e Manutenção) nunca tiveram três meses seguidos acima da média de 2019 desde o choque. Veículos automotores levou 52 meses para recuperar o patamar, e Outros equipamentos de transporte, 29, embora ambos tenham a maior queda inicial (−92% e −81%). H3 confirmada: a recuperação foi desigual, e o agregado (+3,0%) esconde 13 divisões abaixo do nível pré-pandemia.</w:t>
      </w:r>
    </w:p>
    <w:p>
      <w:r>
        <w:rPr>
          <w:b w:val="0"/>
        </w:rPr>
        <w:t>Cautela: comparar com a média de um único ano (2019) é uma escolha de base. 2019 foi um ano de crescimento fraco, então "acima de 2019" não significa "acima da tendência".</w:t>
      </w:r>
    </w:p>
    <w:p>
      <w:pPr>
        <w:pStyle w:val="Heading2"/>
      </w:pPr>
      <w:r>
        <w:t>5.3 P2 — Sensibilidade ao juro real</w:t>
      </w:r>
    </w:p>
    <w:p>
      <w:r>
        <w:rPr>
          <w:b w:val="0"/>
        </w:rPr>
        <w:t>Para cada uma das 27 atividades calculou-se a correlação entre o crescimento anual em t e o juro real em t−k. para k de 0 a 12 meses (Figura 4). O sinal esperado por H1 é negativo. Como a escolha do melhor k dentre 13 defasagens infla a chance de achar correlação por acaso. e as séries são altamente autocorrelacionadas. a significância foi avaliada por um teste de permutação: o juro real é deslocado circularmente (2.000 deslocamentos aleatórios) e compara-se a correlação mais negativa observada com a distribuição do mínimo sobre as 13 defasagens.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2_correlacao_por_defasag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Correlação juro real × crescimento anual por defasagem, divisões da transformação (P2).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9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166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Defasagem</w:t>
            </w:r>
          </w:p>
        </w:tc>
        <w:tc>
          <w:tcPr>
            <w:tcW w:type="dxa" w:w="17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Correlação</w:t>
            </w:r>
          </w:p>
        </w:tc>
        <w:tc>
          <w:tcPr>
            <w:tcW w:type="dxa" w:w="205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 (permutação)</w:t>
            </w:r>
          </w:p>
        </w:tc>
      </w:tr>
      <w:tr>
        <w:tc>
          <w:tcPr>
            <w:tcW w:type="dxa" w:w="3954"/>
          </w:tcPr>
          <w:p>
            <w:r/>
            <w:r>
              <w:rPr>
                <w:sz w:val="17"/>
              </w:rPr>
              <w:t>3.20 produtos químicos</w:t>
            </w:r>
          </w:p>
        </w:tc>
        <w:tc>
          <w:tcPr>
            <w:tcW w:type="dxa" w:w="1661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40"/>
          </w:tcPr>
          <w:p>
            <w:r/>
            <w:r>
              <w:rPr>
                <w:sz w:val="17"/>
              </w:rPr>
              <w:t>-0,21</w:t>
            </w:r>
          </w:p>
        </w:tc>
        <w:tc>
          <w:tcPr>
            <w:tcW w:type="dxa" w:w="2056"/>
          </w:tcPr>
          <w:p>
            <w:r/>
            <w:r>
              <w:rPr>
                <w:sz w:val="17"/>
              </w:rPr>
              <w:t>0,21</w:t>
            </w:r>
          </w:p>
        </w:tc>
      </w:tr>
      <w:tr>
        <w:tc>
          <w:tcPr>
            <w:tcW w:type="dxa" w:w="3954"/>
          </w:tcPr>
          <w:p>
            <w:r/>
            <w:r>
              <w:rPr>
                <w:sz w:val="17"/>
              </w:rPr>
              <w:t>3.19 coque, de produtos derivados do petróleo e</w:t>
            </w:r>
          </w:p>
        </w:tc>
        <w:tc>
          <w:tcPr>
            <w:tcW w:type="dxa" w:w="1661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40"/>
          </w:tcPr>
          <w:p>
            <w:r/>
            <w:r>
              <w:rPr>
                <w:sz w:val="17"/>
              </w:rPr>
              <w:t>-0,21</w:t>
            </w:r>
          </w:p>
        </w:tc>
        <w:tc>
          <w:tcPr>
            <w:tcW w:type="dxa" w:w="2056"/>
          </w:tcPr>
          <w:p>
            <w:r/>
            <w:r>
              <w:rPr>
                <w:sz w:val="17"/>
              </w:rPr>
              <w:t>0,27</w:t>
            </w:r>
          </w:p>
        </w:tc>
      </w:tr>
      <w:tr>
        <w:tc>
          <w:tcPr>
            <w:tcW w:type="dxa" w:w="3954"/>
          </w:tcPr>
          <w:p>
            <w:r/>
            <w:r>
              <w:rPr>
                <w:sz w:val="17"/>
              </w:rPr>
              <w:t>3.28 máquinas e equipamentos</w:t>
            </w:r>
          </w:p>
        </w:tc>
        <w:tc>
          <w:tcPr>
            <w:tcW w:type="dxa" w:w="1661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40"/>
          </w:tcPr>
          <w:p>
            <w:r/>
            <w:r>
              <w:rPr>
                <w:sz w:val="17"/>
              </w:rPr>
              <w:t>-0,20</w:t>
            </w:r>
          </w:p>
        </w:tc>
        <w:tc>
          <w:tcPr>
            <w:tcW w:type="dxa" w:w="2056"/>
          </w:tcPr>
          <w:p>
            <w:r/>
            <w:r>
              <w:rPr>
                <w:sz w:val="17"/>
              </w:rPr>
              <w:t>0,21</w:t>
            </w:r>
          </w:p>
        </w:tc>
      </w:tr>
      <w:tr>
        <w:tc>
          <w:tcPr>
            <w:tcW w:type="dxa" w:w="3954"/>
          </w:tcPr>
          <w:p>
            <w:r/>
            <w:r>
              <w:rPr>
                <w:sz w:val="17"/>
              </w:rPr>
              <w:t xml:space="preserve">3.30 outros equipamentos de transporte, exceto </w:t>
            </w:r>
          </w:p>
        </w:tc>
        <w:tc>
          <w:tcPr>
            <w:tcW w:type="dxa" w:w="1661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740"/>
          </w:tcPr>
          <w:p>
            <w:r/>
            <w:r>
              <w:rPr>
                <w:sz w:val="17"/>
              </w:rPr>
              <w:t>-0,18</w:t>
            </w:r>
          </w:p>
        </w:tc>
        <w:tc>
          <w:tcPr>
            <w:tcW w:type="dxa" w:w="2056"/>
          </w:tcPr>
          <w:p>
            <w:r/>
            <w:r>
              <w:rPr>
                <w:sz w:val="17"/>
              </w:rPr>
              <w:t>0,46</w:t>
            </w:r>
          </w:p>
        </w:tc>
      </w:tr>
      <w:tr>
        <w:tc>
          <w:tcPr>
            <w:tcW w:type="dxa" w:w="3954"/>
          </w:tcPr>
          <w:p>
            <w:r/>
            <w:r>
              <w:rPr>
                <w:sz w:val="17"/>
              </w:rPr>
              <w:t>3.16 produtos de madeira</w:t>
            </w:r>
          </w:p>
        </w:tc>
        <w:tc>
          <w:tcPr>
            <w:tcW w:type="dxa" w:w="1661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40"/>
          </w:tcPr>
          <w:p>
            <w:r/>
            <w:r>
              <w:rPr>
                <w:sz w:val="17"/>
              </w:rPr>
              <w:t>-0,17</w:t>
            </w:r>
          </w:p>
        </w:tc>
        <w:tc>
          <w:tcPr>
            <w:tcW w:type="dxa" w:w="2056"/>
          </w:tcPr>
          <w:p>
            <w:r/>
            <w:r>
              <w:rPr>
                <w:sz w:val="17"/>
              </w:rPr>
              <w:t>0,39</w:t>
            </w:r>
          </w:p>
        </w:tc>
      </w:tr>
      <w:tr>
        <w:tc>
          <w:tcPr>
            <w:tcW w:type="dxa" w:w="3954"/>
          </w:tcPr>
          <w:p>
            <w:r/>
            <w:r>
              <w:rPr>
                <w:sz w:val="17"/>
              </w:rPr>
              <w:t>3.23 produtos de minerais não metálicos</w:t>
            </w:r>
          </w:p>
        </w:tc>
        <w:tc>
          <w:tcPr>
            <w:tcW w:type="dxa" w:w="1661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40"/>
          </w:tcPr>
          <w:p>
            <w:r/>
            <w:r>
              <w:rPr>
                <w:sz w:val="17"/>
              </w:rPr>
              <w:t>-0,14</w:t>
            </w:r>
          </w:p>
        </w:tc>
        <w:tc>
          <w:tcPr>
            <w:tcW w:type="dxa" w:w="2056"/>
          </w:tcPr>
          <w:p>
            <w:r/>
            <w:r>
              <w:rPr>
                <w:sz w:val="17"/>
              </w:rPr>
              <w:t>0,58</w:t>
            </w:r>
          </w:p>
        </w:tc>
      </w:tr>
      <w:tr>
        <w:tc>
          <w:tcPr>
            <w:tcW w:type="dxa" w:w="3954"/>
          </w:tcPr>
          <w:p>
            <w:r/>
            <w:r>
              <w:rPr>
                <w:sz w:val="17"/>
              </w:rPr>
              <w:t>1 Indústria geral</w:t>
            </w:r>
          </w:p>
        </w:tc>
        <w:tc>
          <w:tcPr>
            <w:tcW w:type="dxa" w:w="1661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40"/>
          </w:tcPr>
          <w:p>
            <w:r/>
            <w:r>
              <w:rPr>
                <w:sz w:val="17"/>
              </w:rPr>
              <w:t>+0,19</w:t>
            </w:r>
          </w:p>
        </w:tc>
        <w:tc>
          <w:tcPr>
            <w:tcW w:type="dxa" w:w="2056"/>
          </w:tcPr>
          <w:p>
            <w:r/>
            <w:r>
              <w:rPr>
                <w:sz w:val="17"/>
              </w:rPr>
              <w:t>0,91</w:t>
            </w:r>
          </w:p>
        </w:tc>
      </w:tr>
    </w:tbl>
    <w:p/>
    <w:p>
      <w:r>
        <w:rPr>
          <w:b w:val="0"/>
        </w:rPr>
        <w:t>Resposta a P2. Não há evidência de que o juro real explique o crescimento anual em nenhuma atividade: 0 das 27 séries têm p &lt; 0,05 no teste de permutação. Só 11 das 27 correlações têm o sinal esperado, e a mais forte (Produtos químicos, defasagem de 2 meses) é de apenas −0,21, com p = 0,21. Para a indústria geral a correlação é positiva (+0,19), o oposto de H1. A defasagem mediana ótima é 0 mês, ou seja, não há padrão temporal identificável. H1 não é sustentada por estes dados.</w:t>
      </w:r>
    </w:p>
    <w:p>
      <w:r>
        <w:rPr>
          <w:b w:val="0"/>
        </w:rPr>
        <w:t>Interpretação. Três explicações são plausíveis, e a análise não separa entre elas: (i) endogeneidade, porque o Banco Central sobe juros em ciclos de demanda aquecida e corta em recessões, o que gera correlação positiva espúria; (ii) o efeito do crédito passa por canais que o juro real ex-post não captura (spread, acesso a crédito, expectativas); (iii) amostra curta, de 13 anos, com poucos ciclos de juros. O resultado negativo é informativo: quem usar a Selic corrente para prever a produção setorial no curto prazo não terá respaldo nestes dados.</w:t>
      </w:r>
    </w:p>
    <w:p>
      <w:pPr>
        <w:pStyle w:val="Heading2"/>
      </w:pPr>
      <w:r>
        <w:t>5.4 P3 — Câmbio, controlando o juro</w:t>
      </w:r>
    </w:p>
    <w:p>
      <w:r>
        <w:rPr>
          <w:b w:val="0"/>
        </w:rPr>
        <w:t>Para cada atividade estimou-se por mínimos quadrados o crescimento anual contra o juro real defasado (no lag ótimo de P2) e a variação cambial de 12 meses, com erros-padrão robustos a autocorrelação e heterocedasticidade (Newey-West, 12 defasagens). A Figura 5 mostra os coeficientes com intervalos de 95%.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3_coefic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Coeficientes de juro real e de câmbio por divisão (P3).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76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376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β câmbio (p.p. por 1% de desvalorização)</w:t>
            </w:r>
          </w:p>
        </w:tc>
        <w:tc>
          <w:tcPr>
            <w:tcW w:type="dxa" w:w="188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estatística t</w:t>
            </w:r>
          </w:p>
        </w:tc>
      </w:tr>
      <w:tr>
        <w:tc>
          <w:tcPr>
            <w:tcW w:type="dxa" w:w="3764"/>
          </w:tcPr>
          <w:p>
            <w:r/>
            <w:r>
              <w:rPr>
                <w:sz w:val="17"/>
              </w:rPr>
              <w:t>3.33 Manutenção, reparação e instalação de máqu</w:t>
            </w:r>
          </w:p>
        </w:tc>
        <w:tc>
          <w:tcPr>
            <w:tcW w:type="dxa" w:w="3764"/>
          </w:tcPr>
          <w:p>
            <w:r/>
            <w:r>
              <w:rPr>
                <w:sz w:val="17"/>
              </w:rPr>
              <w:t>-0,16</w:t>
            </w:r>
          </w:p>
        </w:tc>
        <w:tc>
          <w:tcPr>
            <w:tcW w:type="dxa" w:w="1882"/>
          </w:tcPr>
          <w:p>
            <w:r/>
            <w:r>
              <w:rPr>
                <w:sz w:val="17"/>
              </w:rPr>
              <w:t>-4,18</w:t>
            </w:r>
          </w:p>
        </w:tc>
      </w:tr>
      <w:tr>
        <w:tc>
          <w:tcPr>
            <w:tcW w:type="dxa" w:w="3764"/>
          </w:tcPr>
          <w:p>
            <w:r/>
            <w:r>
              <w:rPr>
                <w:sz w:val="17"/>
              </w:rPr>
              <w:t>3.18 Impressão e reprodução de gravações</w:t>
            </w:r>
          </w:p>
        </w:tc>
        <w:tc>
          <w:tcPr>
            <w:tcW w:type="dxa" w:w="3764"/>
          </w:tcPr>
          <w:p>
            <w:r/>
            <w:r>
              <w:rPr>
                <w:sz w:val="17"/>
              </w:rPr>
              <w:t>-0,33</w:t>
            </w:r>
          </w:p>
        </w:tc>
        <w:tc>
          <w:tcPr>
            <w:tcW w:type="dxa" w:w="1882"/>
          </w:tcPr>
          <w:p>
            <w:r/>
            <w:r>
              <w:rPr>
                <w:sz w:val="17"/>
              </w:rPr>
              <w:t>-2,98</w:t>
            </w:r>
          </w:p>
        </w:tc>
      </w:tr>
      <w:tr>
        <w:tc>
          <w:tcPr>
            <w:tcW w:type="dxa" w:w="3764"/>
          </w:tcPr>
          <w:p>
            <w:r/>
            <w:r>
              <w:rPr>
                <w:sz w:val="17"/>
              </w:rPr>
              <w:t>3.15 couros e fabricação de artefatos de couro,</w:t>
            </w:r>
          </w:p>
        </w:tc>
        <w:tc>
          <w:tcPr>
            <w:tcW w:type="dxa" w:w="3764"/>
          </w:tcPr>
          <w:p>
            <w:r/>
            <w:r>
              <w:rPr>
                <w:sz w:val="17"/>
              </w:rPr>
              <w:t>-0,12</w:t>
            </w:r>
          </w:p>
        </w:tc>
        <w:tc>
          <w:tcPr>
            <w:tcW w:type="dxa" w:w="1882"/>
          </w:tcPr>
          <w:p>
            <w:r/>
            <w:r>
              <w:rPr>
                <w:sz w:val="17"/>
              </w:rPr>
              <w:t>-2,86</w:t>
            </w:r>
          </w:p>
        </w:tc>
      </w:tr>
      <w:tr>
        <w:tc>
          <w:tcPr>
            <w:tcW w:type="dxa" w:w="3764"/>
          </w:tcPr>
          <w:p>
            <w:r/>
            <w:r>
              <w:rPr>
                <w:sz w:val="17"/>
              </w:rPr>
              <w:t>3.26 equipamentos de informática, produtos elet</w:t>
            </w:r>
          </w:p>
        </w:tc>
        <w:tc>
          <w:tcPr>
            <w:tcW w:type="dxa" w:w="3764"/>
          </w:tcPr>
          <w:p>
            <w:r/>
            <w:r>
              <w:rPr>
                <w:sz w:val="17"/>
              </w:rPr>
              <w:t>-0,45</w:t>
            </w:r>
          </w:p>
        </w:tc>
        <w:tc>
          <w:tcPr>
            <w:tcW w:type="dxa" w:w="1882"/>
          </w:tcPr>
          <w:p>
            <w:r/>
            <w:r>
              <w:rPr>
                <w:sz w:val="17"/>
              </w:rPr>
              <w:t>-2,61</w:t>
            </w:r>
          </w:p>
        </w:tc>
      </w:tr>
      <w:tr>
        <w:tc>
          <w:tcPr>
            <w:tcW w:type="dxa" w:w="3764"/>
          </w:tcPr>
          <w:p>
            <w:r/>
            <w:r>
              <w:rPr>
                <w:sz w:val="17"/>
              </w:rPr>
              <w:t>3.24 Metalurgia</w:t>
            </w:r>
          </w:p>
        </w:tc>
        <w:tc>
          <w:tcPr>
            <w:tcW w:type="dxa" w:w="3764"/>
          </w:tcPr>
          <w:p>
            <w:r/>
            <w:r>
              <w:rPr>
                <w:sz w:val="17"/>
              </w:rPr>
              <w:t>-0,15</w:t>
            </w:r>
          </w:p>
        </w:tc>
        <w:tc>
          <w:tcPr>
            <w:tcW w:type="dxa" w:w="1882"/>
          </w:tcPr>
          <w:p>
            <w:r/>
            <w:r>
              <w:rPr>
                <w:sz w:val="17"/>
              </w:rPr>
              <w:t>-2,50</w:t>
            </w:r>
          </w:p>
        </w:tc>
      </w:tr>
      <w:tr>
        <w:tc>
          <w:tcPr>
            <w:tcW w:type="dxa" w:w="3764"/>
          </w:tcPr>
          <w:p>
            <w:r/>
            <w:r>
              <w:rPr>
                <w:sz w:val="17"/>
              </w:rPr>
              <w:t>3.29 veículos automotores, reboques e carroceri</w:t>
            </w:r>
          </w:p>
        </w:tc>
        <w:tc>
          <w:tcPr>
            <w:tcW w:type="dxa" w:w="3764"/>
          </w:tcPr>
          <w:p>
            <w:r/>
            <w:r>
              <w:rPr>
                <w:sz w:val="17"/>
              </w:rPr>
              <w:t>-0,41</w:t>
            </w:r>
          </w:p>
        </w:tc>
        <w:tc>
          <w:tcPr>
            <w:tcW w:type="dxa" w:w="1882"/>
          </w:tcPr>
          <w:p>
            <w:r/>
            <w:r>
              <w:rPr>
                <w:sz w:val="17"/>
              </w:rPr>
              <w:t>-2,47</w:t>
            </w:r>
          </w:p>
        </w:tc>
      </w:tr>
      <w:tr>
        <w:tc>
          <w:tcPr>
            <w:tcW w:type="dxa" w:w="3764"/>
          </w:tcPr>
          <w:p>
            <w:r/>
            <w:r>
              <w:rPr>
                <w:sz w:val="17"/>
              </w:rPr>
              <w:t>1 Indústria geral</w:t>
            </w:r>
          </w:p>
        </w:tc>
        <w:tc>
          <w:tcPr>
            <w:tcW w:type="dxa" w:w="3764"/>
          </w:tcPr>
          <w:p>
            <w:r/>
            <w:r>
              <w:rPr>
                <w:sz w:val="17"/>
              </w:rPr>
              <w:t>-0,12</w:t>
            </w:r>
          </w:p>
        </w:tc>
        <w:tc>
          <w:tcPr>
            <w:tcW w:type="dxa" w:w="1882"/>
          </w:tcPr>
          <w:p>
            <w:r/>
            <w:r>
              <w:rPr>
                <w:sz w:val="17"/>
              </w:rPr>
              <w:t>-2,42</w:t>
            </w:r>
          </w:p>
        </w:tc>
      </w:tr>
    </w:tbl>
    <w:p/>
    <w:p>
      <w:r>
        <w:rPr>
          <w:b w:val="0"/>
        </w:rPr>
        <w:t>Resposta a P3. O câmbio tem associação estatisticamente significativa em 9 das 27 atividades, e em todas o sinal é negativo: desvalorização do real acompanha crescimento anual menor. Para a indústria geral, cada 1% de desvalorização em 12 meses está associado a 0,12 p.p. a menos de crescimento anual (t = -2,4). Os maiores efeitos estão em Informática/eletrônicos, Veículos e Impressão, que dependem de insumos e componentes importados. Não há atividade com efeito positivo significativo, portanto a parte de H2 sobre exportadores não se confirma. A ressalva: o poder explicativo é baixo (R² mediano 0,06; máximo 0,21, em produtos de borracha e de material plástic), e as grandes desvalorizações do período (2015 e 2020) coincidem com recessões, de modo que o coeficiente pode refletir o ciclo econômico em vez do câmbio em si.</w:t>
      </w:r>
    </w:p>
    <w:p>
      <w:pPr>
        <w:pStyle w:val="Heading2"/>
      </w:pPr>
      <w:r>
        <w:t>5.5 P4 — Volatilidade</w:t>
      </w:r>
    </w:p>
    <w:p>
      <w:r>
        <w:rPr>
          <w:b w:val="0"/>
        </w:rPr>
        <w:t>A volatilidade foi medida pelo desvio-padrão do crescimento anual na amostra de análise. As divisões variam mais de quatro vezes entre si: Fumo (19,6 p.p.), Informática (17,0), Veículos (16,9) e Impressão (16,7) são as mais voláteis; Celulose e papel (4,4), Químicos (4,7) e Minerais não metálicos (5,6) são as mais estáveis. A indústria geral, por diversificação, tem 4,5 p.p., no nível da divisão mais estável.</w:t>
      </w:r>
    </w:p>
    <w:p>
      <w:r>
        <w:rPr>
          <w:b w:val="0"/>
        </w:rPr>
        <w:t>Resposta a P4. A razão entre a divisão mais e a menos volátil é de 4,5 vezes. O pior crescimento anual de Veículos é −39% sem a pandemia e −92% com ela; o de Celulose e papel é −11% nos dois casos. A volatilidade tem correlação fraca com a sensibilidade ao juro (0,21), então o risco setorial vem sobretudo de fatores próprios da atividade, não da política monetária. Em termos de decisão, esta é a conclusão mais robusta do trabalho: o desvio-padrão setorial é estável e diretamente mensurável, ao contrário da sensibilidade ao juro.</w:t>
      </w:r>
    </w:p>
    <w:p>
      <w:pPr>
        <w:pStyle w:val="Heading2"/>
      </w:pPr>
      <w:r>
        <w:t>5.6 P5 — Cenário de queda do juro real e discussão geral</w:t>
      </w:r>
    </w:p>
    <w:p>
      <w:r>
        <w:rPr>
          <w:b w:val="0"/>
        </w:rPr>
        <w:t>O cenário aplica ao coeficiente de juro de cada atividade uma queda de 3 p.p. (de 9,3% a.a. em 2026/08, com Selic de 13,79% e IPCA 12m de 4,22%, para cerca de 6,3%, próximo à média histórica de 5,5%). O intervalo de 95% usa o erro-padrão robusto.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4_P5_sensibilidade_volatilid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Efeito projetado de −3 p.p. de juro real vs. volatilidade (P4/P5).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240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Efeito projetado (p.p.)</w:t>
            </w:r>
          </w:p>
        </w:tc>
        <w:tc>
          <w:tcPr>
            <w:tcW w:type="dxa" w:w="171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IC 95%</w:t>
            </w:r>
          </w:p>
        </w:tc>
        <w:tc>
          <w:tcPr>
            <w:tcW w:type="dxa" w:w="185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IC exclui zero?</w:t>
            </w:r>
          </w:p>
        </w:tc>
      </w:tr>
      <w:tr>
        <w:tc>
          <w:tcPr>
            <w:tcW w:type="dxa" w:w="3435"/>
          </w:tcPr>
          <w:p>
            <w:r/>
            <w:r>
              <w:rPr>
                <w:sz w:val="17"/>
              </w:rPr>
              <w:t>1 Indústria geral</w:t>
            </w:r>
          </w:p>
        </w:tc>
        <w:tc>
          <w:tcPr>
            <w:tcW w:type="dxa" w:w="2404"/>
          </w:tcPr>
          <w:p>
            <w:r/>
            <w:r>
              <w:rPr>
                <w:sz w:val="17"/>
              </w:rPr>
              <w:t>-0,31</w:t>
            </w:r>
          </w:p>
        </w:tc>
        <w:tc>
          <w:tcPr>
            <w:tcW w:type="dxa" w:w="1717"/>
          </w:tcPr>
          <w:p>
            <w:r/>
            <w:r>
              <w:rPr>
                <w:sz w:val="17"/>
              </w:rPr>
              <w:t>[-1,31; 0,69]</w:t>
            </w:r>
          </w:p>
        </w:tc>
        <w:tc>
          <w:tcPr>
            <w:tcW w:type="dxa" w:w="1855"/>
          </w:tcPr>
          <w:p>
            <w:r/>
            <w:r>
              <w:rPr>
                <w:sz w:val="17"/>
              </w:rPr>
              <w:t>não</w:t>
            </w:r>
          </w:p>
        </w:tc>
      </w:tr>
      <w:tr>
        <w:tc>
          <w:tcPr>
            <w:tcW w:type="dxa" w:w="3435"/>
          </w:tcPr>
          <w:p>
            <w:r/>
            <w:r>
              <w:rPr>
                <w:sz w:val="17"/>
              </w:rPr>
              <w:t>3 Indústrias de transformação</w:t>
            </w:r>
          </w:p>
        </w:tc>
        <w:tc>
          <w:tcPr>
            <w:tcW w:type="dxa" w:w="2404"/>
          </w:tcPr>
          <w:p>
            <w:r/>
            <w:r>
              <w:rPr>
                <w:sz w:val="17"/>
              </w:rPr>
              <w:t>+0,12</w:t>
            </w:r>
          </w:p>
        </w:tc>
        <w:tc>
          <w:tcPr>
            <w:tcW w:type="dxa" w:w="1717"/>
          </w:tcPr>
          <w:p>
            <w:r/>
            <w:r>
              <w:rPr>
                <w:sz w:val="17"/>
              </w:rPr>
              <w:t>[-1,19; 1,44]</w:t>
            </w:r>
          </w:p>
        </w:tc>
        <w:tc>
          <w:tcPr>
            <w:tcW w:type="dxa" w:w="1855"/>
          </w:tcPr>
          <w:p>
            <w:r/>
            <w:r>
              <w:rPr>
                <w:sz w:val="17"/>
              </w:rPr>
              <w:t>não</w:t>
            </w:r>
          </w:p>
        </w:tc>
      </w:tr>
      <w:tr>
        <w:tc>
          <w:tcPr>
            <w:tcW w:type="dxa" w:w="3435"/>
          </w:tcPr>
          <w:p>
            <w:r/>
            <w:r>
              <w:rPr>
                <w:sz w:val="17"/>
              </w:rPr>
              <w:t>3.28 máquinas e equipamentos</w:t>
            </w:r>
          </w:p>
        </w:tc>
        <w:tc>
          <w:tcPr>
            <w:tcW w:type="dxa" w:w="2404"/>
          </w:tcPr>
          <w:p>
            <w:r/>
            <w:r>
              <w:rPr>
                <w:sz w:val="17"/>
              </w:rPr>
              <w:t>+2,44</w:t>
            </w:r>
          </w:p>
        </w:tc>
        <w:tc>
          <w:tcPr>
            <w:tcW w:type="dxa" w:w="1717"/>
          </w:tcPr>
          <w:p>
            <w:r/>
            <w:r>
              <w:rPr>
                <w:sz w:val="17"/>
              </w:rPr>
              <w:t>[0,31; 4,56]</w:t>
            </w:r>
          </w:p>
        </w:tc>
        <w:tc>
          <w:tcPr>
            <w:tcW w:type="dxa" w:w="1855"/>
          </w:tcPr>
          <w:p>
            <w:r/>
            <w:r>
              <w:rPr>
                <w:sz w:val="17"/>
              </w:rPr>
              <w:t>sim</w:t>
            </w:r>
          </w:p>
        </w:tc>
      </w:tr>
      <w:tr>
        <w:tc>
          <w:tcPr>
            <w:tcW w:type="dxa" w:w="3435"/>
          </w:tcPr>
          <w:p>
            <w:r/>
            <w:r>
              <w:rPr>
                <w:sz w:val="17"/>
              </w:rPr>
              <w:t>3.19 coque, de produtos derivados do petróleo e</w:t>
            </w:r>
          </w:p>
        </w:tc>
        <w:tc>
          <w:tcPr>
            <w:tcW w:type="dxa" w:w="2404"/>
          </w:tcPr>
          <w:p>
            <w:r/>
            <w:r>
              <w:rPr>
                <w:sz w:val="17"/>
              </w:rPr>
              <w:t>+1,65</w:t>
            </w:r>
          </w:p>
        </w:tc>
        <w:tc>
          <w:tcPr>
            <w:tcW w:type="dxa" w:w="1717"/>
          </w:tcPr>
          <w:p>
            <w:r/>
            <w:r>
              <w:rPr>
                <w:sz w:val="17"/>
              </w:rPr>
              <w:t>[0,01; 3,28]</w:t>
            </w:r>
          </w:p>
        </w:tc>
        <w:tc>
          <w:tcPr>
            <w:tcW w:type="dxa" w:w="1855"/>
          </w:tcPr>
          <w:p>
            <w:r/>
            <w:r>
              <w:rPr>
                <w:sz w:val="17"/>
              </w:rPr>
              <w:t>sim</w:t>
            </w:r>
          </w:p>
        </w:tc>
      </w:tr>
      <w:tr>
        <w:tc>
          <w:tcPr>
            <w:tcW w:type="dxa" w:w="3435"/>
          </w:tcPr>
          <w:p>
            <w:r/>
            <w:r>
              <w:rPr>
                <w:sz w:val="17"/>
              </w:rPr>
              <w:t>3.18 Impressão e reprodução de gravações</w:t>
            </w:r>
          </w:p>
        </w:tc>
        <w:tc>
          <w:tcPr>
            <w:tcW w:type="dxa" w:w="2404"/>
          </w:tcPr>
          <w:p>
            <w:r/>
            <w:r>
              <w:rPr>
                <w:sz w:val="17"/>
              </w:rPr>
              <w:t>+3,24</w:t>
            </w:r>
          </w:p>
        </w:tc>
        <w:tc>
          <w:tcPr>
            <w:tcW w:type="dxa" w:w="1717"/>
          </w:tcPr>
          <w:p>
            <w:r/>
            <w:r>
              <w:rPr>
                <w:sz w:val="17"/>
              </w:rPr>
              <w:t>[-1,60; 8,09]</w:t>
            </w:r>
          </w:p>
        </w:tc>
        <w:tc>
          <w:tcPr>
            <w:tcW w:type="dxa" w:w="1855"/>
          </w:tcPr>
          <w:p>
            <w:r/>
            <w:r>
              <w:rPr>
                <w:sz w:val="17"/>
              </w:rPr>
              <w:t>não</w:t>
            </w:r>
          </w:p>
        </w:tc>
      </w:tr>
      <w:tr>
        <w:tc>
          <w:tcPr>
            <w:tcW w:type="dxa" w:w="3435"/>
          </w:tcPr>
          <w:p>
            <w:r/>
            <w:r>
              <w:rPr>
                <w:sz w:val="17"/>
              </w:rPr>
              <w:t>3.31 móveis</w:t>
            </w:r>
          </w:p>
        </w:tc>
        <w:tc>
          <w:tcPr>
            <w:tcW w:type="dxa" w:w="2404"/>
          </w:tcPr>
          <w:p>
            <w:r/>
            <w:r>
              <w:rPr>
                <w:sz w:val="17"/>
              </w:rPr>
              <w:t>-2,80</w:t>
            </w:r>
          </w:p>
        </w:tc>
        <w:tc>
          <w:tcPr>
            <w:tcW w:type="dxa" w:w="1717"/>
          </w:tcPr>
          <w:p>
            <w:r/>
            <w:r>
              <w:rPr>
                <w:sz w:val="17"/>
              </w:rPr>
              <w:t>[-6,34; 0,74]</w:t>
            </w:r>
          </w:p>
        </w:tc>
        <w:tc>
          <w:tcPr>
            <w:tcW w:type="dxa" w:w="1855"/>
          </w:tcPr>
          <w:p>
            <w:r/>
            <w:r>
              <w:rPr>
                <w:sz w:val="17"/>
              </w:rPr>
              <w:t>não</w:t>
            </w:r>
          </w:p>
        </w:tc>
      </w:tr>
    </w:tbl>
    <w:p/>
    <w:p>
      <w:r>
        <w:rPr>
          <w:b w:val="0"/>
        </w:rPr>
        <w:t>Resposta a P5. Para a indústria geral o modelo projeta -0,31 p.p. de crescimento anual (IC 95%: -1,3 a +0,7), isto é, efeito indistinguível de zero e com sinal contrário ao esperado. Entre as 24 divisões, 15 têm efeito projetado positivo, mas em apenas 2 o intervalo exclui zero: Máquinas e equipamentos (+2,4 p.p.; IC +0,3 a +4,6; defasagem de 2 meses) e Derivados de petróleo (+1,7 p.p.; IC +0,01 a +3,3). Com 24 testes a 5%, esperam-se cerca de 1,2 falsos positivos por acaso, e nenhuma das duas sobrevive à correção do P2 (p = 0,21 e 0,27). Os efeitos de maior magnitude (Impressão +3,2 p.p.) têm IC que inclui grandes valores negativos. As extrativas têm efeito significativo com sinal invertido (−1,2 p.p.), consistente com o ciclo de commodities, e não com causalidade dos juros.</w:t>
      </w:r>
    </w:p>
    <w:p>
      <w:r>
        <w:rPr>
          <w:b w:val="0"/>
        </w:rPr>
        <w:t>Discussão geral. Os resultados formam um quadro coerente, embora em parte negativo. (1) O diagnóstico descritivo é sólido e útil: o agregado industrial voltou a 2019, mas 13 de 24 divisões não, com um núcleo de setores de consumo e mídia ainda 16% a 33% abaixo. (2) A hipótese de que juros ditam a produção setorial não se sustentou: nenhuma série apresenta relação distinguível do acaso, e o agregado tem sinal oposto ao esperado, o que é compatível com endogeneidade da política monetária. (3) O câmbio tem associação negativa e consistente, mas de baixo poder explicativo. (4) A volatilidade setorial, que varia mais de quatro vezes, é a informação mais estável para decisão. Para um gestor, a implicação prática é que priorizar setores por sensibilidade ao corte de juros não tem base empírica neste modelo; Máquinas e equipamentos e Derivados de petróleo são hipóteses a investigar com dados adicionais (crédito, investimento, preços), não recomendações. O que os dados sustentam é a leitura de risco (P4) e a de recuperação (P1).</w:t>
      </w:r>
    </w:p>
    <w:p>
      <w:pPr>
        <w:pStyle w:val="Heading1"/>
      </w:pPr>
      <w:r>
        <w:t>6. Ética, licenciamento e proteção de dados</w:t>
      </w:r>
    </w:p>
    <w:p>
      <w:pPr>
        <w:pStyle w:val="ListBullet"/>
      </w:pPr>
      <w:r>
        <w:t>Licença dos dados. Ambas as fontes são estatísticas públicas divulgadas como dados abertos: IBGE (SIDRA) e Banco Central do Brasil (SGS). Exigem citação da fonte. A licença específica de cada conjunto não foi verificada automaticamente nesta execução, e deve ser conferida em sidra.ibge.gov.br e dadosabertos.bcb.gov.br antes de qualquer reutilização comercial. Por serem séries agregadas de tamanho pequeno (cerca de 1,7 MB), os arquivos brutos foram versionados para garantir reprodutibilidade; o script de coleta também está publicado.</w:t>
      </w:r>
    </w:p>
    <w:p>
      <w:pPr>
        <w:pStyle w:val="ListBullet"/>
      </w:pPr>
      <w:r>
        <w:t>Dados pessoais (LGPD). Não se aplica: as bases são agregados nacionais mensais, sem identificadores de pessoas ou empresas.</w:t>
      </w:r>
    </w:p>
    <w:p>
      <w:pPr>
        <w:pStyle w:val="ListBullet"/>
      </w:pPr>
      <w:r>
        <w:t>Dados corporativos. Não se aplica: nenhum dado de empresa foi utilizado.</w:t>
      </w:r>
    </w:p>
    <w:p>
      <w:pPr>
        <w:pStyle w:val="ListBullet"/>
      </w:pPr>
      <w:r>
        <w:t>Coleta automatizada. Foram usadas apenas APIs oficiais, sem scraping, com pausa entre tentativas.</w:t>
      </w:r>
    </w:p>
    <w:p>
      <w:pPr>
        <w:pStyle w:val="ListBullet"/>
      </w:pPr>
      <w:r>
        <w:t>Código. O código do repositório está sob a licença MIT (arquivo LICENSE).</w:t>
      </w:r>
    </w:p>
    <w:p>
      <w:pPr>
        <w:pStyle w:val="Heading1"/>
      </w:pPr>
      <w:r>
        <w:t>7. Autoavaliação</w:t>
      </w:r>
    </w:p>
    <w:p>
      <w:r>
        <w:rPr>
          <w:b w:val="0"/>
        </w:rPr>
        <w:t>Objetivos atingidos. As perguntas P1, P3 e P4 foram respondidas com evidência. P2 e P5 foram respondidas, mas com resultado negativo/inconclusivo: os dados não sustentam relação entre juro real e produção setorial. O resultado é legítimo e foi reportado como tal, sem remoção de perguntas nem busca de especificações até achar significância.</w:t>
      </w:r>
    </w:p>
    <w:p>
      <w:r>
        <w:rPr>
          <w:b w:val="0"/>
        </w:rPr>
        <w:t>Perguntas sugeridas:</w:t>
      </w:r>
    </w:p>
    <w:p>
      <w:pPr>
        <w:pStyle w:val="ListBullet"/>
      </w:pPr>
      <w:r>
        <w:t>Quais perguntas foram respondidas e quais não? P1, P3 e P4 foram respondidas de forma conclusiva. P2 e P5 tiveram resposta negativa: não há relação detectável entre juro real e crescimento setorial. A causa provável é a combinação de endogeneidade da política monetária, amostra curta e um regressor (juro real ex-post) que não capta o canal de crédito.</w:t>
      </w:r>
    </w:p>
    <w:p>
      <w:pPr>
        <w:pStyle w:val="ListBullet"/>
      </w:pPr>
      <w:r>
        <w:t>Que limitações dos dados condicionaram os resultados? Índice sem ajuste sazonal (obrigou o uso de variação anual, que perde informação de curto prazo); apenas 13 anos comparáveis; efeito da pandemia, que exigiu excluir 16 meses; ausência de controles (crédito, renda, demanda externa, preços de commodities); e nível nacional agregado, sem heterogeneidade regional. O câmbio e o juro são medidos por séries únicas para todas as atividades, embora a exposição varie por setor (exportador, importador).</w:t>
      </w:r>
    </w:p>
    <w:p>
      <w:pPr>
        <w:pStyle w:val="ListBullet"/>
      </w:pPr>
      <w:r>
        <w:t>Que decisões técnicas tomaria de outra forma? Testaria o pipeline no Databricks desde o primeiro dia, em vez de validá-lo localmente antes, o que evitaria retrabalho na integração. Usaria a série com ajuste sazonal que o IBGE também divulga e um modelo em primeiras diferenças ou VAR, mais adequado a séries persistentes. Incluiria ao menos uma variável de crédito (concessões do BCB) e uma de demanda externa.</w:t>
      </w:r>
    </w:p>
    <w:p>
      <w:pPr>
        <w:pStyle w:val="ListBullet"/>
      </w:pPr>
      <w:r>
        <w:t>Que extensões transformariam o MVP em solução de uso contínuo? Agendamento mensal do job (Databricks Workflows) alinhado à divulgação da PIM-PF; carga incremental em vez de recarga completa; testes automatizados de qualidade (as verificações da Seção 5.1 viram expectativas de dados); painel de monitoramento; inclusão de PIM regional e de indicadores de crédito; e monitoramento da estabilidade das estimativas ao longo do tempo.</w:t>
      </w:r>
    </w:p>
    <w:p>
      <w:r>
        <w:rPr>
          <w:b w:val="0"/>
        </w:rPr>
        <w:t>Trabalhos futuros. Estimar o efeito do juro com identificação mais forte (choques monetários de alta frequência, ou variáveis instrumentais); incluir a pesquisa regional (PIM-PF regional) e a de comércio exterior para separar exportadores de importadores no P3; estender a análise a serviços e comércio.</w:t>
      </w:r>
    </w:p>
    <w:p>
      <w:pPr>
        <w:pStyle w:val="Heading1"/>
      </w:pPr>
      <w:r>
        <w:t>8. Reprodutibilidade</w:t>
      </w:r>
    </w:p>
    <w:p>
      <w:pPr>
        <w:pStyle w:val="ListBullet"/>
      </w:pPr>
      <w:r>
        <w:t>Local: python scripts/coleta.py → python scripts/etl.py → python scripts/analise.py → python scripts/gerar_catalogo.py → python scripts/gerar_relatorio.py. Dependências em requirements.txt. Semente aleatória fixa (42).</w:t>
      </w:r>
    </w:p>
    <w:p>
      <w:pPr>
        <w:pStyle w:val="ListBullet"/>
      </w:pPr>
      <w:r>
        <w:t>Databricks: criar uma Git folder com o repositório e executar notebooks/01, 02 e 03 em ordem. Os notebooks usam catalog workspace e schema industria_juros.</w:t>
      </w:r>
    </w:p>
    <w:p>
      <w:pPr>
        <w:pStyle w:val="ListBullet"/>
      </w:pPr>
      <w:r>
        <w:t>Repositório: https://github.com/iwanolucas/MVP-Industria-Juros</w:t>
      </w:r>
    </w:p>
    <w:p>
      <w:pPr>
        <w:pStyle w:val="ListBullet"/>
      </w:pPr>
      <w:r>
        <w:t>Fontes: IBGE/SIDRA tabela 8888 (PIM-PF); BCB/SGS séries 4189, 433, 13522 e 3698.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