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0D" w:rsidRPr="007936F0" w:rsidRDefault="0098320D" w:rsidP="0098320D">
      <w:pPr>
        <w:ind w:right="10"/>
        <w:jc w:val="center"/>
        <w:rPr>
          <w:rFonts w:cs="Arial"/>
          <w:b/>
          <w:sz w:val="22"/>
          <w:lang w:val="fi-FI"/>
        </w:rPr>
      </w:pPr>
      <w:r w:rsidRPr="007936F0">
        <w:rPr>
          <w:rFonts w:cs="Arial"/>
          <w:b/>
          <w:sz w:val="22"/>
          <w:lang w:val="fi-FI"/>
        </w:rPr>
        <w:t>PETUNJUK PENGGUNAAN</w:t>
      </w:r>
    </w:p>
    <w:p w:rsidR="0098320D" w:rsidRPr="007936F0" w:rsidRDefault="0098320D" w:rsidP="0098320D">
      <w:pPr>
        <w:ind w:right="10"/>
        <w:jc w:val="center"/>
        <w:rPr>
          <w:rFonts w:cs="Arial"/>
          <w:b/>
          <w:sz w:val="22"/>
          <w:lang w:val="fi-FI"/>
        </w:rPr>
      </w:pPr>
    </w:p>
    <w:p w:rsidR="0098320D" w:rsidRPr="007936F0" w:rsidRDefault="0098320D" w:rsidP="0098320D">
      <w:pPr>
        <w:ind w:right="10"/>
        <w:jc w:val="center"/>
        <w:rPr>
          <w:rFonts w:cs="Arial"/>
          <w:b/>
          <w:sz w:val="22"/>
          <w:lang w:val="fi-FI"/>
        </w:rPr>
      </w:pPr>
    </w:p>
    <w:p w:rsidR="0098320D" w:rsidRPr="007936F0" w:rsidRDefault="0098320D" w:rsidP="0098320D">
      <w:pPr>
        <w:tabs>
          <w:tab w:val="left" w:pos="513"/>
        </w:tabs>
        <w:ind w:left="627" w:hanging="627"/>
        <w:rPr>
          <w:rFonts w:cs="Arial"/>
          <w:b/>
          <w:sz w:val="22"/>
          <w:lang w:val="fi-FI"/>
        </w:rPr>
      </w:pPr>
      <w:r w:rsidRPr="007936F0">
        <w:rPr>
          <w:rFonts w:cs="Arial"/>
          <w:b/>
          <w:sz w:val="22"/>
          <w:lang w:val="fi-FI"/>
        </w:rPr>
        <w:t>A.</w:t>
      </w:r>
      <w:r w:rsidRPr="007936F0">
        <w:rPr>
          <w:rFonts w:cs="Arial"/>
          <w:b/>
          <w:sz w:val="22"/>
          <w:lang w:val="fi-FI"/>
        </w:rPr>
        <w:tab/>
        <w:t>KETENTUAN DASAR</w:t>
      </w:r>
    </w:p>
    <w:p w:rsidR="0098320D" w:rsidRPr="007936F0" w:rsidRDefault="0098320D" w:rsidP="0098320D">
      <w:pPr>
        <w:tabs>
          <w:tab w:val="left" w:pos="627"/>
        </w:tabs>
        <w:ind w:left="627" w:hanging="627"/>
        <w:rPr>
          <w:rFonts w:cs="Arial"/>
          <w:sz w:val="22"/>
          <w:lang w:val="fi-FI"/>
        </w:rPr>
      </w:pPr>
    </w:p>
    <w:p w:rsidR="0098320D" w:rsidRPr="007936F0" w:rsidRDefault="0098320D" w:rsidP="0098320D">
      <w:pPr>
        <w:ind w:left="513"/>
        <w:rPr>
          <w:rFonts w:cs="Arial"/>
          <w:sz w:val="22"/>
          <w:lang w:val="nb-NO"/>
        </w:rPr>
      </w:pPr>
      <w:r w:rsidRPr="007936F0">
        <w:rPr>
          <w:rFonts w:cs="Arial"/>
          <w:sz w:val="22"/>
          <w:lang w:val="nb-NO"/>
        </w:rPr>
        <w:t>Setiap peserta didik wajib mengikuti program pendidikan dengan ketentuan sebagai berikut:</w:t>
      </w:r>
    </w:p>
    <w:p w:rsidR="0098320D" w:rsidRPr="007936F0" w:rsidRDefault="0098320D" w:rsidP="0098320D">
      <w:pPr>
        <w:numPr>
          <w:ilvl w:val="0"/>
          <w:numId w:val="1"/>
        </w:numPr>
        <w:jc w:val="both"/>
        <w:rPr>
          <w:rFonts w:cs="Arial"/>
          <w:sz w:val="22"/>
          <w:lang w:val="fi-FI"/>
        </w:rPr>
      </w:pPr>
      <w:r w:rsidRPr="007936F0">
        <w:rPr>
          <w:rFonts w:cs="Arial"/>
          <w:sz w:val="22"/>
          <w:lang w:val="fi-FI"/>
        </w:rPr>
        <w:t>Menempuh program pembelajaran sesuai dengan rencana pembelajaran yang disusun oleh Pendidik.</w:t>
      </w:r>
    </w:p>
    <w:p w:rsidR="0098320D" w:rsidRPr="007936F0" w:rsidRDefault="0098320D" w:rsidP="0098320D">
      <w:pPr>
        <w:numPr>
          <w:ilvl w:val="0"/>
          <w:numId w:val="1"/>
        </w:numPr>
        <w:jc w:val="both"/>
        <w:rPr>
          <w:rFonts w:cs="Arial"/>
          <w:sz w:val="22"/>
          <w:lang w:val="fi-FI"/>
        </w:rPr>
      </w:pPr>
      <w:r w:rsidRPr="007936F0">
        <w:rPr>
          <w:rFonts w:cs="Arial"/>
          <w:sz w:val="22"/>
          <w:lang w:val="fi-FI"/>
        </w:rPr>
        <w:t>Peserta didik dinyatakan ”dapat mengikuti program pembelajaran lanjutan”, apabila hasil belajar program pembelajaran sebelumnya yang terkait, untuk setiap standar kompetensi/kompetensi dasar telah dinyatakan ”kompeten” berdasarkan kriteria ketuntasan minimal.</w:t>
      </w:r>
    </w:p>
    <w:p w:rsidR="0098320D" w:rsidRPr="007936F0" w:rsidRDefault="0098320D" w:rsidP="0098320D">
      <w:pPr>
        <w:ind w:right="10"/>
        <w:jc w:val="center"/>
        <w:rPr>
          <w:rFonts w:cs="Arial"/>
          <w:b/>
          <w:sz w:val="22"/>
          <w:lang w:val="fi-FI"/>
        </w:rPr>
      </w:pPr>
    </w:p>
    <w:p w:rsidR="0098320D" w:rsidRPr="007936F0" w:rsidRDefault="0098320D" w:rsidP="0098320D">
      <w:pPr>
        <w:tabs>
          <w:tab w:val="left" w:pos="513"/>
        </w:tabs>
        <w:ind w:right="10"/>
        <w:rPr>
          <w:rFonts w:cs="Arial"/>
          <w:b/>
          <w:sz w:val="22"/>
          <w:lang w:val="fi-FI"/>
        </w:rPr>
      </w:pPr>
      <w:r w:rsidRPr="007936F0">
        <w:rPr>
          <w:rFonts w:cs="Arial"/>
          <w:b/>
          <w:sz w:val="22"/>
          <w:lang w:val="fi-FI"/>
        </w:rPr>
        <w:t xml:space="preserve">B. </w:t>
      </w:r>
      <w:r w:rsidRPr="007936F0">
        <w:rPr>
          <w:rFonts w:cs="Arial"/>
          <w:b/>
          <w:sz w:val="22"/>
          <w:lang w:val="fi-FI"/>
        </w:rPr>
        <w:tab/>
        <w:t>PENJELASAN UMUM</w:t>
      </w:r>
    </w:p>
    <w:p w:rsidR="0098320D" w:rsidRPr="007936F0" w:rsidRDefault="0098320D" w:rsidP="0098320D">
      <w:pPr>
        <w:ind w:right="10"/>
        <w:rPr>
          <w:rFonts w:cs="Arial"/>
          <w:b/>
          <w:sz w:val="22"/>
          <w:lang w:val="fi-FI"/>
        </w:rPr>
      </w:pPr>
    </w:p>
    <w:p w:rsidR="0098320D" w:rsidRPr="007936F0" w:rsidRDefault="0098320D" w:rsidP="007936F0">
      <w:pPr>
        <w:numPr>
          <w:ilvl w:val="0"/>
          <w:numId w:val="2"/>
        </w:numPr>
        <w:ind w:left="878"/>
        <w:jc w:val="both"/>
        <w:rPr>
          <w:rFonts w:cs="Arial"/>
          <w:sz w:val="22"/>
          <w:lang w:val="fi-FI"/>
        </w:rPr>
      </w:pPr>
      <w:r w:rsidRPr="007936F0">
        <w:rPr>
          <w:rFonts w:cs="Arial"/>
          <w:sz w:val="22"/>
          <w:lang w:val="fi-FI"/>
        </w:rPr>
        <w:t>Buku Laporan Hasil Belajar ini digunakan selama peserta didik masih mengikuti program pendidikan di Sekolah Menengah Kejuruan.</w:t>
      </w:r>
    </w:p>
    <w:p w:rsidR="0098320D" w:rsidRPr="007936F0" w:rsidRDefault="0098320D" w:rsidP="007936F0">
      <w:pPr>
        <w:numPr>
          <w:ilvl w:val="0"/>
          <w:numId w:val="2"/>
        </w:numPr>
        <w:ind w:left="878"/>
        <w:jc w:val="both"/>
        <w:rPr>
          <w:rFonts w:cs="Arial"/>
          <w:sz w:val="22"/>
          <w:lang w:val="fi-FI"/>
        </w:rPr>
      </w:pPr>
      <w:r w:rsidRPr="007936F0">
        <w:rPr>
          <w:rFonts w:cs="Arial"/>
          <w:sz w:val="22"/>
          <w:lang w:val="fi-FI"/>
        </w:rPr>
        <w:t>Buku Laporan Hasil Belajar ini harus dilengkapi dengan pas foto terbaru dari peserta didik yang bersangkutan, dengan ukuran 3 cm X 4 cm.</w:t>
      </w:r>
    </w:p>
    <w:p w:rsidR="0098320D" w:rsidRPr="007936F0" w:rsidRDefault="0098320D" w:rsidP="007936F0">
      <w:pPr>
        <w:numPr>
          <w:ilvl w:val="0"/>
          <w:numId w:val="2"/>
        </w:numPr>
        <w:ind w:left="878"/>
        <w:jc w:val="both"/>
        <w:rPr>
          <w:rFonts w:cs="Arial"/>
          <w:sz w:val="22"/>
          <w:lang w:val="fi-FI"/>
        </w:rPr>
      </w:pPr>
      <w:r w:rsidRPr="007936F0">
        <w:rPr>
          <w:rFonts w:cs="Arial"/>
          <w:sz w:val="22"/>
          <w:lang w:val="fi-FI"/>
        </w:rPr>
        <w:t>Apabila peserta didik pindah sekolah, maka Buku Laporan Hasil Belajar dibawa oleh peserta didik yang bersangkutan, dilampiri Kartu Hasil Studi untuk digunakan pada sekolah berikutnya (baru), dengan meninggalkan copynya di sekolah asal (lama) sebagai arsip.</w:t>
      </w:r>
    </w:p>
    <w:p w:rsidR="0098320D" w:rsidRPr="007936F0" w:rsidRDefault="0098320D" w:rsidP="007936F0">
      <w:pPr>
        <w:numPr>
          <w:ilvl w:val="0"/>
          <w:numId w:val="2"/>
        </w:numPr>
        <w:ind w:left="878"/>
        <w:jc w:val="both"/>
        <w:rPr>
          <w:rFonts w:cs="Arial"/>
          <w:sz w:val="22"/>
          <w:lang w:val="fi-FI"/>
        </w:rPr>
      </w:pPr>
      <w:r w:rsidRPr="007936F0">
        <w:rPr>
          <w:rFonts w:cs="Arial"/>
          <w:sz w:val="22"/>
          <w:lang w:val="fi-FI"/>
        </w:rPr>
        <w:t>Apabila buku Laporan Hasil Belajar peserta didik ini hilang atau rusak, maka seluruh nilai/catatan lain yang telah ditulis, disalin ulang dari Buku Induk ke dalam buku laporan hasil belajar pengganti (baru), kemudian disahkan oleh Kepala Sekolah. Pada buku laporan hasil belajar yang baru harus ditulis “Laporan Hasil Belajar Pengganti”.</w:t>
      </w:r>
    </w:p>
    <w:p w:rsidR="0098320D" w:rsidRPr="007936F0" w:rsidRDefault="0098320D" w:rsidP="007936F0">
      <w:pPr>
        <w:numPr>
          <w:ilvl w:val="0"/>
          <w:numId w:val="2"/>
        </w:numPr>
        <w:ind w:left="878"/>
        <w:jc w:val="both"/>
        <w:rPr>
          <w:rFonts w:cs="Arial"/>
          <w:sz w:val="22"/>
          <w:lang w:val="sv-SE"/>
        </w:rPr>
      </w:pPr>
      <w:r w:rsidRPr="007936F0">
        <w:rPr>
          <w:rFonts w:cs="Arial"/>
          <w:sz w:val="22"/>
          <w:lang w:val="fi-FI"/>
        </w:rPr>
        <w:t xml:space="preserve">Kriteria Ketuntasan Minimal (KKM) ditentukan dengan mempertimbangkan tingkat kemampuan rata-rata peserta didik, kompleksitas kompetensi, dan kemampuan sumberdaya pendukung dalam penyelenggaraan pembelajaran. </w:t>
      </w:r>
    </w:p>
    <w:p w:rsidR="0098320D" w:rsidRPr="007936F0" w:rsidRDefault="0098320D" w:rsidP="007936F0">
      <w:pPr>
        <w:numPr>
          <w:ilvl w:val="0"/>
          <w:numId w:val="2"/>
        </w:numPr>
        <w:ind w:left="878"/>
        <w:jc w:val="both"/>
        <w:rPr>
          <w:rFonts w:cs="Arial"/>
          <w:sz w:val="22"/>
          <w:lang w:val="sv-SE"/>
        </w:rPr>
      </w:pPr>
      <w:r w:rsidRPr="007936F0">
        <w:rPr>
          <w:rFonts w:cs="Arial"/>
          <w:sz w:val="22"/>
          <w:lang w:val="sv-SE"/>
        </w:rPr>
        <w:t>Kolom Nilai Hasil Belajar terdiri atas sub-kolom Angka, Huruf, Predikat, dan Deskripsi Kemajuan Belajar. Nilai ditulis dalam dua digit angka dan dalam huruf, diperkuat dengan pernyataan predikat, serta uraian atau deskripsi kemajuan belajar.</w:t>
      </w:r>
    </w:p>
    <w:p w:rsidR="0098320D" w:rsidRPr="007936F0" w:rsidRDefault="0098320D" w:rsidP="007936F0">
      <w:pPr>
        <w:numPr>
          <w:ilvl w:val="0"/>
          <w:numId w:val="2"/>
        </w:numPr>
        <w:jc w:val="both"/>
        <w:rPr>
          <w:rFonts w:cs="Arial"/>
          <w:sz w:val="22"/>
          <w:lang w:val="sv-SE"/>
        </w:rPr>
      </w:pPr>
      <w:r w:rsidRPr="007936F0">
        <w:rPr>
          <w:rFonts w:cs="Arial"/>
          <w:sz w:val="22"/>
          <w:lang w:val="sv-SE"/>
        </w:rPr>
        <w:t>Kualifikasi Predikat perolehan nilai ditetapkan dalam tabel berikut:</w:t>
      </w:r>
    </w:p>
    <w:p w:rsidR="007936F0" w:rsidRPr="007936F0" w:rsidRDefault="0098320D" w:rsidP="007936F0">
      <w:pPr>
        <w:tabs>
          <w:tab w:val="left" w:pos="855"/>
          <w:tab w:val="left" w:pos="912"/>
        </w:tabs>
        <w:ind w:left="513" w:hanging="513"/>
        <w:rPr>
          <w:rFonts w:cs="Arial"/>
          <w:b/>
          <w:sz w:val="22"/>
          <w:lang w:val="sv-SE"/>
        </w:rPr>
        <w:sectPr w:rsidR="007936F0" w:rsidRPr="007936F0" w:rsidSect="0098320D">
          <w:pgSz w:w="11909" w:h="16834" w:code="9"/>
          <w:pgMar w:top="1440" w:right="1440" w:bottom="1440" w:left="1440" w:header="706" w:footer="706" w:gutter="0"/>
          <w:cols w:space="708"/>
          <w:docGrid w:linePitch="360"/>
        </w:sectPr>
      </w:pPr>
      <w:r w:rsidRPr="007936F0">
        <w:rPr>
          <w:rFonts w:cs="Arial"/>
          <w:b/>
          <w:sz w:val="22"/>
          <w:lang w:val="sv-SE"/>
        </w:rPr>
        <w:tab/>
      </w:r>
    </w:p>
    <w:p w:rsidR="0098320D" w:rsidRPr="007936F0" w:rsidRDefault="0098320D" w:rsidP="007936F0">
      <w:pPr>
        <w:ind w:left="1224" w:hanging="324"/>
        <w:rPr>
          <w:rFonts w:cs="Arial"/>
          <w:sz w:val="22"/>
          <w:lang w:val="nl-NL"/>
        </w:rPr>
      </w:pPr>
      <w:r w:rsidRPr="007936F0">
        <w:rPr>
          <w:rFonts w:cs="Arial"/>
          <w:sz w:val="22"/>
          <w:lang w:val="nl-NL"/>
        </w:rPr>
        <w:lastRenderedPageBreak/>
        <w:t xml:space="preserve">a. </w:t>
      </w:r>
      <w:r w:rsidR="007936F0" w:rsidRPr="007936F0">
        <w:rPr>
          <w:rFonts w:cs="Arial"/>
          <w:sz w:val="22"/>
          <w:lang w:val="nl-NL"/>
        </w:rPr>
        <w:t xml:space="preserve"> </w:t>
      </w:r>
      <w:r w:rsidRPr="007936F0">
        <w:rPr>
          <w:rFonts w:cs="Arial"/>
          <w:sz w:val="22"/>
          <w:lang w:val="nl-NL"/>
        </w:rPr>
        <w:t>Nilai dan Predikat untuk komponen Normatif dan Adaptif,</w:t>
      </w:r>
    </w:p>
    <w:p w:rsidR="0098320D" w:rsidRPr="007936F0" w:rsidRDefault="0098320D" w:rsidP="007936F0">
      <w:pPr>
        <w:tabs>
          <w:tab w:val="left" w:pos="627"/>
        </w:tabs>
        <w:ind w:left="513" w:hanging="513"/>
        <w:jc w:val="center"/>
        <w:rPr>
          <w:rFonts w:cs="Arial"/>
          <w:sz w:val="22"/>
          <w:lang w:val="nl-NL"/>
        </w:rPr>
      </w:pPr>
    </w:p>
    <w:tbl>
      <w:tblPr>
        <w:tblStyle w:val="TableGrid"/>
        <w:tblW w:w="3123" w:type="dxa"/>
        <w:tblInd w:w="1305" w:type="dxa"/>
        <w:tblLook w:val="01E0"/>
      </w:tblPr>
      <w:tblGrid>
        <w:gridCol w:w="1311"/>
        <w:gridCol w:w="1812"/>
      </w:tblGrid>
      <w:tr w:rsidR="0098320D" w:rsidRPr="007936F0" w:rsidTr="007936F0">
        <w:trPr>
          <w:trHeight w:val="408"/>
        </w:trPr>
        <w:tc>
          <w:tcPr>
            <w:tcW w:w="1311" w:type="dxa"/>
            <w:vAlign w:val="center"/>
          </w:tcPr>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Nilai</w:t>
            </w:r>
          </w:p>
        </w:tc>
        <w:tc>
          <w:tcPr>
            <w:tcW w:w="1812" w:type="dxa"/>
            <w:vAlign w:val="center"/>
          </w:tcPr>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Predikat</w:t>
            </w:r>
          </w:p>
        </w:tc>
      </w:tr>
      <w:tr w:rsidR="0098320D" w:rsidRPr="007936F0" w:rsidTr="007936F0">
        <w:trPr>
          <w:trHeight w:val="1247"/>
        </w:trPr>
        <w:tc>
          <w:tcPr>
            <w:tcW w:w="1311" w:type="dxa"/>
          </w:tcPr>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 xml:space="preserve">  90 – 100</w:t>
            </w:r>
          </w:p>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75 – 89</w:t>
            </w:r>
          </w:p>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60 – 74</w:t>
            </w:r>
          </w:p>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 xml:space="preserve">  0 – 59</w:t>
            </w:r>
          </w:p>
        </w:tc>
        <w:tc>
          <w:tcPr>
            <w:tcW w:w="1812" w:type="dxa"/>
          </w:tcPr>
          <w:p w:rsidR="0098320D" w:rsidRPr="007936F0" w:rsidRDefault="0098320D" w:rsidP="007936F0">
            <w:pPr>
              <w:tabs>
                <w:tab w:val="left" w:pos="627"/>
              </w:tabs>
              <w:ind w:left="513" w:hanging="513"/>
              <w:jc w:val="center"/>
              <w:rPr>
                <w:rFonts w:ascii="Arial" w:hAnsi="Arial" w:cs="Arial"/>
                <w:sz w:val="22"/>
                <w:szCs w:val="22"/>
              </w:rPr>
            </w:pPr>
            <w:r w:rsidRPr="007936F0">
              <w:rPr>
                <w:rFonts w:ascii="Arial" w:hAnsi="Arial" w:cs="Arial"/>
                <w:sz w:val="22"/>
                <w:szCs w:val="22"/>
              </w:rPr>
              <w:t>Amat Baik</w:t>
            </w:r>
          </w:p>
          <w:p w:rsidR="0098320D" w:rsidRPr="007936F0" w:rsidRDefault="0098320D" w:rsidP="007936F0">
            <w:pPr>
              <w:tabs>
                <w:tab w:val="left" w:pos="627"/>
              </w:tabs>
              <w:ind w:left="513" w:hanging="513"/>
              <w:jc w:val="center"/>
              <w:rPr>
                <w:rFonts w:ascii="Arial" w:hAnsi="Arial" w:cs="Arial"/>
                <w:sz w:val="22"/>
                <w:szCs w:val="22"/>
              </w:rPr>
            </w:pPr>
            <w:r w:rsidRPr="007936F0">
              <w:rPr>
                <w:rFonts w:ascii="Arial" w:hAnsi="Arial" w:cs="Arial"/>
                <w:sz w:val="22"/>
                <w:szCs w:val="22"/>
              </w:rPr>
              <w:t>Baik</w:t>
            </w:r>
          </w:p>
          <w:p w:rsidR="0098320D" w:rsidRPr="007936F0" w:rsidRDefault="0098320D" w:rsidP="007936F0">
            <w:pPr>
              <w:tabs>
                <w:tab w:val="left" w:pos="627"/>
              </w:tabs>
              <w:ind w:left="513" w:hanging="513"/>
              <w:jc w:val="center"/>
              <w:rPr>
                <w:rFonts w:ascii="Arial" w:hAnsi="Arial" w:cs="Arial"/>
                <w:sz w:val="22"/>
                <w:szCs w:val="22"/>
              </w:rPr>
            </w:pPr>
            <w:r w:rsidRPr="007936F0">
              <w:rPr>
                <w:rFonts w:ascii="Arial" w:hAnsi="Arial" w:cs="Arial"/>
                <w:sz w:val="22"/>
                <w:szCs w:val="22"/>
              </w:rPr>
              <w:t>Cukup</w:t>
            </w:r>
          </w:p>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Kurang</w:t>
            </w:r>
          </w:p>
        </w:tc>
      </w:tr>
    </w:tbl>
    <w:p w:rsidR="0098320D" w:rsidRPr="007936F0" w:rsidRDefault="0098320D" w:rsidP="007936F0">
      <w:pPr>
        <w:tabs>
          <w:tab w:val="left" w:pos="627"/>
        </w:tabs>
        <w:ind w:left="513" w:firstLine="399"/>
        <w:rPr>
          <w:rFonts w:cs="Arial"/>
          <w:sz w:val="22"/>
          <w:lang w:val="sv-SE"/>
        </w:rPr>
      </w:pPr>
    </w:p>
    <w:p w:rsidR="0098320D" w:rsidRPr="007936F0" w:rsidRDefault="0098320D" w:rsidP="007936F0">
      <w:pPr>
        <w:ind w:left="630" w:hanging="270"/>
        <w:rPr>
          <w:rFonts w:cs="Arial"/>
          <w:sz w:val="22"/>
          <w:lang w:val="sv-SE"/>
        </w:rPr>
      </w:pPr>
      <w:r w:rsidRPr="007936F0">
        <w:rPr>
          <w:rFonts w:cs="Arial"/>
          <w:sz w:val="22"/>
          <w:lang w:val="sv-SE"/>
        </w:rPr>
        <w:lastRenderedPageBreak/>
        <w:t>b. Nilai dan Predikat untuk komponen Produktif,</w:t>
      </w:r>
    </w:p>
    <w:p w:rsidR="0098320D" w:rsidRPr="007936F0" w:rsidRDefault="0098320D" w:rsidP="007936F0">
      <w:pPr>
        <w:tabs>
          <w:tab w:val="left" w:pos="627"/>
        </w:tabs>
        <w:ind w:left="513" w:firstLine="399"/>
        <w:rPr>
          <w:rFonts w:cs="Arial"/>
          <w:sz w:val="22"/>
          <w:lang w:val="sv-SE"/>
        </w:rPr>
      </w:pPr>
    </w:p>
    <w:tbl>
      <w:tblPr>
        <w:tblStyle w:val="TableGrid"/>
        <w:tblW w:w="3363" w:type="dxa"/>
        <w:tblInd w:w="1305" w:type="dxa"/>
        <w:tblLook w:val="01E0"/>
      </w:tblPr>
      <w:tblGrid>
        <w:gridCol w:w="1311"/>
        <w:gridCol w:w="2052"/>
      </w:tblGrid>
      <w:tr w:rsidR="0098320D" w:rsidRPr="007936F0" w:rsidTr="002E0B3B">
        <w:trPr>
          <w:trHeight w:val="434"/>
        </w:trPr>
        <w:tc>
          <w:tcPr>
            <w:tcW w:w="1311" w:type="dxa"/>
            <w:vAlign w:val="center"/>
          </w:tcPr>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Nilai</w:t>
            </w:r>
          </w:p>
        </w:tc>
        <w:tc>
          <w:tcPr>
            <w:tcW w:w="2052" w:type="dxa"/>
            <w:vAlign w:val="center"/>
          </w:tcPr>
          <w:p w:rsidR="0098320D" w:rsidRPr="007936F0" w:rsidRDefault="0098320D" w:rsidP="007936F0">
            <w:pPr>
              <w:tabs>
                <w:tab w:val="left" w:pos="627"/>
              </w:tabs>
              <w:ind w:left="513" w:hanging="513"/>
              <w:jc w:val="center"/>
              <w:rPr>
                <w:rFonts w:ascii="Arial" w:hAnsi="Arial" w:cs="Arial"/>
                <w:sz w:val="22"/>
                <w:szCs w:val="22"/>
                <w:lang w:val="sv-SE"/>
              </w:rPr>
            </w:pPr>
            <w:r w:rsidRPr="007936F0">
              <w:rPr>
                <w:rFonts w:ascii="Arial" w:hAnsi="Arial" w:cs="Arial"/>
                <w:sz w:val="22"/>
                <w:szCs w:val="22"/>
                <w:lang w:val="sv-SE"/>
              </w:rPr>
              <w:t>Predikat</w:t>
            </w:r>
          </w:p>
        </w:tc>
      </w:tr>
      <w:tr w:rsidR="0098320D" w:rsidRPr="007936F0" w:rsidTr="002E0B3B">
        <w:trPr>
          <w:trHeight w:val="778"/>
        </w:trPr>
        <w:tc>
          <w:tcPr>
            <w:tcW w:w="1311" w:type="dxa"/>
          </w:tcPr>
          <w:p w:rsidR="0098320D" w:rsidRPr="007936F0" w:rsidRDefault="008861E2" w:rsidP="007936F0">
            <w:pPr>
              <w:tabs>
                <w:tab w:val="left" w:pos="627"/>
              </w:tabs>
              <w:ind w:left="513" w:hanging="513"/>
              <w:jc w:val="center"/>
              <w:rPr>
                <w:rFonts w:ascii="Arial" w:hAnsi="Arial" w:cs="Arial"/>
                <w:sz w:val="22"/>
                <w:szCs w:val="22"/>
                <w:lang w:val="sv-SE"/>
              </w:rPr>
            </w:pPr>
            <w:r>
              <w:rPr>
                <w:rFonts w:ascii="Arial" w:hAnsi="Arial" w:cs="Arial"/>
                <w:sz w:val="22"/>
                <w:szCs w:val="22"/>
                <w:lang w:val="id-ID"/>
              </w:rPr>
              <w:t>≥ KKM</w:t>
            </w:r>
            <w:r w:rsidR="0098320D" w:rsidRPr="007936F0">
              <w:rPr>
                <w:rFonts w:ascii="Arial" w:hAnsi="Arial" w:cs="Arial"/>
                <w:sz w:val="22"/>
                <w:szCs w:val="22"/>
                <w:lang w:val="sv-SE"/>
              </w:rPr>
              <w:t xml:space="preserve"> </w:t>
            </w:r>
          </w:p>
          <w:p w:rsidR="0098320D" w:rsidRPr="008861E2" w:rsidRDefault="008861E2" w:rsidP="007936F0">
            <w:pPr>
              <w:tabs>
                <w:tab w:val="left" w:pos="627"/>
              </w:tabs>
              <w:ind w:left="513" w:hanging="513"/>
              <w:jc w:val="center"/>
              <w:rPr>
                <w:rFonts w:ascii="Arial" w:hAnsi="Arial" w:cs="Arial"/>
                <w:sz w:val="22"/>
                <w:szCs w:val="22"/>
                <w:lang w:val="id-ID"/>
              </w:rPr>
            </w:pPr>
            <w:r>
              <w:rPr>
                <w:rFonts w:ascii="Arial" w:hAnsi="Arial" w:cs="Arial"/>
                <w:sz w:val="22"/>
                <w:szCs w:val="22"/>
                <w:lang w:val="id-ID"/>
              </w:rPr>
              <w:t>&lt; KKM</w:t>
            </w:r>
          </w:p>
        </w:tc>
        <w:tc>
          <w:tcPr>
            <w:tcW w:w="2052" w:type="dxa"/>
          </w:tcPr>
          <w:p w:rsidR="0098320D" w:rsidRPr="007936F0" w:rsidRDefault="0098320D" w:rsidP="007936F0">
            <w:pPr>
              <w:tabs>
                <w:tab w:val="left" w:pos="627"/>
              </w:tabs>
              <w:ind w:left="513" w:hanging="513"/>
              <w:jc w:val="center"/>
              <w:rPr>
                <w:rFonts w:ascii="Arial" w:hAnsi="Arial" w:cs="Arial"/>
                <w:sz w:val="22"/>
                <w:szCs w:val="22"/>
              </w:rPr>
            </w:pPr>
            <w:r w:rsidRPr="007936F0">
              <w:rPr>
                <w:rFonts w:ascii="Arial" w:hAnsi="Arial" w:cs="Arial"/>
                <w:sz w:val="22"/>
                <w:szCs w:val="22"/>
              </w:rPr>
              <w:t>Kompeten</w:t>
            </w:r>
          </w:p>
          <w:p w:rsidR="0098320D" w:rsidRPr="007936F0" w:rsidRDefault="0098320D" w:rsidP="007936F0">
            <w:pPr>
              <w:tabs>
                <w:tab w:val="left" w:pos="627"/>
              </w:tabs>
              <w:ind w:left="513" w:hanging="513"/>
              <w:jc w:val="center"/>
              <w:rPr>
                <w:rFonts w:ascii="Arial" w:hAnsi="Arial" w:cs="Arial"/>
                <w:sz w:val="22"/>
                <w:szCs w:val="22"/>
              </w:rPr>
            </w:pPr>
            <w:r w:rsidRPr="007936F0">
              <w:rPr>
                <w:rFonts w:ascii="Arial" w:hAnsi="Arial" w:cs="Arial"/>
                <w:sz w:val="22"/>
                <w:szCs w:val="22"/>
              </w:rPr>
              <w:t xml:space="preserve">Belum kompeten </w:t>
            </w:r>
          </w:p>
        </w:tc>
      </w:tr>
    </w:tbl>
    <w:p w:rsidR="0098320D" w:rsidRPr="007936F0" w:rsidRDefault="0098320D" w:rsidP="007936F0">
      <w:pPr>
        <w:tabs>
          <w:tab w:val="left" w:pos="627"/>
        </w:tabs>
        <w:ind w:left="513" w:hanging="513"/>
        <w:jc w:val="center"/>
        <w:rPr>
          <w:rFonts w:cs="Arial"/>
          <w:sz w:val="22"/>
          <w:lang w:val="sv-SE"/>
        </w:rPr>
      </w:pPr>
    </w:p>
    <w:p w:rsidR="007936F0" w:rsidRPr="007936F0" w:rsidRDefault="007936F0" w:rsidP="007936F0">
      <w:pPr>
        <w:tabs>
          <w:tab w:val="left" w:pos="627"/>
        </w:tabs>
        <w:ind w:left="513" w:hanging="513"/>
        <w:jc w:val="center"/>
        <w:rPr>
          <w:rFonts w:cs="Arial"/>
          <w:sz w:val="22"/>
          <w:lang w:val="sv-SE"/>
        </w:rPr>
      </w:pPr>
    </w:p>
    <w:p w:rsidR="007936F0" w:rsidRPr="007936F0" w:rsidRDefault="007936F0" w:rsidP="007936F0">
      <w:pPr>
        <w:numPr>
          <w:ilvl w:val="0"/>
          <w:numId w:val="2"/>
        </w:numPr>
        <w:jc w:val="both"/>
        <w:rPr>
          <w:rFonts w:cs="Arial"/>
          <w:sz w:val="22"/>
          <w:lang w:val="sv-SE"/>
        </w:rPr>
        <w:sectPr w:rsidR="007936F0" w:rsidRPr="007936F0" w:rsidSect="007936F0">
          <w:type w:val="continuous"/>
          <w:pgSz w:w="11909" w:h="16834" w:code="9"/>
          <w:pgMar w:top="1440" w:right="1440" w:bottom="1440" w:left="1440" w:header="706" w:footer="706" w:gutter="0"/>
          <w:cols w:num="2" w:space="29"/>
          <w:docGrid w:linePitch="360"/>
        </w:sectPr>
      </w:pPr>
    </w:p>
    <w:p w:rsidR="0098320D" w:rsidRPr="007936F0" w:rsidRDefault="0098320D" w:rsidP="007936F0">
      <w:pPr>
        <w:numPr>
          <w:ilvl w:val="0"/>
          <w:numId w:val="2"/>
        </w:numPr>
        <w:jc w:val="both"/>
        <w:rPr>
          <w:rFonts w:cs="Arial"/>
          <w:sz w:val="22"/>
          <w:lang w:val="sv-SE"/>
        </w:rPr>
      </w:pPr>
      <w:r w:rsidRPr="007936F0">
        <w:rPr>
          <w:rFonts w:cs="Arial"/>
          <w:sz w:val="22"/>
          <w:lang w:val="sv-SE"/>
        </w:rPr>
        <w:lastRenderedPageBreak/>
        <w:t>Nilai mata pelajaran/standar kompetensi yang dimasukkan dalam buku Laporan Hasil Belajar adalah nilai terendah dari kompetensi dasar dalam mata pelajaran/standar kompetensi.</w:t>
      </w:r>
    </w:p>
    <w:p w:rsidR="00FA19AD" w:rsidRPr="007936F0" w:rsidRDefault="0098320D" w:rsidP="0098320D">
      <w:pPr>
        <w:numPr>
          <w:ilvl w:val="0"/>
          <w:numId w:val="2"/>
        </w:numPr>
        <w:spacing w:before="120"/>
        <w:jc w:val="both"/>
        <w:rPr>
          <w:sz w:val="22"/>
        </w:rPr>
      </w:pPr>
      <w:r w:rsidRPr="007936F0">
        <w:rPr>
          <w:rFonts w:cs="Arial"/>
          <w:sz w:val="22"/>
          <w:lang w:val="sv-SE"/>
        </w:rPr>
        <w:t>Kolom kegiatan belajar di dunia usaha/industri dan instansi relevan hanya diisi bagi peserta didik yang memiliki surat keterangan atau sertifikat dari dunia usaha/industri atau instansi yang relevan.</w:t>
      </w:r>
    </w:p>
    <w:sectPr w:rsidR="00FA19AD" w:rsidRPr="007936F0" w:rsidSect="007936F0">
      <w:type w:val="continuous"/>
      <w:pgSz w:w="11909" w:h="16834" w:code="9"/>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66EA2"/>
    <w:multiLevelType w:val="hybridMultilevel"/>
    <w:tmpl w:val="FCFCE50C"/>
    <w:lvl w:ilvl="0" w:tplc="43B607FC">
      <w:start w:val="1"/>
      <w:numFmt w:val="decimal"/>
      <w:lvlText w:val="%1."/>
      <w:lvlJc w:val="left"/>
      <w:pPr>
        <w:tabs>
          <w:tab w:val="num" w:pos="873"/>
        </w:tabs>
        <w:ind w:left="873" w:hanging="36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nsid w:val="256B3CE8"/>
    <w:multiLevelType w:val="hybridMultilevel"/>
    <w:tmpl w:val="8A348F92"/>
    <w:lvl w:ilvl="0" w:tplc="43B607FC">
      <w:start w:val="1"/>
      <w:numFmt w:val="decimal"/>
      <w:lvlText w:val="%1."/>
      <w:lvlJc w:val="left"/>
      <w:pPr>
        <w:tabs>
          <w:tab w:val="num" w:pos="873"/>
        </w:tabs>
        <w:ind w:left="87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displayVerticalDrawingGridEvery w:val="2"/>
  <w:characterSpacingControl w:val="doNotCompress"/>
  <w:compat/>
  <w:rsids>
    <w:rsidRoot w:val="0098320D"/>
    <w:rsid w:val="00016DCB"/>
    <w:rsid w:val="0028064C"/>
    <w:rsid w:val="006A2A01"/>
    <w:rsid w:val="007936F0"/>
    <w:rsid w:val="00850849"/>
    <w:rsid w:val="008861E2"/>
    <w:rsid w:val="0098320D"/>
    <w:rsid w:val="00B37CC4"/>
    <w:rsid w:val="00FA19A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8320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320D"/>
    <w:rPr>
      <w:rFonts w:ascii="Tahoma" w:hAnsi="Tahoma" w:cs="Tahoma"/>
      <w:sz w:val="16"/>
      <w:szCs w:val="16"/>
    </w:rPr>
  </w:style>
  <w:style w:type="character" w:customStyle="1" w:styleId="BalloonTextChar">
    <w:name w:val="Balloon Text Char"/>
    <w:basedOn w:val="DefaultParagraphFont"/>
    <w:link w:val="BalloonText"/>
    <w:uiPriority w:val="99"/>
    <w:semiHidden/>
    <w:rsid w:val="00983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C1E09-E64C-407A-A64B-6987B748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chan_smk</dc:creator>
  <cp:lastModifiedBy>smk1</cp:lastModifiedBy>
  <cp:revision>2</cp:revision>
  <cp:lastPrinted>2016-12-16T01:24:00Z</cp:lastPrinted>
  <dcterms:created xsi:type="dcterms:W3CDTF">2016-12-16T01:58:00Z</dcterms:created>
  <dcterms:modified xsi:type="dcterms:W3CDTF">2016-12-16T01:58:00Z</dcterms:modified>
</cp:coreProperties>
</file>