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Calibri" w:cs="Calibri" w:eastAsia="Calibri" w:hAnsi="Calibri"/>
          <w:b/>
          <w:bCs/>
          <w:color w:val="000000"/>
          <w:sz w:val="40"/>
          <w:szCs w:val="40"/>
        </w:rPr>
        <w:t xml:space="preserve">Coming to the platform</w:t>
      </w:r>
    </w:p>
    <w:p>
      <w:pPr>
        <w:spacing w:after="150"/>
      </w:pPr>
      <w:r>
        <w:rPr>
          <w:rFonts w:ascii="Calibri" w:cs="Calibri" w:eastAsia="Calibri" w:hAnsi="Calibri"/>
          <w:b w:val="false"/>
          <w:bCs w:val="false"/>
          <w:i w:val="false"/>
          <w:iCs w:val="false"/>
          <w:color w:val="000000"/>
          <w:sz w:val="22"/>
          <w:szCs w:val="22"/>
        </w:rPr>
        <w:t xml:space="preserve">Four additions that put the agency’s method into the tool itself rather than leaving it in people’s heads. They are listed in the order they are worth building, which is not the order they were thought of.</w:t>
      </w:r>
    </w:p>
    <w:p>
      <w:pPr>
        <w:spacing w:after="150"/>
      </w:pPr>
      <w:r>
        <w:rPr>
          <w:rFonts w:ascii="Calibri" w:cs="Calibri" w:eastAsia="Calibri" w:hAnsi="Calibri"/>
          <w:b w:val="false"/>
          <w:bCs w:val="false"/>
          <w:i w:val="false"/>
          <w:iCs w:val="false"/>
          <w:color w:val="000000"/>
          <w:sz w:val="22"/>
          <w:szCs w:val="22"/>
        </w:rPr>
        <w:t xml:space="preserve">Each depends on a client knowledge folder: tone of voice, features mapped to benefits, target audience, and the client’s own approved work. That folder is the shared foundation, so it is worth building first and building properly.</w:t>
      </w:r>
    </w:p>
    <w:p>
      <w:pPr>
        <w:pStyle w:val="Heading1"/>
        <w:spacing w:after="160" w:before="400"/>
      </w:pPr>
      <w:r>
        <w:rPr>
          <w:rFonts w:ascii="Calibri" w:cs="Calibri" w:eastAsia="Calibri" w:hAnsi="Calibri"/>
          <w:b/>
          <w:bCs/>
          <w:color w:val="000000"/>
          <w:sz w:val="40"/>
          <w:szCs w:val="40"/>
        </w:rPr>
        <w:t xml:space="preserve">1. Pre-flight check</w:t>
      </w:r>
    </w:p>
    <w:p>
      <w:pPr>
        <w:spacing w:after="150"/>
      </w:pPr>
      <w:r>
        <w:rPr>
          <w:rFonts w:ascii="Calibri" w:cs="Calibri" w:eastAsia="Calibri" w:hAnsi="Calibri"/>
          <w:b w:val="false"/>
          <w:bCs w:val="false"/>
          <w:i w:val="false"/>
          <w:iCs w:val="false"/>
          <w:color w:val="000000"/>
          <w:sz w:val="22"/>
          <w:szCs w:val="22"/>
        </w:rPr>
        <w:t xml:space="preserve">One pass over a piece before it leaves the building.</w:t>
      </w:r>
    </w:p>
    <w:p>
      <w:pPr>
        <w:spacing w:after="150"/>
      </w:pPr>
      <w:r>
        <w:rPr>
          <w:rFonts w:ascii="Calibri" w:cs="Calibri" w:eastAsia="Calibri" w:hAnsi="Calibri"/>
          <w:b/>
          <w:bCs/>
          <w:color w:val="000000"/>
          <w:sz w:val="22"/>
          <w:szCs w:val="22"/>
        </w:rPr>
        <w:t xml:space="preserve">What it does  </w:t>
      </w:r>
      <w:r>
        <w:rPr>
          <w:rFonts w:ascii="Calibri" w:cs="Calibri" w:eastAsia="Calibri" w:hAnsi="Calibri"/>
          <w:b w:val="false"/>
          <w:bCs w:val="false"/>
          <w:color w:val="000000"/>
          <w:sz w:val="22"/>
          <w:szCs w:val="22"/>
        </w:rPr>
        <w:t xml:space="preserve">A single check, run from the Share action, that reads the creative and its brief and reports back on tone, WIIFM, claims, character limits and repetition across the month. Anything it finds arrives as a suggested edit in the existing comment flow — accept, edit or dismiss, versioned, never applied on its own.</w:t>
      </w:r>
    </w:p>
    <w:p>
      <w:pPr>
        <w:spacing w:after="150"/>
      </w:pPr>
      <w:r>
        <w:rPr>
          <w:rFonts w:ascii="Calibri" w:cs="Calibri" w:eastAsia="Calibri" w:hAnsi="Calibri"/>
          <w:b/>
          <w:bCs/>
          <w:color w:val="000000"/>
          <w:sz w:val="22"/>
          <w:szCs w:val="22"/>
        </w:rPr>
        <w:t xml:space="preserve">Why it is first  </w:t>
      </w:r>
      <w:r>
        <w:rPr>
          <w:rFonts w:ascii="Calibri" w:cs="Calibri" w:eastAsia="Calibri" w:hAnsi="Calibri"/>
          <w:b w:val="false"/>
          <w:bCs w:val="false"/>
          <w:color w:val="000000"/>
          <w:sz w:val="22"/>
          <w:szCs w:val="22"/>
        </w:rPr>
        <w:t xml:space="preserve">The moment work goes to a client is the moment a mistake becomes expensive. A check at that point catches everything a per-field check would, and catches it when someone is paying attention. A button beside the caption field gets ignored; a gate on Share does not.</w:t>
      </w:r>
    </w:p>
    <w:p>
      <w:pPr>
        <w:spacing w:after="150"/>
      </w:pPr>
      <w:r>
        <w:rPr>
          <w:rFonts w:ascii="Calibri" w:cs="Calibri" w:eastAsia="Calibri" w:hAnsi="Calibri"/>
          <w:b/>
          <w:bCs/>
          <w:color w:val="000000"/>
          <w:sz w:val="22"/>
          <w:szCs w:val="22"/>
        </w:rPr>
        <w:t xml:space="preserve">What it checks  </w:t>
      </w:r>
      <w:r>
        <w:rPr>
          <w:rFonts w:ascii="Calibri" w:cs="Calibri" w:eastAsia="Calibri" w:hAnsi="Calibri"/>
          <w:b w:val="false"/>
          <w:bCs w:val="false"/>
          <w:color w:val="000000"/>
          <w:sz w:val="22"/>
          <w:szCs w:val="22"/>
        </w:rPr>
        <w:t xml:space="preserve">Tone against the client’s approved work. Whether the copy delivers a WIIFM at all, and whether it matches the one the brief claims. Numeric and superlative claims against the knowledge folder. Platform character limits. Whether this piece repeats a hook or structure used elsewhere in the same month.</w:t>
      </w:r>
    </w:p>
    <w:p>
      <w:pPr>
        <w:spacing w:after="150"/>
      </w:pPr>
      <w:r>
        <w:rPr>
          <w:rFonts w:ascii="Calibri" w:cs="Calibri" w:eastAsia="Calibri" w:hAnsi="Calibri"/>
          <w:b/>
          <w:bCs/>
          <w:color w:val="000000"/>
          <w:sz w:val="22"/>
          <w:szCs w:val="22"/>
        </w:rPr>
        <w:t xml:space="preserve">What it needs  </w:t>
      </w:r>
      <w:r>
        <w:rPr>
          <w:rFonts w:ascii="Calibri" w:cs="Calibri" w:eastAsia="Calibri" w:hAnsi="Calibri"/>
          <w:b w:val="false"/>
          <w:bCs w:val="false"/>
          <w:color w:val="000000"/>
          <w:sz w:val="22"/>
          <w:szCs w:val="22"/>
        </w:rPr>
        <w:t xml:space="preserve">The knowledge folder, and the approach notes already captured on every brief.</w:t>
      </w:r>
    </w:p>
    <w:p>
      <w:pPr>
        <w:pBdr>
          <w:bottom w:val="single" w:sz="6" w:color="D4D9DF"/>
        </w:pBdr>
        <w:spacing w:after="200" w:before="60"/>
      </w:pPr>
    </w:p>
    <w:p>
      <w:pPr>
        <w:pStyle w:val="Heading1"/>
        <w:spacing w:after="160" w:before="400"/>
      </w:pPr>
      <w:r>
        <w:rPr>
          <w:rFonts w:ascii="Calibri" w:cs="Calibri" w:eastAsia="Calibri" w:hAnsi="Calibri"/>
          <w:b/>
          <w:bCs/>
          <w:color w:val="000000"/>
          <w:sz w:val="40"/>
          <w:szCs w:val="40"/>
        </w:rPr>
        <w:t xml:space="preserve">2. Brief to first draft</w:t>
      </w:r>
    </w:p>
    <w:p>
      <w:pPr>
        <w:spacing w:after="150"/>
      </w:pPr>
      <w:r>
        <w:rPr>
          <w:rFonts w:ascii="Calibri" w:cs="Calibri" w:eastAsia="Calibri" w:hAnsi="Calibri"/>
          <w:b w:val="false"/>
          <w:bCs w:val="false"/>
          <w:i w:val="false"/>
          <w:iCs w:val="false"/>
          <w:color w:val="000000"/>
          <w:sz w:val="22"/>
          <w:szCs w:val="22"/>
        </w:rPr>
        <w:t xml:space="preserve">Copy options generated from the brief, not from a blank box.</w:t>
      </w:r>
    </w:p>
    <w:p>
      <w:pPr>
        <w:spacing w:after="150"/>
      </w:pPr>
      <w:r>
        <w:rPr>
          <w:rFonts w:ascii="Calibri" w:cs="Calibri" w:eastAsia="Calibri" w:hAnsi="Calibri"/>
          <w:b/>
          <w:bCs/>
          <w:color w:val="000000"/>
          <w:sz w:val="22"/>
          <w:szCs w:val="22"/>
        </w:rPr>
        <w:t xml:space="preserve">What it does  </w:t>
      </w:r>
      <w:r>
        <w:rPr>
          <w:rFonts w:ascii="Calibri" w:cs="Calibri" w:eastAsia="Calibri" w:hAnsi="Calibri"/>
          <w:b w:val="false"/>
          <w:bCs w:val="false"/>
          <w:color w:val="000000"/>
          <w:sz w:val="22"/>
          <w:szCs w:val="22"/>
        </w:rPr>
        <w:t xml:space="preserve">Given a concept, an approach note and the client knowledge, produce two or three caption options and the text that sits on the artwork. They land as copy variants in the existing versioning, so nothing is overwritten and everything is attributable.</w:t>
      </w:r>
    </w:p>
    <w:p>
      <w:pPr>
        <w:spacing w:after="150"/>
      </w:pPr>
      <w:r>
        <w:rPr>
          <w:rFonts w:ascii="Calibri" w:cs="Calibri" w:eastAsia="Calibri" w:hAnsi="Calibri"/>
          <w:b/>
          <w:bCs/>
          <w:color w:val="000000"/>
          <w:sz w:val="22"/>
          <w:szCs w:val="22"/>
        </w:rPr>
        <w:t xml:space="preserve">Why it matters here  </w:t>
      </w:r>
      <w:r>
        <w:rPr>
          <w:rFonts w:ascii="Calibri" w:cs="Calibri" w:eastAsia="Calibri" w:hAnsi="Calibri"/>
          <w:b w:val="false"/>
          <w:bCs w:val="false"/>
          <w:color w:val="000000"/>
          <w:sz w:val="22"/>
          <w:szCs w:val="22"/>
        </w:rPr>
        <w:t xml:space="preserve">Most tools generating copy have no idea what the piece is for. This one has a written concept, a stated persuasion approach, a platform, a format and a client tone model before a word is written. The output should be markedly better than a general-purpose prompt, and it starts the writer at a draft rather than a cursor.</w:t>
      </w:r>
    </w:p>
    <w:p>
      <w:pPr>
        <w:spacing w:after="150"/>
      </w:pPr>
      <w:r>
        <w:rPr>
          <w:rFonts w:ascii="Calibri" w:cs="Calibri" w:eastAsia="Calibri" w:hAnsi="Calibri"/>
          <w:b/>
          <w:bCs/>
          <w:color w:val="000000"/>
          <w:sz w:val="22"/>
          <w:szCs w:val="22"/>
        </w:rPr>
        <w:t xml:space="preserve">Where it fits  </w:t>
      </w:r>
      <w:r>
        <w:rPr>
          <w:rFonts w:ascii="Calibri" w:cs="Calibri" w:eastAsia="Calibri" w:hAnsi="Calibri"/>
          <w:b w:val="false"/>
          <w:bCs w:val="false"/>
          <w:color w:val="000000"/>
          <w:sz w:val="22"/>
          <w:szCs w:val="22"/>
        </w:rPr>
        <w:t xml:space="preserve">The Upload or Edit panel, on the copy layer, beside the fields rather than instead of them.</w:t>
      </w:r>
    </w:p>
    <w:p>
      <w:pPr>
        <w:spacing w:after="150"/>
      </w:pPr>
      <w:r>
        <w:rPr>
          <w:rFonts w:ascii="Calibri" w:cs="Calibri" w:eastAsia="Calibri" w:hAnsi="Calibri"/>
          <w:b/>
          <w:bCs/>
          <w:color w:val="000000"/>
          <w:sz w:val="22"/>
          <w:szCs w:val="22"/>
        </w:rPr>
        <w:t xml:space="preserve">The risk worth naming  </w:t>
      </w:r>
      <w:r>
        <w:rPr>
          <w:rFonts w:ascii="Calibri" w:cs="Calibri" w:eastAsia="Calibri" w:hAnsi="Calibri"/>
          <w:b w:val="false"/>
          <w:bCs w:val="false"/>
          <w:color w:val="000000"/>
          <w:sz w:val="22"/>
          <w:szCs w:val="22"/>
        </w:rPr>
        <w:t xml:space="preserve">Generated copy that is merely acceptable will get approved because approving is easier than rewriting. Options should be framed as starting points, and the pre-flight check should be run against them like anything else.</w:t>
      </w:r>
    </w:p>
    <w:p>
      <w:pPr>
        <w:pBdr>
          <w:bottom w:val="single" w:sz="6" w:color="D4D9DF"/>
        </w:pBdr>
        <w:spacing w:after="200" w:before="60"/>
      </w:pPr>
    </w:p>
    <w:p>
      <w:pPr>
        <w:pStyle w:val="Heading1"/>
        <w:spacing w:after="160" w:before="400"/>
      </w:pPr>
      <w:r>
        <w:rPr>
          <w:rFonts w:ascii="Calibri" w:cs="Calibri" w:eastAsia="Calibri" w:hAnsi="Calibri"/>
          <w:b/>
          <w:bCs/>
          <w:color w:val="000000"/>
          <w:sz w:val="40"/>
          <w:szCs w:val="40"/>
        </w:rPr>
        <w:t xml:space="preserve">3. What this client has already told us</w:t>
      </w:r>
    </w:p>
    <w:p>
      <w:pPr>
        <w:spacing w:after="150"/>
      </w:pPr>
      <w:r>
        <w:rPr>
          <w:rFonts w:ascii="Calibri" w:cs="Calibri" w:eastAsia="Calibri" w:hAnsi="Calibri"/>
          <w:b w:val="false"/>
          <w:bCs w:val="false"/>
          <w:i w:val="false"/>
          <w:iCs w:val="false"/>
          <w:color w:val="000000"/>
          <w:sz w:val="22"/>
          <w:szCs w:val="22"/>
        </w:rPr>
        <w:t xml:space="preserve">The comment history, made useful.</w:t>
      </w:r>
    </w:p>
    <w:p>
      <w:pPr>
        <w:spacing w:after="150"/>
      </w:pPr>
      <w:r>
        <w:rPr>
          <w:rFonts w:ascii="Calibri" w:cs="Calibri" w:eastAsia="Calibri" w:hAnsi="Calibri"/>
          <w:b/>
          <w:bCs/>
          <w:color w:val="000000"/>
          <w:sz w:val="22"/>
          <w:szCs w:val="22"/>
        </w:rPr>
        <w:t xml:space="preserve">What it does  </w:t>
      </w:r>
      <w:r>
        <w:rPr>
          <w:rFonts w:ascii="Calibri" w:cs="Calibri" w:eastAsia="Calibri" w:hAnsi="Calibri"/>
          <w:b w:val="false"/>
          <w:bCs w:val="false"/>
          <w:color w:val="000000"/>
          <w:sz w:val="22"/>
          <w:szCs w:val="22"/>
        </w:rPr>
        <w:t xml:space="preserve">Reads the accumulated comments on a client and surfaces the patterns when they are relevant. “This client has asked for competitor comparisons to be softened four times.” “Every caption over forty words on this account has come back for a trim.”</w:t>
      </w:r>
    </w:p>
    <w:p>
      <w:pPr>
        <w:spacing w:after="150"/>
      </w:pPr>
      <w:r>
        <w:rPr>
          <w:rFonts w:ascii="Calibri" w:cs="Calibri" w:eastAsia="Calibri" w:hAnsi="Calibri"/>
          <w:b/>
          <w:bCs/>
          <w:color w:val="000000"/>
          <w:sz w:val="22"/>
          <w:szCs w:val="22"/>
        </w:rPr>
        <w:t xml:space="preserve">Why it matters  </w:t>
      </w:r>
      <w:r>
        <w:rPr>
          <w:rFonts w:ascii="Calibri" w:cs="Calibri" w:eastAsia="Calibri" w:hAnsi="Calibri"/>
          <w:b w:val="false"/>
          <w:bCs w:val="false"/>
          <w:color w:val="000000"/>
          <w:sz w:val="22"/>
          <w:szCs w:val="22"/>
        </w:rPr>
        <w:t xml:space="preserve">This knowledge exists today only in the head of whoever has run the account longest, and it leaves when they do. New account managers repeat corrections the client has already made twice. Handovers lose a year of learned preference.</w:t>
      </w:r>
    </w:p>
    <w:p>
      <w:pPr>
        <w:spacing w:after="150"/>
      </w:pPr>
      <w:r>
        <w:rPr>
          <w:rFonts w:ascii="Calibri" w:cs="Calibri" w:eastAsia="Calibri" w:hAnsi="Calibri"/>
          <w:b/>
          <w:bCs/>
          <w:color w:val="000000"/>
          <w:sz w:val="22"/>
          <w:szCs w:val="22"/>
        </w:rPr>
        <w:t xml:space="preserve">Where it surfaces  </w:t>
      </w:r>
      <w:r>
        <w:rPr>
          <w:rFonts w:ascii="Calibri" w:cs="Calibri" w:eastAsia="Calibri" w:hAnsi="Calibri"/>
          <w:b w:val="false"/>
          <w:bCs w:val="false"/>
          <w:color w:val="000000"/>
          <w:sz w:val="22"/>
          <w:szCs w:val="22"/>
        </w:rPr>
        <w:t xml:space="preserve">Two places. On the client, as a short standing list a new account manager can read in a minute. And in the pre-flight check, where a piece that repeats a past correction should be flagged before it goes out rather than after.</w:t>
      </w:r>
    </w:p>
    <w:p>
      <w:pPr>
        <w:spacing w:after="150"/>
      </w:pPr>
      <w:r>
        <w:rPr>
          <w:rFonts w:ascii="Calibri" w:cs="Calibri" w:eastAsia="Calibri" w:hAnsi="Calibri"/>
          <w:b/>
          <w:bCs/>
          <w:color w:val="000000"/>
          <w:sz w:val="22"/>
          <w:szCs w:val="22"/>
        </w:rPr>
        <w:t xml:space="preserve">What it needs  </w:t>
      </w:r>
      <w:r>
        <w:rPr>
          <w:rFonts w:ascii="Calibri" w:cs="Calibri" w:eastAsia="Calibri" w:hAnsi="Calibri"/>
          <w:b w:val="false"/>
          <w:bCs w:val="false"/>
          <w:color w:val="000000"/>
          <w:sz w:val="22"/>
          <w:szCs w:val="22"/>
        </w:rPr>
        <w:t xml:space="preserve">Nothing new. The comments are already there, already attributed, already threaded.</w:t>
      </w:r>
    </w:p>
    <w:p>
      <w:pPr>
        <w:pBdr>
          <w:bottom w:val="single" w:sz="6" w:color="D4D9DF"/>
        </w:pBdr>
        <w:spacing w:after="200" w:before="60"/>
      </w:pPr>
    </w:p>
    <w:p>
      <w:pPr>
        <w:pStyle w:val="Heading1"/>
        <w:spacing w:after="160" w:before="400"/>
      </w:pPr>
      <w:r>
        <w:rPr>
          <w:rFonts w:ascii="Calibri" w:cs="Calibri" w:eastAsia="Calibri" w:hAnsi="Calibri"/>
          <w:b/>
          <w:bCs/>
          <w:color w:val="000000"/>
          <w:sz w:val="40"/>
          <w:szCs w:val="40"/>
        </w:rPr>
        <w:t xml:space="preserve">4. What actually works for this client</w:t>
      </w:r>
    </w:p>
    <w:p>
      <w:pPr>
        <w:spacing w:after="150"/>
      </w:pPr>
      <w:r>
        <w:rPr>
          <w:rFonts w:ascii="Calibri" w:cs="Calibri" w:eastAsia="Calibri" w:hAnsi="Calibri"/>
          <w:b w:val="false"/>
          <w:bCs w:val="false"/>
          <w:i w:val="false"/>
          <w:iCs w:val="false"/>
          <w:color w:val="000000"/>
          <w:sz w:val="22"/>
          <w:szCs w:val="22"/>
        </w:rPr>
        <w:t xml:space="preserve">The approach notes and the analytics, finally in the same sentence.</w:t>
      </w:r>
    </w:p>
    <w:p>
      <w:pPr>
        <w:spacing w:after="150"/>
      </w:pPr>
      <w:r>
        <w:rPr>
          <w:rFonts w:ascii="Calibri" w:cs="Calibri" w:eastAsia="Calibri" w:hAnsi="Calibri"/>
          <w:b/>
          <w:bCs/>
          <w:color w:val="000000"/>
          <w:sz w:val="22"/>
          <w:szCs w:val="22"/>
        </w:rPr>
        <w:t xml:space="preserve">What it does  </w:t>
      </w:r>
      <w:r>
        <w:rPr>
          <w:rFonts w:ascii="Calibri" w:cs="Calibri" w:eastAsia="Calibri" w:hAnsi="Calibri"/>
          <w:b w:val="false"/>
          <w:bCs w:val="false"/>
          <w:color w:val="000000"/>
          <w:sz w:val="22"/>
          <w:szCs w:val="22"/>
        </w:rPr>
        <w:t xml:space="preserve">Groups published work by the persuasion approach recorded on its brief and reports performance against it. “Loss-framed posts outperform gain-framed by forty per cent on this account. On Thrive it is the other way round.”</w:t>
      </w:r>
    </w:p>
    <w:p>
      <w:pPr>
        <w:spacing w:after="150"/>
      </w:pPr>
      <w:r>
        <w:rPr>
          <w:rFonts w:ascii="Calibri" w:cs="Calibri" w:eastAsia="Calibri" w:hAnsi="Calibri"/>
          <w:b/>
          <w:bCs/>
          <w:color w:val="000000"/>
          <w:sz w:val="22"/>
          <w:szCs w:val="22"/>
        </w:rPr>
        <w:t xml:space="preserve">Why it is the most defensible  </w:t>
      </w:r>
      <w:r>
        <w:rPr>
          <w:rFonts w:ascii="Calibri" w:cs="Calibri" w:eastAsia="Calibri" w:hAnsi="Calibri"/>
          <w:b w:val="false"/>
          <w:bCs w:val="false"/>
          <w:color w:val="000000"/>
          <w:sz w:val="22"/>
          <w:szCs w:val="22"/>
        </w:rPr>
        <w:t xml:space="preserve">Every agency claims to work this way. Almost none can show it, because the reasoning and the results are never stored together. Here they are: the approach note sits on the brief, the numbers come back through the platform connection, and the same creative carries both.</w:t>
      </w:r>
    </w:p>
    <w:p>
      <w:pPr>
        <w:spacing w:after="150"/>
      </w:pPr>
      <w:r>
        <w:rPr>
          <w:rFonts w:ascii="Calibri" w:cs="Calibri" w:eastAsia="Calibri" w:hAnsi="Calibri"/>
          <w:b/>
          <w:bCs/>
          <w:color w:val="000000"/>
          <w:sz w:val="22"/>
          <w:szCs w:val="22"/>
        </w:rPr>
        <w:t xml:space="preserve">Why it is last  </w:t>
      </w:r>
      <w:r>
        <w:rPr>
          <w:rFonts w:ascii="Calibri" w:cs="Calibri" w:eastAsia="Calibri" w:hAnsi="Calibri"/>
          <w:b w:val="false"/>
          <w:bCs w:val="false"/>
          <w:color w:val="000000"/>
          <w:sz w:val="22"/>
          <w:szCs w:val="22"/>
        </w:rPr>
        <w:t xml:space="preserve">It needs volume. A client with thirty published posts cannot support a claim about what works, and a confident number drawn from too little data is worse than no number. This should say plainly when there is not enough yet.</w:t>
      </w:r>
    </w:p>
    <w:p>
      <w:pPr>
        <w:spacing w:after="150"/>
      </w:pPr>
      <w:r>
        <w:rPr>
          <w:rFonts w:ascii="Calibri" w:cs="Calibri" w:eastAsia="Calibri" w:hAnsi="Calibri"/>
          <w:b/>
          <w:bCs/>
          <w:color w:val="000000"/>
          <w:sz w:val="22"/>
          <w:szCs w:val="22"/>
        </w:rPr>
        <w:t xml:space="preserve">What it needs  </w:t>
      </w:r>
      <w:r>
        <w:rPr>
          <w:rFonts w:ascii="Calibri" w:cs="Calibri" w:eastAsia="Calibri" w:hAnsi="Calibri"/>
          <w:b w:val="false"/>
          <w:bCs w:val="false"/>
          <w:color w:val="000000"/>
          <w:sz w:val="22"/>
          <w:szCs w:val="22"/>
        </w:rPr>
        <w:t xml:space="preserve">Platform connections returning performance data, and enough published work per client to mean something. Both accumulate on their own once the connection layer ships.</w:t>
      </w:r>
    </w:p>
    <w:p>
      <w:pPr>
        <w:pStyle w:val="Heading1"/>
        <w:spacing w:after="160" w:before="400"/>
      </w:pPr>
      <w:r>
        <w:rPr>
          <w:rFonts w:ascii="Calibri" w:cs="Calibri" w:eastAsia="Calibri" w:hAnsi="Calibri"/>
          <w:b/>
          <w:bCs/>
          <w:color w:val="000000"/>
          <w:sz w:val="40"/>
          <w:szCs w:val="40"/>
        </w:rPr>
        <w:t xml:space="preserve">Three things to get right</w:t>
      </w:r>
    </w:p>
    <w:p>
      <w:pPr>
        <w:spacing w:after="150"/>
      </w:pPr>
      <w:r>
        <w:rPr>
          <w:rFonts w:ascii="Calibri" w:cs="Calibri" w:eastAsia="Calibri" w:hAnsi="Calibri"/>
          <w:b w:val="false"/>
          <w:bCs w:val="false"/>
          <w:i w:val="false"/>
          <w:iCs w:val="false"/>
          <w:color w:val="000000"/>
          <w:sz w:val="22"/>
          <w:szCs w:val="22"/>
        </w:rPr>
        <w:t xml:space="preserve">These apply across all four and will decide whether any of it is used twice.</w:t>
      </w:r>
    </w:p>
    <w:p>
      <w:pPr>
        <w:pStyle w:val="Heading2"/>
        <w:spacing w:after="110" w:before="260"/>
      </w:pPr>
      <w:r>
        <w:rPr>
          <w:rFonts w:ascii="Calibri" w:cs="Calibri" w:eastAsia="Calibri" w:hAnsi="Calibri"/>
          <w:b/>
          <w:bCs/>
          <w:color w:val="000000"/>
          <w:sz w:val="28"/>
          <w:szCs w:val="28"/>
        </w:rPr>
        <w:t xml:space="preserve">Tone needs examples, not adjectives</w:t>
      </w:r>
    </w:p>
    <w:p>
      <w:pPr>
        <w:spacing w:after="150"/>
      </w:pPr>
      <w:r>
        <w:rPr>
          <w:rFonts w:ascii="Calibri" w:cs="Calibri" w:eastAsia="Calibri" w:hAnsi="Calibri"/>
          <w:b w:val="false"/>
          <w:bCs w:val="false"/>
          <w:i w:val="false"/>
          <w:iCs w:val="false"/>
          <w:color w:val="000000"/>
          <w:sz w:val="22"/>
          <w:szCs w:val="22"/>
        </w:rPr>
        <w:t xml:space="preserve">“Friendly but authoritative” is unusable by a person and unusable by a model. Fifty approved captions is a usable tone model. The knowledge folder should accept approved work, and the platform should populate it on its own — anything that reaches Approved is, by definition, on tone for that client. This is a direct benefit of already having an approval flow.</w:t>
      </w:r>
    </w:p>
    <w:p>
      <w:pPr>
        <w:pStyle w:val="Heading2"/>
        <w:spacing w:after="110" w:before="260"/>
      </w:pPr>
      <w:r>
        <w:rPr>
          <w:rFonts w:ascii="Calibri" w:cs="Calibri" w:eastAsia="Calibri" w:hAnsi="Calibri"/>
          <w:b/>
          <w:bCs/>
          <w:color w:val="000000"/>
          <w:sz w:val="28"/>
          <w:szCs w:val="28"/>
        </w:rPr>
        <w:t xml:space="preserve">Everything goes through suggested edits</w:t>
      </w:r>
    </w:p>
    <w:p>
      <w:pPr>
        <w:spacing w:after="150"/>
      </w:pPr>
      <w:r>
        <w:rPr>
          <w:rFonts w:ascii="Calibri" w:cs="Calibri" w:eastAsia="Calibri" w:hAnsi="Calibri"/>
          <w:b w:val="false"/>
          <w:bCs w:val="false"/>
          <w:i w:val="false"/>
          <w:iCs w:val="false"/>
          <w:color w:val="000000"/>
          <w:sz w:val="22"/>
          <w:szCs w:val="22"/>
        </w:rPr>
        <w:t xml:space="preserve">No automatic application, ever. Every finding arrives as a suggestion with Accept, Edit and Dismiss, attributed to the check rather than to a person, and recorded in version history like any other change. The audit trail already built is the right home for this, and it is what keeps the tool advisory rather than autocratic.</w:t>
      </w:r>
    </w:p>
    <w:p>
      <w:pPr>
        <w:pStyle w:val="Heading2"/>
        <w:spacing w:after="110" w:before="260"/>
      </w:pPr>
      <w:r>
        <w:rPr>
          <w:rFonts w:ascii="Calibri" w:cs="Calibri" w:eastAsia="Calibri" w:hAnsi="Calibri"/>
          <w:b/>
          <w:bCs/>
          <w:color w:val="000000"/>
          <w:sz w:val="28"/>
          <w:szCs w:val="28"/>
        </w:rPr>
        <w:t xml:space="preserve">Say when there is not enough to go on</w:t>
      </w:r>
    </w:p>
    <w:p>
      <w:pPr>
        <w:spacing w:after="150"/>
      </w:pPr>
      <w:r>
        <w:rPr>
          <w:rFonts w:ascii="Calibri" w:cs="Calibri" w:eastAsia="Calibri" w:hAnsi="Calibri"/>
          <w:b w:val="false"/>
          <w:bCs w:val="false"/>
          <w:i w:val="false"/>
          <w:iCs w:val="false"/>
          <w:color w:val="000000"/>
          <w:sz w:val="22"/>
          <w:szCs w:val="22"/>
        </w:rPr>
        <w:t xml:space="preserve">A check with thin evidence should say so. “Not enough published work to call this yet” preserves trust in the checks that are confident. The failure mode to avoid is a tool that is always sure, because people stop reading it.</w:t>
      </w:r>
    </w:p>
    <w:p>
      <w:pPr>
        <w:pStyle w:val="Heading1"/>
        <w:spacing w:after="160" w:before="400"/>
      </w:pPr>
      <w:r>
        <w:rPr>
          <w:rFonts w:ascii="Calibri" w:cs="Calibri" w:eastAsia="Calibri" w:hAnsi="Calibri"/>
          <w:b/>
          <w:bCs/>
          <w:color w:val="000000"/>
          <w:sz w:val="40"/>
          <w:szCs w:val="40"/>
        </w:rPr>
        <w:t xml:space="preserve">Sequencing</w:t>
      </w:r>
    </w:p>
    <w:p>
      <w:pPr>
        <w:spacing w:after="150"/>
      </w:pPr>
      <w:r>
        <w:rPr>
          <w:rFonts w:ascii="Calibri" w:cs="Calibri" w:eastAsia="Calibri" w:hAnsi="Calibri"/>
          <w:b w:val="false"/>
          <w:bCs w:val="false"/>
          <w:i w:val="false"/>
          <w:iCs w:val="false"/>
          <w:color w:val="000000"/>
          <w:sz w:val="22"/>
          <w:szCs w:val="22"/>
        </w:rPr>
        <w:t xml:space="preserve">The knowledge folder comes first, because three of the four depend on it and the fourth is better with it.</w:t>
      </w:r>
    </w:p>
    <w:p>
      <w:pPr>
        <w:pStyle w:val="ListParagraph"/>
        <w:numPr>
          <w:ilvl w:val="0"/>
          <w:numId w:val="1"/>
        </w:numPr>
        <w:spacing w:after="70"/>
      </w:pPr>
      <w:r>
        <w:rPr>
          <w:rFonts w:ascii="Calibri" w:cs="Calibri" w:eastAsia="Calibri" w:hAnsi="Calibri"/>
          <w:b w:val="false"/>
          <w:bCs w:val="false"/>
          <w:color w:val="000000"/>
          <w:sz w:val="22"/>
          <w:szCs w:val="22"/>
        </w:rPr>
        <w:t xml:space="preserve">Client knowledge folder — tone, features to benefits, audience, approved work</w:t>
      </w:r>
    </w:p>
    <w:p>
      <w:pPr>
        <w:pStyle w:val="ListParagraph"/>
        <w:numPr>
          <w:ilvl w:val="0"/>
          <w:numId w:val="1"/>
        </w:numPr>
        <w:spacing w:after="70"/>
      </w:pPr>
      <w:r>
        <w:rPr>
          <w:rFonts w:ascii="Calibri" w:cs="Calibri" w:eastAsia="Calibri" w:hAnsi="Calibri"/>
          <w:b w:val="false"/>
          <w:bCs w:val="false"/>
          <w:color w:val="000000"/>
          <w:sz w:val="22"/>
          <w:szCs w:val="22"/>
        </w:rPr>
        <w:t xml:space="preserve">Pre-flight check on Share</w:t>
      </w:r>
    </w:p>
    <w:p>
      <w:pPr>
        <w:pStyle w:val="ListParagraph"/>
        <w:numPr>
          <w:ilvl w:val="0"/>
          <w:numId w:val="1"/>
        </w:numPr>
        <w:spacing w:after="70"/>
      </w:pPr>
      <w:r>
        <w:rPr>
          <w:rFonts w:ascii="Calibri" w:cs="Calibri" w:eastAsia="Calibri" w:hAnsi="Calibri"/>
          <w:b w:val="false"/>
          <w:bCs w:val="false"/>
          <w:color w:val="000000"/>
          <w:sz w:val="22"/>
          <w:szCs w:val="22"/>
        </w:rPr>
        <w:t xml:space="preserve">Brief to first draft</w:t>
      </w:r>
    </w:p>
    <w:p>
      <w:pPr>
        <w:pStyle w:val="ListParagraph"/>
        <w:numPr>
          <w:ilvl w:val="0"/>
          <w:numId w:val="1"/>
        </w:numPr>
        <w:spacing w:after="70"/>
      </w:pPr>
      <w:r>
        <w:rPr>
          <w:rFonts w:ascii="Calibri" w:cs="Calibri" w:eastAsia="Calibri" w:hAnsi="Calibri"/>
          <w:b w:val="false"/>
          <w:bCs w:val="false"/>
          <w:color w:val="000000"/>
          <w:sz w:val="22"/>
          <w:szCs w:val="22"/>
        </w:rPr>
        <w:t xml:space="preserve">Client patterns from comment history</w:t>
      </w:r>
    </w:p>
    <w:p>
      <w:pPr>
        <w:pStyle w:val="ListParagraph"/>
        <w:numPr>
          <w:ilvl w:val="0"/>
          <w:numId w:val="1"/>
        </w:numPr>
        <w:spacing w:after="70"/>
      </w:pPr>
      <w:r>
        <w:rPr>
          <w:rFonts w:ascii="Calibri" w:cs="Calibri" w:eastAsia="Calibri" w:hAnsi="Calibri"/>
          <w:b w:val="false"/>
          <w:bCs w:val="false"/>
          <w:color w:val="000000"/>
          <w:sz w:val="22"/>
          <w:szCs w:val="22"/>
        </w:rPr>
        <w:t xml:space="preserve">Approach performance, once connections have run long enough to have something to say</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40"/>
      <w:szCs w:val="40"/>
    </w:rPr>
  </w:style>
  <w:style w:type="paragraph" w:styleId="Heading2">
    <w:name w:val="Heading 2"/>
    <w:basedOn w:val="Normal"/>
    <w:next w:val="Normal"/>
    <w:qFormat/>
    <w:rPr>
      <w:rFonts w:ascii="Calibri" w:cs="Calibri" w:eastAsia="Calibri" w:hAnsi="Calibr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 data model and database schema</dc:title>
  <dc:creator>No Fluff</dc:creator>
  <dc:description>Database schema derived from the working prototype</dc:description>
  <cp:lastModifiedBy>Un-named</cp:lastModifiedBy>
  <cp:revision>1</cp:revision>
  <dcterms:created xsi:type="dcterms:W3CDTF">2026-09-14T16:24:26.163Z</dcterms:created>
  <dcterms:modified xsi:type="dcterms:W3CDTF">2026-09-14T16:24:26.163Z</dcterms:modified>
</cp:coreProperties>
</file>

<file path=docProps/custom.xml><?xml version="1.0" encoding="utf-8"?>
<Properties xmlns="http://schemas.openxmlformats.org/officeDocument/2006/custom-properties" xmlns:vt="http://schemas.openxmlformats.org/officeDocument/2006/docPropsVTypes"/>
</file>