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2" w:name="腾讯qq第三方登录的实现原理"/>
      <w:bookmarkEnd w:id="52"/>
      <w:r>
        <w:t xml:space="preserve">腾讯QQ第三方登录的实现原理？</w:t>
      </w:r>
    </w:p>
    <w:p>
      <w:pPr>
        <w:pStyle w:val="BlockText"/>
      </w:pPr>
      <w:r>
        <w:t xml:space="preserve">Oauth当中的角色：</w:t>
      </w:r>
    </w:p>
    <w:p>
      <w:pPr>
        <w:pStyle w:val="Compact"/>
        <w:numPr>
          <w:numId w:val="1009"/>
          <w:ilvl w:val="0"/>
        </w:numPr>
      </w:pPr>
      <w:r>
        <w:t xml:space="preserve">Service Provider（服务提供方）</w:t>
      </w:r>
    </w:p>
    <w:p>
      <w:pPr>
        <w:pStyle w:val="FirstParagraph"/>
      </w:pPr>
      <w:r>
        <w:t xml:space="preserve">服务提供方通常是网站，在这些网站当中存储着一些受限制的资源，如照片、视频、联系人列表等。这些网站通常使用用户名和密码来确认用户的身份。比如新浪微博的开放平台就是Service Provider。</w:t>
      </w:r>
    </w:p>
    <w:p>
      <w:pPr>
        <w:pStyle w:val="Compact"/>
        <w:numPr>
          <w:numId w:val="1010"/>
          <w:ilvl w:val="0"/>
        </w:numPr>
      </w:pPr>
      <w:r>
        <w:t xml:space="preserve">User（用户）</w:t>
      </w:r>
    </w:p>
    <w:p>
      <w:pPr>
        <w:pStyle w:val="FirstParagraph"/>
      </w:pPr>
      <w:r>
        <w:t xml:space="preserve">存放在服务提供方的受保护的资源的所有者。用户持有可以登录服务提供者网站的用户名和密码。用户不希望把自己的资源公开，但是用户却需要将这些资源共享给其他网站或应用程序（如用户希望使用第三方开发的新浪微博客户端来访问自己的资源，但又不希望第三方应用知道自己的用户名和密码）。</w:t>
      </w:r>
    </w:p>
    <w:p>
      <w:pPr>
        <w:pStyle w:val="Compact"/>
        <w:numPr>
          <w:numId w:val="1011"/>
          <w:ilvl w:val="0"/>
        </w:numPr>
      </w:pPr>
      <w:r>
        <w:t xml:space="preserve">客户端（Client）</w:t>
      </w:r>
    </w:p>
    <w:p>
      <w:pPr>
        <w:pStyle w:val="FirstParagraph"/>
      </w:pPr>
      <w:r>
        <w:t xml:space="preserve">要访问服务提供方资源的第三方应用，可以是web应用程序、桌面应用程序或者是手机应用程序。客户端需要得到授权之后才能访问相应的资源。</w:t>
      </w:r>
    </w:p>
    <w:p>
      <w:pPr>
        <w:pStyle w:val="BlockText"/>
      </w:pPr>
      <w:r>
        <w:t xml:space="preserve">Oauth的认证和授权过程：</w:t>
      </w:r>
    </w:p>
    <w:p>
      <w:pPr>
        <w:pStyle w:val="Compact"/>
        <w:numPr>
          <w:numId w:val="1012"/>
          <w:ilvl w:val="0"/>
        </w:numPr>
      </w:pPr>
      <w:r>
        <w:t xml:space="preserve">用户使用第三方的客户端（如访问第三方的网站，或使用第三方的应用），想对存放在服务提供者的某些资源进行操作</w:t>
      </w:r>
    </w:p>
    <w:p>
      <w:pPr>
        <w:pStyle w:val="Compact"/>
        <w:numPr>
          <w:numId w:val="1012"/>
          <w:ilvl w:val="0"/>
        </w:numPr>
      </w:pPr>
      <w:r>
        <w:t xml:space="preserve">第三方网站或应用向服务提供方请求一个临时令牌（Request Token）</w:t>
      </w:r>
    </w:p>
    <w:p>
      <w:pPr>
        <w:pStyle w:val="Compact"/>
        <w:numPr>
          <w:numId w:val="1012"/>
          <w:ilvl w:val="0"/>
        </w:numPr>
      </w:pPr>
      <w:r>
        <w:t xml:space="preserve">服务提供方验证第三方的身份后，授予其一个临时令牌</w:t>
      </w:r>
    </w:p>
    <w:p>
      <w:pPr>
        <w:pStyle w:val="Compact"/>
        <w:numPr>
          <w:numId w:val="1012"/>
          <w:ilvl w:val="0"/>
        </w:numPr>
      </w:pPr>
      <w:r>
        <w:t xml:space="preserve">第三方获得临时令牌后，将用户引导至服务提供方的授权页面请求用户授权。在这个过程中将临时令牌和客户端的回调连接发送给服务提供者</w:t>
      </w:r>
    </w:p>
    <w:p>
      <w:pPr>
        <w:pStyle w:val="Compact"/>
        <w:numPr>
          <w:numId w:val="1012"/>
          <w:ilvl w:val="0"/>
        </w:numPr>
      </w:pPr>
      <w:r>
        <w:t xml:space="preserve">用户在服务提供者的授权页面上输入自己的用户名和密码，然后授权该客户端访问相应的资源</w:t>
      </w:r>
    </w:p>
    <w:p>
      <w:pPr>
        <w:pStyle w:val="Compact"/>
        <w:numPr>
          <w:numId w:val="1012"/>
          <w:ilvl w:val="0"/>
        </w:numPr>
      </w:pPr>
      <w:r>
        <w:t xml:space="preserve">授权成功后，服务提供方引导用户返回第三方网站的的网页</w:t>
      </w:r>
    </w:p>
    <w:p>
      <w:pPr>
        <w:pStyle w:val="Compact"/>
        <w:numPr>
          <w:numId w:val="1012"/>
          <w:ilvl w:val="0"/>
        </w:numPr>
      </w:pPr>
      <w:r>
        <w:t xml:space="preserve">客户端根据临时令牌从服务提供方那里获取访问令牌（Access Token）</w:t>
      </w:r>
    </w:p>
    <w:p>
      <w:pPr>
        <w:pStyle w:val="Compact"/>
        <w:numPr>
          <w:numId w:val="1012"/>
          <w:ilvl w:val="0"/>
        </w:numPr>
      </w:pPr>
      <w:r>
        <w:t xml:space="preserve">服务提供方根据临时令牌和用户的授权情况授予客户端访问令牌</w:t>
      </w:r>
    </w:p>
    <w:p>
      <w:pPr>
        <w:pStyle w:val="Compact"/>
        <w:numPr>
          <w:numId w:val="1012"/>
          <w:ilvl w:val="0"/>
        </w:numPr>
      </w:pPr>
      <w:r>
        <w:t xml:space="preserve">客户端使用获取的访问令牌访问存放在服务提供方上的相应的资源</w:t>
      </w:r>
    </w:p>
    <w:p>
      <w:pPr>
        <w:pStyle w:val="FirstParagraph"/>
      </w:pPr>
      <w:r>
        <w:t xml:space="preserve">Oauth简单示意图</w:t>
      </w:r>
    </w:p>
    <w:p>
      <w:pPr>
        <w:pStyle w:val="FigureWithCaption"/>
      </w:pPr>
      <w:r>
        <w:drawing>
          <wp:inline>
            <wp:extent cx="5334000" cy="256232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b1e90838ef00914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Oauth全面的示意图</w:t>
      </w:r>
    </w:p>
    <w:p>
      <w:pPr>
        <w:pStyle w:val="FigureWithCaption"/>
      </w:pPr>
      <w:r>
        <w:drawing>
          <wp:inline>
            <wp:extent cx="5334000" cy="37889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7931074dfb4fa18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13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df4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d274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1061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00aa6c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d01a61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57" Target="media/rId57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p03953hoam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p03953hoam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2022-06-04T07:10:26Z</dcterms:created>
  <dcterms:modified xsi:type="dcterms:W3CDTF">2022-06-04T07:10:26Z</dcterms:modified>
</cp:coreProperties>
</file>