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冷启动热启动"/>
      <w:bookmarkEnd w:id="21"/>
      <w:r>
        <w:t xml:space="preserve">2.25 冷启动&amp;热启动</w:t>
      </w:r>
    </w:p>
    <w:p>
      <w:pPr>
        <w:pStyle w:val="Compact"/>
        <w:numPr>
          <w:numId w:val="1001"/>
          <w:ilvl w:val="0"/>
        </w:numPr>
      </w:pPr>
      <w:r>
        <w:t xml:space="preserve">1.什么是冷启动 &amp; 什么是热启动 &amp; 它们的流程？</w:t>
      </w:r>
    </w:p>
    <w:p>
      <w:pPr>
        <w:pStyle w:val="Compact"/>
        <w:numPr>
          <w:numId w:val="1001"/>
          <w:ilvl w:val="0"/>
        </w:numPr>
      </w:pPr>
      <w:r>
        <w:t xml:space="preserve">2.如何优化冷启动？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9bf7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4c2d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7938300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793830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