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等线"/>
          <w:b/>
          <w:color w:val="17365D"/>
          <w:sz w:val="50"/>
        </w:rPr>
        <w:t>作业一参考完成报告</w:t>
      </w:r>
    </w:p>
    <w:p>
      <w:pPr>
        <w:jc w:val="center"/>
      </w:pPr>
      <w:r>
        <w:rPr>
          <w:rFonts w:ascii="Arial" w:hAnsi="Arial" w:eastAsia="等线"/>
          <w:color w:val="595959"/>
          <w:sz w:val="28"/>
        </w:rPr>
        <w:t>Byte-level BPE Tokenizer · 助教难度核验版</w:t>
      </w:r>
    </w:p>
    <w:p>
      <w:pPr>
        <w:spacing w:before="480"/>
        <w:jc w:val="center"/>
      </w:pPr>
      <w:r>
        <w:rPr>
          <w:rFonts w:ascii="Arial" w:hAnsi="Arial" w:eastAsia="等线"/>
          <w:sz w:val="24"/>
        </w:rPr>
        <w:t>《NLP与大模型》课程 · 2026 秋季学期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D9EAF7"/>
            <w:vAlign w:val="center"/>
          </w:tcPr>
          <w:p>
            <w:pPr>
              <w:spacing w:before="100" w:after="100"/>
            </w:pPr>
            <w:r>
              <w:rPr>
                <w:rFonts w:ascii="Arial" w:hAnsi="Arial" w:eastAsia="等线"/>
                <w:b/>
              </w:rPr>
              <w:t>结论：基础任务可在普通 CPU 环境完成；本次全量训练约 34.5 秒，100 篇留出文档无损率 100%。</w:t>
            </w:r>
          </w:p>
        </w:tc>
      </w:tr>
    </w:tbl>
    <w:p>
      <w:pPr>
        <w:pStyle w:val="Heading1"/>
      </w:pPr>
      <w:r>
        <w:t>摘要</w:t>
      </w:r>
    </w:p>
    <w:p>
      <w:r>
        <w:t>本报告使用课程提供的 1000 篇基因相关论文语料，从零实现并训练 Byte-level BPE tokenizer。实现不依赖 Hugging Face、SentencePiece 或其他现成分词库；核心训练与推理仅使用 Python 标准库，并提供可选 PyTorch 张量接口。最终词表大小为 1024，留出集 100 篇文档全部无损还原，平均 1.814 bytes/token，相对原始字节序列缩短 44.89%。</w:t>
      </w:r>
    </w:p>
    <w:p>
      <w:pPr>
        <w:pStyle w:val="Heading1"/>
      </w:pPr>
      <w:r>
        <w:t>1. 环境与复现信息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项目</w:t>
            </w:r>
          </w:p>
        </w:tc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本次运行值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操作系统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Linux-6.8.0-124-generic-x86_64-with-glibc2.35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Python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3.13.9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CPU / 内存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x86_64；tokenizer 算法仅使用 CPU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PyTorch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2.9.1+cu128，仅用于接口示例；训练/评测未使用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GPU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未用于 tokenizer 训练或评测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随机性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无随机训练；文件名排序与词对 tie-break 均确定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2F2F2"/>
          </w:tcPr>
          <w:p>
            <w:pPr>
              <w:spacing w:after="0"/>
            </w:pPr>
            <w:r>
              <w:rPr>
                <w:rFonts w:ascii="Courier New" w:hAnsi="Courier New" w:eastAsia="等线"/>
                <w:sz w:val="17"/>
              </w:rPr>
              <w:t>cd Homework1/hw1_byte_bpe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python -m unittest discover -s tests -v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python train_tokenizer.py --corpus-dir ../gene_related_papers_1000 --output-dir outputs/tokenizer --vocab-size 1024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python evaluate_tokenizer.py --corpus-dir ../gene_related_papers_1000 --tokenizer-dir outputs/tokenizer --output outputs/evaluation.json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python example_gpt2_usage.py</w:t>
            </w:r>
          </w:p>
        </w:tc>
      </w:tr>
    </w:tbl>
    <w:p>
      <w:pPr>
        <w:pStyle w:val="Heading1"/>
      </w:pPr>
      <w:r>
        <w:t>2. 数据说明与检查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统计项</w:t>
            </w:r>
          </w:p>
        </w:tc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结果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JSON 文件数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1000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目录磁盘大小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119.82 MiB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article_text UTF-8 总量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62.75 MiB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单篇正文 UTF-8 中位数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61,237 bytes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正文范围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8,092–215,035 bytes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标题/摘要/正文缺失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0 / 0 / 0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论文年份范围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1997–2024</w:t>
            </w:r>
          </w:p>
        </w:tc>
      </w:tr>
    </w:tbl>
    <w:p>
      <w:r>
        <w:t>使用 article_title、article_abstract 和 article_text，以换行连接。按文件名字典序固定划分为 900 篇训练、100 篇验证。JSON 文件本身还包含图像、引用和期刊元数据，因此目录大小大于实际送入 tokenizer 的文本量。</w:t>
      </w:r>
    </w:p>
    <w:p>
      <w:r>
        <w:t>训练部分共有 58,937,780 个字符、59,350,973 个 UTF-8 字节、20,088,028 个预切分片段和 386,521 种不同片段。</w:t>
      </w:r>
    </w:p>
    <w:p>
      <w:pPr>
        <w:pStyle w:val="Heading1"/>
      </w:pPr>
      <w:r>
        <w:t>3. 方法</w:t>
      </w:r>
    </w:p>
    <w:p>
      <w:pPr>
        <w:pStyle w:val="Heading2"/>
      </w:pPr>
      <w:r>
        <w:t>3.1 无损预切分与字节表示</w:t>
      </w:r>
    </w:p>
    <w:p>
      <w:r>
        <w:t>使用 Python re 的 Unicode 行为把文本分为：连续空白、连续字母、连续数字、连续下划线和其他连续符号。每次检查 ''.join(pieces) == text。随后每个片段独立执行 UTF-8 编码，起始符号为整数 0–255。这个设计简单、无外部依赖，并阻止合并跨越预切分边界。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2F2F2"/>
          </w:tcPr>
          <w:p>
            <w:pPr>
              <w:spacing w:after="0"/>
            </w:pPr>
            <w:r>
              <w:rPr>
                <w:rFonts w:ascii="Courier New" w:hAnsi="Courier New" w:eastAsia="等线"/>
                <w:sz w:val="17"/>
              </w:rPr>
              <w:t>_PRETOKEN_PATTERN = re.compile(r"\s+|[^\W\d_]+|\d+|_+|[^\w\s]+", re.UNICODE)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pieces = _PRETOKEN_PATTERN.findall(text)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byte_symbols = list(piece.encode('utf-8'))</w:t>
            </w:r>
          </w:p>
        </w:tc>
      </w:tr>
    </w:tbl>
    <w:p>
      <w:pPr>
        <w:pStyle w:val="Heading2"/>
      </w:pPr>
      <w:r>
        <w:t>3.2 BPE 学习</w:t>
      </w:r>
    </w:p>
    <w:p>
      <w:pPr>
        <w:pStyle w:val="ListNumber"/>
      </w:pPr>
      <w:r>
        <w:t>以预切分片段的字节元组为 key，统计整个训练集中的出现次数。</w:t>
      </w:r>
    </w:p>
    <w:p>
      <w:pPr>
        <w:pStyle w:val="ListNumber"/>
      </w:pPr>
      <w:r>
        <w:t>对每个不同片段统计相邻符号对，并乘以片段频次，得到语料级词对频次。</w:t>
      </w:r>
    </w:p>
    <w:p>
      <w:pPr>
        <w:pStyle w:val="ListNumber"/>
      </w:pPr>
      <w:r>
        <w:t>选择最高频词对；频次相同时由 Python heap 对整数 pair 按字典序确定。</w:t>
      </w:r>
    </w:p>
    <w:p>
      <w:pPr>
        <w:pStyle w:val="ListNumber"/>
      </w:pPr>
      <w:r>
        <w:t>在所有受影响片段中做从左到右、不重叠替换，并增量更新旧/新相邻词对频次。</w:t>
      </w:r>
    </w:p>
    <w:p>
      <w:pPr>
        <w:pStyle w:val="ListNumber"/>
      </w:pPr>
      <w:r>
        <w:t>记录合并规则顺序；新符号 ID 为 256 + merge_rank，直到达到目标词表或低于最小频次。</w:t>
      </w:r>
    </w:p>
    <w:p>
      <w:r>
        <w:t>增量更新是工程优化，但不改变标准 BPE 的选择结果。它只重算包含本轮目标 pair 的不同片段，而不是每一轮扫描全部文本。</w:t>
      </w:r>
    </w:p>
    <w:p>
      <w:pPr>
        <w:pStyle w:val="Heading2"/>
      </w:pPr>
      <w:r>
        <w:t>3.3 编码与解码</w:t>
      </w:r>
    </w:p>
    <w:p>
      <w:r>
        <w:t>编码先做相同预切分，再按训练合并规则的 rank 反复应用当前可用的最早规则；输出 ID 等于内部符号 ID 加 4。解码把合并符号递归对应的字节串拼接，再以 errors='strict' 还原 UTF-8。正常 byte-level 编码永远无需 &lt;|unk|&gt;。</w:t>
      </w:r>
    </w:p>
    <w:p>
      <w:pPr>
        <w:pStyle w:val="Heading1"/>
      </w:pPr>
      <w:r>
        <w:t>4. 实验参数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参数</w:t>
            </w:r>
          </w:p>
        </w:tc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值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文本字段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article_title, article_abstract, article_text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训练/验证文件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900 / 100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目标/实际词表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1024 / 1024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特殊 token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4（&lt;|pad|&gt;, &lt;|unk|&gt;, &lt;|bos|&gt;, &lt;|eos|&gt;；ID 0–3）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基础字节 token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256（ID 4–259）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合并规则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764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最小 pair 频次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2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最后一次合并频次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6031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训练文件清单 SHA-256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bcc69472c43656c9e24b04fa4626c71a7863d5b977f588df5cb997a6c07b67e2</w:t>
            </w:r>
          </w:p>
        </w:tc>
      </w:tr>
    </w:tbl>
    <w:p>
      <w:pPr>
        <w:pStyle w:val="Heading1"/>
      </w:pPr>
      <w:r>
        <w:t>5.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指标</w:t>
            </w:r>
          </w:p>
        </w:tc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结果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训练耗时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34.497 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验证耗时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8.001 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验证文档无损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100 / 100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严格 round-trip accuracy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100.00%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验证集 UTF-8 字节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8,006,384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验证集 token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4,412,565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bytes/token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1.8145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tokens/character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0.5560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相对字节序列缩短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44.89%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验证吞吐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12.50 documents/s</w:t>
            </w:r>
          </w:p>
        </w:tc>
      </w:tr>
    </w:tbl>
    <w:p>
      <w:r>
        <w:t>100% 无损说明预切分没有丢字符、合并符号保存正确、编码与解码契约一致。44.89% 的长度缩短说明即使使用较小的 1024 词表，高频英文/生物医学片段仍得到有效合并。该指标不是压缩文件大小，也不含 ID 的存储位宽。</w:t>
      </w:r>
    </w:p>
    <w:p>
      <w:pPr>
        <w:pStyle w:val="Heading2"/>
      </w:pPr>
      <w:r>
        <w:t>5.1 切分案例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268"/>
            <w:shd w:fill="D9E2F3"/>
          </w:tcPr>
          <w:p>
            <w:r>
              <w:rPr>
                <w:rFonts w:ascii="Arial" w:hAnsi="Arial" w:eastAsia="等线"/>
                <w:b/>
              </w:rPr>
              <w:t>输入</w:t>
            </w:r>
          </w:p>
        </w:tc>
        <w:tc>
          <w:tcPr>
            <w:tcW w:type="dxa" w:w="5783"/>
            <w:shd w:fill="D9E2F3"/>
          </w:tcPr>
          <w:p>
            <w:r>
              <w:rPr>
                <w:rFonts w:ascii="Arial" w:hAnsi="Arial" w:eastAsia="等线"/>
                <w:b/>
              </w:rPr>
              <w:t>token 片段（不可独立解码的字节以 hex 显示）</w:t>
            </w:r>
          </w:p>
        </w:tc>
        <w:tc>
          <w:tcPr>
            <w:tcW w:type="dxa" w:w="1134"/>
            <w:shd w:fill="D9E2F3"/>
          </w:tcPr>
          <w:p>
            <w:r>
              <w:rPr>
                <w:rFonts w:ascii="Arial" w:hAnsi="Arial" w:eastAsia="等线"/>
                <w:b/>
              </w:rPr>
              <w:t>回译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等线"/>
              </w:rPr>
              <w:t>TP53 is a tumor suppressor gene.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Arial" w:hAnsi="Arial" w:eastAsia="等线"/>
              </w:rPr>
              <w:t>T | P | 53 | ␠ | is | ␠ | a | ␠ | tum | or | ␠ | sup | press | or | ␠ | gene | .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等线"/>
              </w:rPr>
              <w:t>完全一致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等线"/>
              </w:rPr>
              <w:t>BRCA1参与DNA损伤修复。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Arial" w:hAnsi="Arial" w:eastAsia="等线"/>
              </w:rPr>
              <w:t>B | R | CA | 1 | e5 8f 82 | e4 b8 8e | DNA | e6 8d 9f | e4 bc a4 | e4 bf ae | e5 a4 8d | e3 80 82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等线"/>
              </w:rPr>
              <w:t>完全一致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Arial" w:hAnsi="Arial" w:eastAsia="等线"/>
              </w:rPr>
              <w:t>Gene editing 🧬: CRISPR-Cas9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Arial" w:hAnsi="Arial" w:eastAsia="等线"/>
              </w:rPr>
              <w:t>Gen | e | ␠ | ed | it | ing | ␠ | f0 9f a7 ac | : | ␠ | CR | I | SP | R | - | C | as | 9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Arial" w:hAnsi="Arial" w:eastAsia="等线"/>
              </w:rPr>
              <w:t>完全一致</w:t>
            </w:r>
          </w:p>
        </w:tc>
      </w:tr>
    </w:tbl>
    <w:p>
      <w:r>
        <w:t>中文和 Emoji 在较小词表下常保留为多个原始 UTF-8 字节 token；这不影响可逆性。表中为便于阅读把属于同一字符的连续原始字节并列展示，实际 ID 序列仍是一字节一 token。英文高频片段已出现 gene、press、DNA 等合并结果。</w:t>
      </w:r>
    </w:p>
    <w:p>
      <w:pPr>
        <w:pStyle w:val="Heading1"/>
      </w:pPr>
      <w:r>
        <w:t>6. 接口及后续 GPT-2 复用</w:t>
      </w:r>
    </w:p>
    <w:p>
      <w:r>
        <w:t>实现提供单文本、批量、padding、attention_mask 及可选 return_tensors='pt'。已实际创建 nn.Embedding(vocab_size=1024, embedding_dim=64, padding_idx=0)，两条样例得到 input_ids 形状 (2, 20)、embedding 形状 (2, 20, 64)。后续模型配置必须从 tokenizer.vocab_size 和特殊 token ID 读取，避免硬编码。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2F2F2"/>
          </w:tcPr>
          <w:p>
            <w:pPr>
              <w:spacing w:after="0"/>
            </w:pPr>
            <w:r>
              <w:rPr>
                <w:rFonts w:ascii="Courier New" w:hAnsi="Courier New" w:eastAsia="等线"/>
                <w:sz w:val="17"/>
              </w:rPr>
              <w:t>tokenizer = ByteBPETokenizer.from_pretrained('outputs/tokenizer')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batch = tokenizer(texts, add_bos=True, add_eos=True, padding=True, return_tensors='pt')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tok_emb = nn.Embedding(tokenizer.vocab_size, n_embd, padding_idx=tokenizer.pad_token_id)</w:t>
            </w:r>
            <w:r>
              <w:br/>
            </w:r>
            <w:r>
              <w:rPr>
                <w:rFonts w:ascii="Courier New" w:hAnsi="Courier New" w:eastAsia="等线"/>
                <w:sz w:val="17"/>
              </w:rPr>
              <w:t>logits = lm_head(hidden_states)  # lm_head.out_features == tokenizer.vocab_size</w:t>
            </w:r>
          </w:p>
        </w:tc>
      </w:tr>
    </w:tbl>
    <w:p>
      <w:pPr>
        <w:pStyle w:val="Heading1"/>
      </w:pPr>
      <w:r>
        <w:t>7. 自动测试</w:t>
      </w:r>
    </w:p>
    <w:p>
      <w:r>
        <w:t>共 7 个单元测试全部通过：预切分无损、多语言/Emoji round-trip、合并优先级、特殊 token、非法 ID 拒绝、保存加载一致性、批量 padding。另对验证集 100 篇全文逐篇严格比较，失败列表为空。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测试</w:t>
            </w:r>
          </w:p>
        </w:tc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状态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test_pretokenization_is_lossless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PASS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test_multilingual_roundtrip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PASS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test_merge_order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PASS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test_special_tokens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PASS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test_invalid_id_is_rejected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PASS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test_save_and_load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PASS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test_batch_padding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PASS</w:t>
            </w:r>
          </w:p>
        </w:tc>
      </w:tr>
    </w:tbl>
    <w:p>
      <w:pPr>
        <w:pStyle w:val="Heading1"/>
      </w:pPr>
      <w:r>
        <w:t>8. 代码与产物清单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路径</w:t>
            </w:r>
          </w:p>
        </w:tc>
        <w:tc>
          <w:tcPr>
            <w:tcW w:type="dxa" w:w="4592"/>
            <w:shd w:fill="D9E2F3"/>
          </w:tcPr>
          <w:p>
            <w:r>
              <w:rPr>
                <w:rFonts w:ascii="Arial" w:hAnsi="Arial" w:eastAsia="等线"/>
                <w:b/>
              </w:rPr>
              <w:t>作用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byte_bpe_tokenizer.py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预切分、encode/decode、批处理、保存加载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train_tokenizer.py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读取 corpus、固定划分、增量 BPE 训练、统计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evaluate_tokenizer.py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留出集无损性、压缩率与速度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example_gpt2_usage.py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PyTorch embedding 接口烟雾测试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tests/test_tokenizer.py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6 个自动单元测试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outputs/tokenizer/vocab.json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1024 项词表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outputs/tokenizer/merges.txt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764 条有序合并规则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outputs/tokenizer/tokenizer.json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可重载配置与规则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outputs/tokenizer/training_stats.json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训练参数与统计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outputs/evaluation.json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留出集指标</w:t>
            </w:r>
          </w:p>
        </w:tc>
      </w:tr>
      <w:tr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outputs/corpus_stats.json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Arial" w:hAnsi="Arial" w:eastAsia="等线"/>
              </w:rPr>
              <w:t>数据审计统计</w:t>
            </w:r>
          </w:p>
        </w:tc>
      </w:tr>
    </w:tbl>
    <w:p>
      <w:pPr>
        <w:pStyle w:val="Heading1"/>
      </w:pPr>
      <w:r>
        <w:t>9. 难度、局限与建议</w:t>
      </w:r>
    </w:p>
    <w:p>
      <w:pPr>
        <w:pStyle w:val="ListBullet"/>
      </w:pPr>
      <w:r>
        <w:t>难度结论：核心算法概念明确；朴素每轮全量重计频次可能较慢，建议课堂材料提示可先完成正确版，再把增量更新作为工程优化。</w:t>
      </w:r>
    </w:p>
    <w:p>
      <w:pPr>
        <w:pStyle w:val="ListBullet"/>
      </w:pPr>
      <w:r>
        <w:t>默认 1024 词表在本语料上训练和验证均为秒到分钟级，不需要 GPU，符合个人作业 6–10 小时的定位。</w:t>
      </w:r>
    </w:p>
    <w:p>
      <w:pPr>
        <w:pStyle w:val="ListBullet"/>
      </w:pPr>
      <w:r>
        <w:t>当前编码器为清晰起见逐轮寻找最优可用 merge；大规模 GPT 预训练前可进一步使用链表/优先队列加速单文本编码。</w:t>
      </w:r>
    </w:p>
    <w:p>
      <w:pPr>
        <w:pStyle w:val="ListBullet"/>
      </w:pPr>
      <w:r>
        <w:t>固定按文件名划分适合复现但不保证年代/期刊分层；本作业只评 tokenizer，不把它解释为下游泛化评估。</w:t>
      </w:r>
    </w:p>
    <w:p>
      <w:pPr>
        <w:pStyle w:val="ListBullet"/>
      </w:pPr>
      <w:r>
        <w:t>词表 1024 的模型 embedding 很小，但序列会长于 GPT-2 常用的大词表。后续作业需在显存、上下文长度和 token 效率间重新确认配置。</w:t>
      </w:r>
    </w:p>
    <w:p>
      <w:pPr>
        <w:pStyle w:val="Heading1"/>
      </w:pPr>
      <w:r>
        <w:t>10. 完成度结论</w:t>
      </w:r>
    </w:p>
    <w:p>
      <w:r>
        <w:t>参考实现已满足发布要求中的数据使用、byte-level BPE、自主实现、词表生成、无损验证、持久化和 GPT 接口。生成文件与作业要求采用相同字段、划分、默认词表、特殊 ID、指标定义及命令；未发现相互冲突或遗漏。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等线"/>
        <w:color w:val="808080"/>
        <w:sz w:val="16"/>
      </w:rPr>
      <w:t>作业一参考完成报告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等线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