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7B38" w:rsidRPr="00A31115" w:rsidRDefault="00D97B38" w:rsidP="00D97B38">
      <w:pPr>
        <w:autoSpaceDE w:val="0"/>
        <w:autoSpaceDN w:val="0"/>
        <w:adjustRightInd w:val="0"/>
        <w:ind w:left="360"/>
        <w:rPr>
          <w:rFonts w:ascii="Arial" w:hAnsi="Arial" w:cs="Arial"/>
          <w:b/>
          <w:bCs/>
          <w:sz w:val="56"/>
          <w:szCs w:val="56"/>
        </w:rPr>
      </w:pPr>
      <w:r w:rsidRPr="001F1BB1">
        <w:rPr>
          <w:noProof/>
        </w:rPr>
        <w:drawing>
          <wp:anchor distT="0" distB="0" distL="114300" distR="114300" simplePos="0" relativeHeight="251668480" behindDoc="0" locked="0" layoutInCell="1" allowOverlap="1" wp14:anchorId="407510B8" wp14:editId="660F2D78">
            <wp:simplePos x="0" y="0"/>
            <wp:positionH relativeFrom="column">
              <wp:posOffset>342900</wp:posOffset>
            </wp:positionH>
            <wp:positionV relativeFrom="paragraph">
              <wp:posOffset>-144145</wp:posOffset>
            </wp:positionV>
            <wp:extent cx="914400" cy="914400"/>
            <wp:effectExtent l="0" t="0" r="0" b="0"/>
            <wp:wrapTopAndBottom/>
            <wp:docPr id="2" name="Picture 2" descr="fcc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cc_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97B38" w:rsidRPr="00A31115" w:rsidRDefault="00D97B38" w:rsidP="00D97B38">
      <w:pPr>
        <w:autoSpaceDE w:val="0"/>
        <w:autoSpaceDN w:val="0"/>
        <w:adjustRightInd w:val="0"/>
        <w:ind w:left="360"/>
        <w:jc w:val="right"/>
        <w:rPr>
          <w:rFonts w:ascii="Times-Bold" w:hAnsi="Times-Bold" w:cs="Times-Bold"/>
          <w:b/>
          <w:bCs/>
        </w:rPr>
      </w:pPr>
      <w:r w:rsidRPr="00A31115">
        <w:rPr>
          <w:rFonts w:ascii="Times-Bold" w:hAnsi="Times-Bold" w:cs="Times-Bold"/>
          <w:b/>
          <w:bCs/>
        </w:rPr>
        <w:t>Federal Communications Commission</w:t>
      </w:r>
    </w:p>
    <w:p w:rsidR="00D97B38" w:rsidRPr="00A31115" w:rsidRDefault="00D97B38" w:rsidP="00D97B38">
      <w:pPr>
        <w:autoSpaceDE w:val="0"/>
        <w:autoSpaceDN w:val="0"/>
        <w:adjustRightInd w:val="0"/>
        <w:ind w:left="360"/>
        <w:jc w:val="right"/>
        <w:rPr>
          <w:rFonts w:ascii="Times-Bold" w:hAnsi="Times-Bold" w:cs="Times-Bold"/>
          <w:b/>
          <w:bCs/>
        </w:rPr>
      </w:pPr>
      <w:r w:rsidRPr="00A31115">
        <w:rPr>
          <w:rFonts w:ascii="Times-Bold" w:hAnsi="Times-Bold" w:cs="Times-Bold"/>
          <w:b/>
          <w:bCs/>
        </w:rPr>
        <w:t>445 12th Street, SW</w:t>
      </w:r>
    </w:p>
    <w:p w:rsidR="00D97B38" w:rsidRPr="00A31115" w:rsidRDefault="00D97B38" w:rsidP="00D97B38">
      <w:pPr>
        <w:autoSpaceDE w:val="0"/>
        <w:autoSpaceDN w:val="0"/>
        <w:adjustRightInd w:val="0"/>
        <w:ind w:left="360"/>
        <w:jc w:val="right"/>
        <w:rPr>
          <w:rFonts w:ascii="Arial" w:hAnsi="Arial" w:cs="Arial"/>
          <w:b/>
          <w:bCs/>
          <w:sz w:val="56"/>
          <w:szCs w:val="56"/>
        </w:rPr>
      </w:pPr>
      <w:r w:rsidRPr="00A31115">
        <w:rPr>
          <w:rFonts w:ascii="Times-Bold" w:hAnsi="Times-Bold" w:cs="Times-Bold"/>
          <w:b/>
          <w:bCs/>
        </w:rPr>
        <w:t>Washington, DC 20554</w:t>
      </w:r>
    </w:p>
    <w:p w:rsidR="00D97B38" w:rsidRPr="00A31115" w:rsidRDefault="00D97B38" w:rsidP="00D97B38">
      <w:pPr>
        <w:autoSpaceDE w:val="0"/>
        <w:autoSpaceDN w:val="0"/>
        <w:adjustRightInd w:val="0"/>
        <w:ind w:left="360"/>
        <w:rPr>
          <w:rFonts w:ascii="Arial" w:hAnsi="Arial" w:cs="Arial"/>
          <w:b/>
          <w:bCs/>
          <w:sz w:val="56"/>
          <w:szCs w:val="56"/>
        </w:rPr>
      </w:pPr>
    </w:p>
    <w:p w:rsidR="00066C76" w:rsidRPr="00A31115" w:rsidRDefault="00066C76" w:rsidP="00D97B38">
      <w:pPr>
        <w:autoSpaceDE w:val="0"/>
        <w:autoSpaceDN w:val="0"/>
        <w:adjustRightInd w:val="0"/>
        <w:ind w:left="360"/>
        <w:rPr>
          <w:rFonts w:ascii="Arial" w:hAnsi="Arial" w:cs="Arial"/>
          <w:b/>
          <w:bCs/>
          <w:sz w:val="56"/>
          <w:szCs w:val="56"/>
        </w:rPr>
      </w:pPr>
    </w:p>
    <w:p w:rsidR="00D97B38" w:rsidRPr="00A31115" w:rsidRDefault="00D97B38" w:rsidP="00D97B38">
      <w:pPr>
        <w:autoSpaceDE w:val="0"/>
        <w:autoSpaceDN w:val="0"/>
        <w:adjustRightInd w:val="0"/>
        <w:ind w:left="360"/>
        <w:rPr>
          <w:rFonts w:ascii="Arial" w:hAnsi="Arial" w:cs="Arial"/>
          <w:b/>
          <w:bCs/>
          <w:sz w:val="56"/>
          <w:szCs w:val="56"/>
        </w:rPr>
      </w:pPr>
    </w:p>
    <w:p w:rsidR="00D97B38" w:rsidRPr="00A31115" w:rsidRDefault="00D97B38" w:rsidP="00D97B38">
      <w:pPr>
        <w:autoSpaceDE w:val="0"/>
        <w:autoSpaceDN w:val="0"/>
        <w:adjustRightInd w:val="0"/>
        <w:ind w:left="360"/>
        <w:jc w:val="center"/>
        <w:rPr>
          <w:rFonts w:ascii="Arial" w:hAnsi="Arial" w:cs="Arial"/>
          <w:b/>
          <w:bCs/>
          <w:sz w:val="56"/>
          <w:szCs w:val="56"/>
        </w:rPr>
      </w:pPr>
      <w:r w:rsidRPr="00A31115">
        <w:rPr>
          <w:rFonts w:ascii="Arial" w:hAnsi="Arial" w:cs="Arial"/>
          <w:b/>
          <w:bCs/>
          <w:sz w:val="56"/>
          <w:szCs w:val="56"/>
        </w:rPr>
        <w:t>FCC White Paper</w:t>
      </w:r>
    </w:p>
    <w:p w:rsidR="00D97B38" w:rsidRPr="00A31115" w:rsidRDefault="00D97B38" w:rsidP="00D97B38">
      <w:pPr>
        <w:autoSpaceDE w:val="0"/>
        <w:autoSpaceDN w:val="0"/>
        <w:adjustRightInd w:val="0"/>
        <w:ind w:left="360"/>
        <w:jc w:val="center"/>
        <w:rPr>
          <w:rFonts w:ascii="Arial" w:hAnsi="Arial" w:cs="Arial"/>
          <w:b/>
          <w:bCs/>
          <w:sz w:val="56"/>
          <w:szCs w:val="56"/>
        </w:rPr>
      </w:pPr>
      <w:r w:rsidRPr="001F1BB1">
        <w:rPr>
          <w:noProof/>
        </w:rPr>
        <mc:AlternateContent>
          <mc:Choice Requires="wps">
            <w:drawing>
              <wp:anchor distT="0" distB="0" distL="114300" distR="114300" simplePos="0" relativeHeight="251669504" behindDoc="0" locked="0" layoutInCell="1" allowOverlap="1" wp14:anchorId="60555BF8" wp14:editId="45B62CDC">
                <wp:simplePos x="0" y="0"/>
                <wp:positionH relativeFrom="column">
                  <wp:posOffset>914400</wp:posOffset>
                </wp:positionH>
                <wp:positionV relativeFrom="paragraph">
                  <wp:posOffset>7622540</wp:posOffset>
                </wp:positionV>
                <wp:extent cx="5943600" cy="0"/>
                <wp:effectExtent l="28575" t="25400" r="28575" b="3175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8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600.2pt" to="540pt,60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" strokeweight="4pt"/>
            </w:pict>
          </mc:Fallback>
        </mc:AlternateContent>
      </w:r>
      <w:r w:rsidRPr="00A31115">
        <w:rPr>
          <w:noProof/>
        </w:rPr>
        <mc:AlternateContent>
          <mc:Choice Requires="wps">
            <w:drawing>
              <wp:anchor distT="0" distB="0" distL="114300" distR="114300" simplePos="0" relativeHeight="251667456" behindDoc="0" locked="0" layoutInCell="1" allowOverlap="1" wp14:anchorId="78E3BFBF" wp14:editId="543FFBB2">
                <wp:simplePos x="0" y="0"/>
                <wp:positionH relativeFrom="column">
                  <wp:posOffset>0</wp:posOffset>
                </wp:positionH>
                <wp:positionV relativeFrom="paragraph">
                  <wp:posOffset>60960</wp:posOffset>
                </wp:positionV>
                <wp:extent cx="5943600" cy="0"/>
                <wp:effectExtent l="28575" t="32385" r="28575" b="3429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8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4.8pt" to="468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" strokeweight="4pt"/>
            </w:pict>
          </mc:Fallback>
        </mc:AlternateContent>
      </w:r>
    </w:p>
    <w:p w:rsidR="00D97B38" w:rsidRPr="00A31115" w:rsidRDefault="00D97B38" w:rsidP="00D97B38">
      <w:pPr>
        <w:autoSpaceDE w:val="0"/>
        <w:autoSpaceDN w:val="0"/>
        <w:adjustRightInd w:val="0"/>
        <w:ind w:left="360"/>
        <w:jc w:val="center"/>
        <w:rPr>
          <w:rFonts w:ascii="Arial" w:hAnsi="Arial" w:cs="Arial"/>
          <w:sz w:val="56"/>
          <w:szCs w:val="56"/>
        </w:rPr>
      </w:pPr>
      <w:r w:rsidRPr="00A31115">
        <w:rPr>
          <w:rFonts w:ascii="Arial" w:hAnsi="Arial" w:cs="Arial"/>
          <w:sz w:val="56"/>
          <w:szCs w:val="56"/>
        </w:rPr>
        <w:t>The Mobile Broadband</w:t>
      </w:r>
    </w:p>
    <w:p w:rsidR="00D97B38" w:rsidRPr="00A31115" w:rsidRDefault="00D97B38" w:rsidP="00D97B38">
      <w:pPr>
        <w:autoSpaceDE w:val="0"/>
        <w:autoSpaceDN w:val="0"/>
        <w:adjustRightInd w:val="0"/>
        <w:ind w:left="360"/>
        <w:jc w:val="center"/>
        <w:rPr>
          <w:rFonts w:ascii="Arial" w:hAnsi="Arial" w:cs="Arial"/>
          <w:sz w:val="56"/>
          <w:szCs w:val="56"/>
        </w:rPr>
      </w:pPr>
      <w:r w:rsidRPr="00A31115">
        <w:rPr>
          <w:rFonts w:ascii="Arial" w:hAnsi="Arial" w:cs="Arial"/>
          <w:sz w:val="56"/>
          <w:szCs w:val="56"/>
        </w:rPr>
        <w:t>Spectrum Challenge:</w:t>
      </w:r>
    </w:p>
    <w:p w:rsidR="00D97B38" w:rsidRPr="00A31115" w:rsidRDefault="00D97B38" w:rsidP="00D97B38">
      <w:pPr>
        <w:autoSpaceDE w:val="0"/>
        <w:autoSpaceDN w:val="0"/>
        <w:adjustRightInd w:val="0"/>
        <w:ind w:left="360"/>
        <w:jc w:val="center"/>
        <w:rPr>
          <w:rFonts w:ascii="Arial" w:hAnsi="Arial" w:cs="Arial"/>
          <w:sz w:val="56"/>
          <w:szCs w:val="56"/>
        </w:rPr>
      </w:pPr>
      <w:r w:rsidRPr="00A31115">
        <w:rPr>
          <w:rFonts w:ascii="Arial" w:hAnsi="Arial" w:cs="Arial"/>
          <w:sz w:val="56"/>
          <w:szCs w:val="56"/>
        </w:rPr>
        <w:t>International Comparisons</w:t>
      </w:r>
    </w:p>
    <w:p w:rsidR="00D97B38" w:rsidRPr="00A31115" w:rsidRDefault="00D97B38" w:rsidP="00D97B38">
      <w:pPr>
        <w:autoSpaceDE w:val="0"/>
        <w:autoSpaceDN w:val="0"/>
        <w:adjustRightInd w:val="0"/>
        <w:ind w:left="360"/>
        <w:jc w:val="center"/>
        <w:rPr>
          <w:rFonts w:ascii="Arial" w:hAnsi="Arial" w:cs="Arial"/>
          <w:sz w:val="56"/>
          <w:szCs w:val="56"/>
        </w:rPr>
      </w:pPr>
    </w:p>
    <w:p w:rsidR="00D97B38" w:rsidRPr="00A31115" w:rsidRDefault="00D97B38" w:rsidP="00D97B38">
      <w:pPr>
        <w:autoSpaceDE w:val="0"/>
        <w:autoSpaceDN w:val="0"/>
        <w:adjustRightInd w:val="0"/>
        <w:ind w:left="360"/>
        <w:jc w:val="center"/>
        <w:rPr>
          <w:rFonts w:ascii="Arial" w:hAnsi="Arial" w:cs="Arial"/>
          <w:b/>
          <w:bCs/>
          <w:sz w:val="36"/>
          <w:szCs w:val="36"/>
        </w:rPr>
      </w:pPr>
      <w:r w:rsidRPr="00A31115">
        <w:rPr>
          <w:rFonts w:ascii="Arial" w:hAnsi="Arial" w:cs="Arial"/>
          <w:b/>
          <w:bCs/>
          <w:sz w:val="36"/>
          <w:szCs w:val="36"/>
        </w:rPr>
        <w:t>Wireless Telecommunications Bureau</w:t>
      </w:r>
    </w:p>
    <w:p w:rsidR="00D97B38" w:rsidRPr="00A31115" w:rsidRDefault="00D97B38" w:rsidP="00D97B38">
      <w:pPr>
        <w:autoSpaceDE w:val="0"/>
        <w:autoSpaceDN w:val="0"/>
        <w:adjustRightInd w:val="0"/>
        <w:ind w:left="360"/>
        <w:jc w:val="center"/>
        <w:rPr>
          <w:rFonts w:ascii="Arial" w:hAnsi="Arial" w:cs="Arial"/>
          <w:b/>
          <w:bCs/>
          <w:sz w:val="36"/>
          <w:szCs w:val="36"/>
        </w:rPr>
      </w:pPr>
      <w:r w:rsidRPr="00A31115">
        <w:rPr>
          <w:rFonts w:ascii="Arial" w:hAnsi="Arial" w:cs="Arial"/>
          <w:b/>
          <w:bCs/>
          <w:sz w:val="36"/>
          <w:szCs w:val="36"/>
        </w:rPr>
        <w:t>Office of Engineering &amp; Technology</w:t>
      </w:r>
    </w:p>
    <w:p w:rsidR="00D97B38" w:rsidRPr="00A31115" w:rsidRDefault="00D97B38" w:rsidP="00D97B38">
      <w:pPr>
        <w:autoSpaceDE w:val="0"/>
        <w:autoSpaceDN w:val="0"/>
        <w:adjustRightInd w:val="0"/>
        <w:ind w:left="360"/>
        <w:jc w:val="center"/>
        <w:rPr>
          <w:rFonts w:ascii="Arial" w:hAnsi="Arial" w:cs="Arial"/>
          <w:b/>
          <w:bCs/>
          <w:sz w:val="56"/>
          <w:szCs w:val="56"/>
        </w:rPr>
      </w:pPr>
    </w:p>
    <w:p w:rsidR="00D97B38" w:rsidRPr="00C36F95" w:rsidRDefault="00FF5555" w:rsidP="00D97B38">
      <w:pPr>
        <w:autoSpaceDE w:val="0"/>
        <w:autoSpaceDN w:val="0"/>
        <w:adjustRightInd w:val="0"/>
        <w:ind w:left="360"/>
        <w:jc w:val="center"/>
        <w:rPr>
          <w:rFonts w:ascii="Arial" w:hAnsi="Arial" w:cs="Arial"/>
          <w:b/>
          <w:bCs/>
          <w:sz w:val="56"/>
          <w:szCs w:val="56"/>
        </w:rPr>
      </w:pPr>
      <w:r>
        <w:rPr>
          <w:rFonts w:ascii="Arial" w:hAnsi="Arial" w:cs="Arial"/>
          <w:b/>
          <w:bCs/>
          <w:sz w:val="56"/>
          <w:szCs w:val="56"/>
        </w:rPr>
        <w:t>Febr</w:t>
      </w:r>
      <w:r w:rsidRPr="00590B77">
        <w:rPr>
          <w:rFonts w:ascii="Arial" w:hAnsi="Arial" w:cs="Arial"/>
          <w:b/>
          <w:bCs/>
          <w:sz w:val="56"/>
          <w:szCs w:val="56"/>
        </w:rPr>
        <w:t xml:space="preserve">uary </w:t>
      </w:r>
      <w:r w:rsidR="00F8064C">
        <w:rPr>
          <w:rFonts w:ascii="Arial" w:hAnsi="Arial" w:cs="Arial"/>
          <w:b/>
          <w:bCs/>
          <w:sz w:val="56"/>
          <w:szCs w:val="56"/>
        </w:rPr>
        <w:t>26</w:t>
      </w:r>
      <w:r w:rsidR="00C01A18" w:rsidRPr="00590B77">
        <w:rPr>
          <w:rFonts w:ascii="Arial" w:hAnsi="Arial" w:cs="Arial"/>
          <w:b/>
          <w:bCs/>
          <w:sz w:val="56"/>
          <w:szCs w:val="56"/>
        </w:rPr>
        <w:t>,</w:t>
      </w:r>
      <w:r w:rsidR="00D97B38" w:rsidRPr="00C36F95">
        <w:rPr>
          <w:rFonts w:ascii="Arial" w:hAnsi="Arial" w:cs="Arial"/>
          <w:b/>
          <w:bCs/>
          <w:sz w:val="56"/>
          <w:szCs w:val="56"/>
        </w:rPr>
        <w:t xml:space="preserve"> 2013</w:t>
      </w:r>
    </w:p>
    <w:p w:rsidR="00D97B38" w:rsidRPr="00A31115" w:rsidRDefault="00D97B38" w:rsidP="00D97B38">
      <w:pPr>
        <w:ind w:left="360"/>
        <w:jc w:val="center"/>
        <w:rPr>
          <w:rFonts w:ascii="Calibri" w:hAnsi="Calibri" w:cs="Arial"/>
          <w:b/>
          <w:sz w:val="32"/>
          <w:szCs w:val="32"/>
        </w:rPr>
      </w:pPr>
    </w:p>
    <w:p w:rsidR="00D97B38" w:rsidRPr="00A31115" w:rsidRDefault="00D97B38" w:rsidP="00D97B38">
      <w:pPr>
        <w:ind w:left="360"/>
        <w:jc w:val="center"/>
        <w:rPr>
          <w:rFonts w:ascii="Calibri" w:hAnsi="Calibri" w:cs="Arial"/>
          <w:b/>
          <w:sz w:val="32"/>
          <w:szCs w:val="32"/>
        </w:rPr>
      </w:pPr>
      <w:r w:rsidRPr="001F1BB1">
        <w:rPr>
          <w:noProof/>
        </w:rPr>
        <mc:AlternateContent>
          <mc:Choice Requires="wps">
            <w:drawing>
              <wp:anchor distT="0" distB="0" distL="114300" distR="114300" simplePos="0" relativeHeight="251671552" behindDoc="0" locked="0" layoutInCell="1" allowOverlap="1" wp14:anchorId="485F7A98" wp14:editId="11EF0711">
                <wp:simplePos x="0" y="0"/>
                <wp:positionH relativeFrom="column">
                  <wp:posOffset>12065</wp:posOffset>
                </wp:positionH>
                <wp:positionV relativeFrom="paragraph">
                  <wp:posOffset>119157</wp:posOffset>
                </wp:positionV>
                <wp:extent cx="5943600" cy="0"/>
                <wp:effectExtent l="0" t="19050" r="19050" b="3810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8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4"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5pt,9.4pt" to="468.95pt,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" strokeweight="4pt"/>
            </w:pict>
          </mc:Fallback>
        </mc:AlternateContent>
      </w:r>
    </w:p>
    <w:p w:rsidR="00D97B38" w:rsidRPr="00A31115" w:rsidRDefault="00D97B38" w:rsidP="00D97B38">
      <w:pPr>
        <w:ind w:left="360"/>
        <w:jc w:val="center"/>
        <w:rPr>
          <w:rFonts w:ascii="Calibri" w:hAnsi="Calibri" w:cs="Arial"/>
          <w:b/>
          <w:sz w:val="32"/>
          <w:szCs w:val="32"/>
        </w:rPr>
      </w:pPr>
    </w:p>
    <w:p w:rsidR="00066C76" w:rsidRPr="00A31115" w:rsidRDefault="00066C76">
      <w:pPr>
        <w:rPr>
          <w:rFonts w:ascii="Calibri" w:hAnsi="Calibri" w:cs="Arial"/>
          <w:b/>
          <w:sz w:val="32"/>
          <w:szCs w:val="32"/>
        </w:rPr>
      </w:pPr>
      <w:r w:rsidRPr="00A31115">
        <w:rPr>
          <w:rFonts w:ascii="Calibri" w:hAnsi="Calibri" w:cs="Arial"/>
          <w:b/>
          <w:sz w:val="32"/>
          <w:szCs w:val="32"/>
        </w:rPr>
        <w:br w:type="page"/>
      </w:r>
    </w:p>
    <w:p w:rsidR="008B22B8" w:rsidRPr="00F30FCB" w:rsidRDefault="008B22B8" w:rsidP="005472B0">
      <w:pPr>
        <w:pStyle w:val="Heading1"/>
        <w:rPr>
          <w:rFonts w:ascii="Arial" w:hAnsi="Arial" w:cs="Arial"/>
          <w:szCs w:val="22"/>
        </w:rPr>
      </w:pPr>
      <w:bookmarkStart w:id="0" w:name="_Toc334021473"/>
      <w:bookmarkStart w:id="1" w:name="_Toc334084592"/>
      <w:bookmarkStart w:id="2" w:name="_Toc213233335"/>
      <w:bookmarkStart w:id="3" w:name="_Toc214443905"/>
      <w:bookmarkStart w:id="4" w:name="_Toc214796362"/>
      <w:bookmarkStart w:id="5" w:name="_Toc214946804"/>
      <w:bookmarkStart w:id="6" w:name="_Toc215057588"/>
      <w:bookmarkStart w:id="7" w:name="_Toc257022668"/>
      <w:bookmarkStart w:id="8" w:name="_Toc257022713"/>
      <w:bookmarkStart w:id="9" w:name="_Toc257022774"/>
      <w:bookmarkStart w:id="10" w:name="_Toc257024344"/>
      <w:bookmarkStart w:id="11" w:name="_Toc259972817"/>
      <w:bookmarkStart w:id="12" w:name="_Toc259972850"/>
      <w:bookmarkStart w:id="13" w:name="_Toc259973237"/>
      <w:bookmarkStart w:id="14" w:name="_Toc259973385"/>
      <w:bookmarkStart w:id="15" w:name="_Toc259973630"/>
      <w:bookmarkStart w:id="16" w:name="_Toc259974240"/>
      <w:bookmarkStart w:id="17" w:name="_Toc259995997"/>
      <w:bookmarkStart w:id="18" w:name="_Toc260307781"/>
      <w:bookmarkStart w:id="19" w:name="_Toc260321743"/>
      <w:bookmarkStart w:id="20" w:name="_Toc260321976"/>
      <w:bookmarkStart w:id="21" w:name="_Toc260326750"/>
      <w:bookmarkStart w:id="22" w:name="_Toc260416173"/>
      <w:bookmarkStart w:id="23" w:name="_Toc260424205"/>
      <w:bookmarkStart w:id="24" w:name="_Toc260424354"/>
      <w:bookmarkStart w:id="25" w:name="_Toc260424529"/>
      <w:bookmarkStart w:id="26" w:name="_Toc260424795"/>
      <w:bookmarkStart w:id="27" w:name="_Toc260757114"/>
      <w:bookmarkStart w:id="28" w:name="_Toc260757755"/>
      <w:bookmarkStart w:id="29" w:name="_Toc260826678"/>
      <w:bookmarkStart w:id="30" w:name="_Toc260834145"/>
      <w:bookmarkStart w:id="31" w:name="_Toc260852083"/>
      <w:bookmarkStart w:id="32" w:name="_Toc260852509"/>
      <w:bookmarkStart w:id="33" w:name="_Toc261015088"/>
      <w:bookmarkStart w:id="34" w:name="_Toc261455715"/>
      <w:bookmarkStart w:id="35" w:name="_Toc261546362"/>
      <w:bookmarkStart w:id="36" w:name="_Toc261961401"/>
      <w:bookmarkStart w:id="37" w:name="_Toc261966163"/>
      <w:bookmarkStart w:id="38" w:name="_Toc267332355"/>
      <w:bookmarkStart w:id="39" w:name="_Toc267332472"/>
      <w:bookmarkStart w:id="40" w:name="_Toc267333348"/>
      <w:bookmarkStart w:id="41" w:name="_Toc267333412"/>
      <w:bookmarkStart w:id="42" w:name="_Toc322016001"/>
      <w:bookmarkStart w:id="43" w:name="_Toc322086571"/>
      <w:bookmarkStart w:id="44" w:name="_Toc325119462"/>
      <w:bookmarkStart w:id="45" w:name="_Toc325123207"/>
      <w:bookmarkStart w:id="46" w:name="_Toc325132437"/>
      <w:bookmarkStart w:id="47" w:name="_Toc325381552"/>
      <w:bookmarkStart w:id="48" w:name="_Toc328663897"/>
      <w:bookmarkStart w:id="49" w:name="_Toc328663944"/>
      <w:bookmarkStart w:id="50" w:name="_Toc329253342"/>
      <w:bookmarkStart w:id="51" w:name="_Toc329255324"/>
      <w:bookmarkStart w:id="52" w:name="_Toc330158124"/>
      <w:bookmarkStart w:id="53" w:name="_Toc330231583"/>
      <w:bookmarkStart w:id="54" w:name="_Toc330565353"/>
      <w:bookmarkStart w:id="55" w:name="_Toc330975432"/>
      <w:bookmarkStart w:id="56" w:name="_Toc331165345"/>
      <w:bookmarkStart w:id="57" w:name="_Toc331166889"/>
      <w:bookmarkStart w:id="58" w:name="_Toc331170226"/>
      <w:bookmarkStart w:id="59" w:name="_Toc331437196"/>
      <w:bookmarkStart w:id="60" w:name="_Toc331608305"/>
      <w:bookmarkStart w:id="61" w:name="_Toc331609051"/>
      <w:bookmarkStart w:id="62" w:name="_Toc331610366"/>
      <w:bookmarkStart w:id="63" w:name="_Toc332054906"/>
      <w:bookmarkStart w:id="64" w:name="_Toc332100675"/>
      <w:bookmarkStart w:id="65" w:name="_Toc332126680"/>
      <w:bookmarkStart w:id="66" w:name="_Toc332298546"/>
      <w:bookmarkStart w:id="67" w:name="_Toc332364155"/>
      <w:bookmarkStart w:id="68" w:name="_Toc332364373"/>
      <w:bookmarkStart w:id="69" w:name="_Toc332371925"/>
      <w:bookmarkStart w:id="70" w:name="_Toc332373921"/>
      <w:bookmarkStart w:id="71" w:name="_Toc332885700"/>
      <w:bookmarkStart w:id="72" w:name="_Toc332887245"/>
      <w:bookmarkStart w:id="73" w:name="_Toc332892026"/>
      <w:bookmarkStart w:id="74" w:name="_Toc332892056"/>
      <w:bookmarkStart w:id="75" w:name="_Toc332894251"/>
      <w:bookmarkStart w:id="76" w:name="_Toc332895538"/>
      <w:bookmarkStart w:id="77" w:name="_Toc332988998"/>
      <w:bookmarkStart w:id="78" w:name="_Toc332991310"/>
      <w:bookmarkStart w:id="79" w:name="_Toc333505080"/>
      <w:bookmarkStart w:id="80" w:name="_Toc334193437"/>
      <w:bookmarkStart w:id="81" w:name="_Toc334546079"/>
      <w:bookmarkStart w:id="82" w:name="_Toc334631139"/>
      <w:bookmarkStart w:id="83" w:name="_Toc336439164"/>
      <w:bookmarkStart w:id="84" w:name="_Toc336442155"/>
      <w:r w:rsidRPr="00F30FCB">
        <w:rPr>
          <w:rFonts w:ascii="Arial" w:hAnsi="Arial" w:cs="Arial"/>
          <w:szCs w:val="22"/>
        </w:rPr>
        <w:lastRenderedPageBreak/>
        <w:t>introduction</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p>
    <w:p w:rsidR="008B22B8" w:rsidRPr="001F1BB1" w:rsidRDefault="008B22B8" w:rsidP="00103A5A">
      <w:r w:rsidRPr="001F1BB1">
        <w:t>The mobile wireless landscape is undergoing a transformation, as mobile broadband networks are emerging not only as the foundation for communications services in the twenty-first century, but also as the infrastructure supporting economic growth and innovation in wide-ranging</w:t>
      </w:r>
      <w:r w:rsidR="00F77CAF">
        <w:t>, consumer-focused</w:t>
      </w:r>
      <w:r w:rsidRPr="001F1BB1">
        <w:t xml:space="preserve"> areas</w:t>
      </w:r>
      <w:r w:rsidR="00F77CAF">
        <w:t xml:space="preserve"> such</w:t>
      </w:r>
      <w:r w:rsidRPr="001F1BB1">
        <w:t xml:space="preserve"> as health care, public safety, education, and social welfare.  Ensuring that sufficient spectrum is available to satisfy the growing demand for mobile broadband services is a global challenge:  global mobile data traffic is anticipated to grow eighteen-fold between 2011 and 2016.</w:t>
      </w:r>
      <w:r w:rsidRPr="001F1BB1">
        <w:rPr>
          <w:rStyle w:val="FootnoteReference"/>
        </w:rPr>
        <w:footnoteReference w:id="2"/>
      </w:r>
      <w:r w:rsidRPr="001F1BB1">
        <w:t xml:space="preserve">  In this white paper, we provide information on how the United States and </w:t>
      </w:r>
      <w:r w:rsidR="00121C5E" w:rsidRPr="001F1BB1">
        <w:t xml:space="preserve">certain other </w:t>
      </w:r>
      <w:r w:rsidRPr="001F1BB1">
        <w:t>countries are responding to this challenge, in terms of making both licensed and unlicensed spectrum available for mobile broadband services.  The white paper is divided into two parts: we first discuss the availability of licensed mobile broadband spectrum and then examine opportunities for using unlicensed spectrum.</w:t>
      </w:r>
    </w:p>
    <w:p w:rsidR="008B22B8" w:rsidRPr="001F1BB1" w:rsidRDefault="008B22B8" w:rsidP="00103A5A">
      <w:r w:rsidRPr="001F1BB1">
        <w:t xml:space="preserve"> </w:t>
      </w:r>
    </w:p>
    <w:p w:rsidR="008B22B8" w:rsidRPr="001F1BB1" w:rsidRDefault="008B22B8" w:rsidP="00103A5A">
      <w:r w:rsidRPr="001F1BB1">
        <w:t>Table 1 below summarizes the results of our analyses of licensed and unlicensed spectrum in various parts of the world:</w:t>
      </w:r>
    </w:p>
    <w:p w:rsidR="008B22B8" w:rsidRPr="001F1BB1" w:rsidRDefault="008B22B8"/>
    <w:p w:rsidR="00AF3B36" w:rsidRDefault="008B22B8" w:rsidP="00103A5A">
      <w:pPr>
        <w:jc w:val="center"/>
        <w:rPr>
          <w:rFonts w:ascii="Arial" w:hAnsi="Arial" w:cs="Arial"/>
          <w:b/>
          <w:sz w:val="22"/>
          <w:szCs w:val="22"/>
          <w:u w:val="single"/>
        </w:rPr>
      </w:pPr>
      <w:r w:rsidRPr="00F30FCB">
        <w:rPr>
          <w:rFonts w:ascii="Arial" w:hAnsi="Arial" w:cs="Arial"/>
          <w:b/>
          <w:sz w:val="22"/>
          <w:szCs w:val="22"/>
          <w:u w:val="single"/>
        </w:rPr>
        <w:t>Table 1: Summary of Licensed and Unlicensed Spectrum</w:t>
      </w:r>
      <w:r w:rsidR="00DB0B7B" w:rsidRPr="00F30FCB">
        <w:rPr>
          <w:rFonts w:ascii="Arial" w:hAnsi="Arial" w:cs="Arial"/>
          <w:b/>
          <w:sz w:val="22"/>
          <w:szCs w:val="22"/>
          <w:u w:val="single"/>
        </w:rPr>
        <w:t xml:space="preserve"> </w:t>
      </w:r>
      <w:r w:rsidR="00AF3B36">
        <w:rPr>
          <w:rFonts w:ascii="Arial" w:hAnsi="Arial" w:cs="Arial"/>
          <w:b/>
          <w:sz w:val="22"/>
          <w:szCs w:val="22"/>
          <w:u w:val="single"/>
        </w:rPr>
        <w:t>Available for Mobile Broadband</w:t>
      </w:r>
    </w:p>
    <w:p w:rsidR="008B22B8" w:rsidRPr="00F30FCB" w:rsidRDefault="00DB0B7B" w:rsidP="00103A5A">
      <w:pPr>
        <w:jc w:val="center"/>
        <w:rPr>
          <w:rFonts w:ascii="Arial" w:hAnsi="Arial" w:cs="Arial"/>
          <w:b/>
          <w:sz w:val="22"/>
          <w:szCs w:val="22"/>
          <w:u w:val="single"/>
        </w:rPr>
      </w:pPr>
      <w:r w:rsidRPr="00F30FCB">
        <w:rPr>
          <w:rFonts w:ascii="Arial" w:hAnsi="Arial" w:cs="Arial"/>
          <w:b/>
          <w:sz w:val="22"/>
          <w:szCs w:val="22"/>
          <w:u w:val="single"/>
        </w:rPr>
        <w:t>(in megahertz)</w:t>
      </w:r>
    </w:p>
    <w:p w:rsidR="008B22B8" w:rsidRPr="001F1BB1" w:rsidRDefault="00D01F9A" w:rsidP="00103A5A">
      <w:pPr>
        <w:jc w:val="center"/>
        <w:rPr>
          <w:b/>
          <w:sz w:val="22"/>
          <w:szCs w:val="22"/>
          <w:u w:val="single"/>
        </w:rPr>
      </w:pPr>
      <w:r w:rsidRPr="00FF5555">
        <w:rPr>
          <w:noProof/>
          <w:sz w:val="22"/>
        </w:rPr>
        <mc:AlternateContent>
          <mc:Choice Requires="wps">
            <w:drawing>
              <wp:anchor distT="0" distB="0" distL="114300" distR="114300" simplePos="0" relativeHeight="251665408" behindDoc="0" locked="0" layoutInCell="1" allowOverlap="1" wp14:anchorId="3F09F182" wp14:editId="7B82D181">
                <wp:simplePos x="0" y="0"/>
                <wp:positionH relativeFrom="column">
                  <wp:posOffset>87782</wp:posOffset>
                </wp:positionH>
                <wp:positionV relativeFrom="paragraph">
                  <wp:posOffset>148666</wp:posOffset>
                </wp:positionV>
                <wp:extent cx="5770880" cy="3372307"/>
                <wp:effectExtent l="0" t="0" r="20320" b="19050"/>
                <wp:wrapNone/>
                <wp:docPr id="27" name="Rectangle 27"/>
                <wp:cNvGraphicFramePr/>
                <a:graphic xmlns:a="http://schemas.openxmlformats.org/drawingml/2006/main">
                  <a:graphicData uri="http://schemas.microsoft.com/office/word/2010/wordprocessingShape">
                    <wps:wsp>
                      <wps:cNvSpPr/>
                      <wps:spPr>
                        <a:xfrm>
                          <a:off x="0" y="0"/>
                          <a:ext cx="5770880" cy="3372307"/>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7" o:spid="_x0000_s1026" style="position:absolute;margin-left:6.9pt;margin-top:11.7pt;width:454.4pt;height:265.5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" filled="f" strokecolor="#243f60 [1604]" strokeweight="2pt"/>
            </w:pict>
          </mc:Fallback>
        </mc:AlternateContent>
      </w:r>
    </w:p>
    <w:p w:rsidR="008B22B8" w:rsidRPr="001F1BB1" w:rsidRDefault="00F77CAF" w:rsidP="00A14D5F">
      <w:pPr>
        <w:pStyle w:val="Header"/>
        <w:tabs>
          <w:tab w:val="clear" w:pos="4320"/>
          <w:tab w:val="clear" w:pos="8640"/>
        </w:tabs>
        <w:rPr>
          <w:noProof/>
        </w:rPr>
      </w:pPr>
      <w:r w:rsidRPr="00FF5555">
        <w:rPr>
          <w:b/>
          <w:noProof/>
          <w:sz w:val="22"/>
          <w:szCs w:val="22"/>
          <w:u w:val="single"/>
        </w:rPr>
        <mc:AlternateContent>
          <mc:Choice Requires="wps">
            <w:drawing>
              <wp:anchor distT="0" distB="0" distL="114300" distR="114300" simplePos="0" relativeHeight="251673600" behindDoc="0" locked="0" layoutInCell="1" allowOverlap="1" wp14:anchorId="13421A28" wp14:editId="69F22B46">
                <wp:simplePos x="0" y="0"/>
                <wp:positionH relativeFrom="column">
                  <wp:posOffset>85725</wp:posOffset>
                </wp:positionH>
                <wp:positionV relativeFrom="paragraph">
                  <wp:posOffset>2729230</wp:posOffset>
                </wp:positionV>
                <wp:extent cx="2676525" cy="636905"/>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6525" cy="636905"/>
                        </a:xfrm>
                        <a:prstGeom prst="rect">
                          <a:avLst/>
                        </a:prstGeom>
                        <a:noFill/>
                        <a:ln w="9525">
                          <a:noFill/>
                          <a:miter lim="800000"/>
                          <a:headEnd/>
                          <a:tailEnd/>
                        </a:ln>
                      </wps:spPr>
                      <wps:txbx>
                        <w:txbxContent>
                          <w:p w:rsidR="00590B77" w:rsidRPr="00F30FCB" w:rsidRDefault="00590B77">
                            <w:pPr>
                              <w:rPr>
                                <w:i/>
                                <w:color w:val="0F243E"/>
                                <w:sz w:val="18"/>
                                <w:szCs w:val="18"/>
                              </w:rPr>
                            </w:pPr>
                            <w:r w:rsidRPr="00F30FCB">
                              <w:rPr>
                                <w:b/>
                                <w:i/>
                                <w:color w:val="0F243E"/>
                                <w:sz w:val="18"/>
                                <w:szCs w:val="18"/>
                              </w:rPr>
                              <w:t>Note</w:t>
                            </w:r>
                            <w:r w:rsidRPr="00F30FCB">
                              <w:rPr>
                                <w:i/>
                                <w:color w:val="0F243E"/>
                                <w:sz w:val="18"/>
                                <w:szCs w:val="18"/>
                              </w:rPr>
                              <w:t xml:space="preserve">:  </w:t>
                            </w:r>
                            <w:r w:rsidR="00981DE3">
                              <w:rPr>
                                <w:i/>
                                <w:color w:val="0F243E"/>
                                <w:sz w:val="18"/>
                                <w:szCs w:val="18"/>
                              </w:rPr>
                              <w:t>US</w:t>
                            </w:r>
                            <w:r w:rsidR="00F77CAF">
                              <w:rPr>
                                <w:i/>
                                <w:color w:val="0F243E"/>
                                <w:sz w:val="18"/>
                                <w:szCs w:val="18"/>
                              </w:rPr>
                              <w:t xml:space="preserve"> p</w:t>
                            </w:r>
                            <w:r w:rsidRPr="00F30FCB">
                              <w:rPr>
                                <w:i/>
                                <w:color w:val="0F243E"/>
                                <w:sz w:val="18"/>
                                <w:szCs w:val="18"/>
                              </w:rPr>
                              <w:t>ipeline numbers do not include</w:t>
                            </w:r>
                            <w:r w:rsidR="00AF3B36">
                              <w:rPr>
                                <w:i/>
                                <w:color w:val="0F243E"/>
                                <w:sz w:val="18"/>
                                <w:szCs w:val="18"/>
                              </w:rPr>
                              <w:t xml:space="preserve"> the significant amount of </w:t>
                            </w:r>
                            <w:r w:rsidRPr="00F30FCB">
                              <w:rPr>
                                <w:i/>
                                <w:color w:val="0F243E"/>
                                <w:sz w:val="18"/>
                                <w:szCs w:val="18"/>
                              </w:rPr>
                              <w:t xml:space="preserve">spectrum </w:t>
                            </w:r>
                            <w:r>
                              <w:rPr>
                                <w:i/>
                                <w:color w:val="0F243E"/>
                                <w:sz w:val="18"/>
                                <w:szCs w:val="18"/>
                              </w:rPr>
                              <w:t xml:space="preserve">that will be </w:t>
                            </w:r>
                            <w:r w:rsidR="00F30021">
                              <w:rPr>
                                <w:i/>
                                <w:color w:val="0F243E"/>
                                <w:sz w:val="18"/>
                                <w:szCs w:val="18"/>
                              </w:rPr>
                              <w:t xml:space="preserve">made </w:t>
                            </w:r>
                            <w:r>
                              <w:rPr>
                                <w:i/>
                                <w:color w:val="0F243E"/>
                                <w:sz w:val="18"/>
                                <w:szCs w:val="18"/>
                              </w:rPr>
                              <w:t xml:space="preserve">available for mobile broadband </w:t>
                            </w:r>
                            <w:r w:rsidR="00F77CAF">
                              <w:rPr>
                                <w:i/>
                                <w:color w:val="0F243E"/>
                                <w:sz w:val="18"/>
                                <w:szCs w:val="18"/>
                              </w:rPr>
                              <w:t>from</w:t>
                            </w:r>
                            <w:r>
                              <w:rPr>
                                <w:i/>
                                <w:color w:val="0F243E"/>
                                <w:sz w:val="18"/>
                                <w:szCs w:val="18"/>
                              </w:rPr>
                              <w:t xml:space="preserve"> incentive auctions </w:t>
                            </w:r>
                            <w:r w:rsidR="00F30021">
                              <w:rPr>
                                <w:i/>
                                <w:color w:val="0F243E"/>
                                <w:sz w:val="18"/>
                                <w:szCs w:val="18"/>
                              </w:rPr>
                              <w:t>and</w:t>
                            </w:r>
                            <w:r w:rsidR="00E71BF0">
                              <w:rPr>
                                <w:i/>
                                <w:color w:val="0F243E"/>
                                <w:sz w:val="18"/>
                                <w:szCs w:val="18"/>
                              </w:rPr>
                              <w:t xml:space="preserve"> </w:t>
                            </w:r>
                            <w:r>
                              <w:rPr>
                                <w:i/>
                                <w:color w:val="0F243E"/>
                                <w:sz w:val="18"/>
                                <w:szCs w:val="18"/>
                              </w:rPr>
                              <w:t>federal repurposing</w:t>
                            </w:r>
                            <w:r w:rsidR="00F30021">
                              <w:rPr>
                                <w:i/>
                                <w:color w:val="0F243E"/>
                                <w:sz w:val="18"/>
                                <w:szCs w:val="18"/>
                              </w:rPr>
                              <w:t>.</w:t>
                            </w:r>
                            <w:r>
                              <w:rPr>
                                <w:i/>
                                <w:color w:val="0F243E"/>
                                <w:sz w:val="18"/>
                                <w:szCs w:val="18"/>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6.75pt;margin-top:214.9pt;width:210.75pt;height:50.1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" filled="f" stroked="f">
                <v:textbox>
                  <w:txbxContent>
                    <w:p w:rsidR="00590B77" w:rsidRPr="00F30FCB" w:rsidRDefault="00590B77">
                      <w:pPr>
                        <w:rPr>
                          <w:i/>
                          <w:color w:val="0F243E"/>
                          <w:sz w:val="18"/>
                          <w:szCs w:val="18"/>
                        </w:rPr>
                      </w:pPr>
                      <w:r w:rsidRPr="00F30FCB">
                        <w:rPr>
                          <w:b/>
                          <w:i/>
                          <w:color w:val="0F243E"/>
                          <w:sz w:val="18"/>
                          <w:szCs w:val="18"/>
                        </w:rPr>
                        <w:t>Note</w:t>
                      </w:r>
                      <w:r w:rsidRPr="00F30FCB">
                        <w:rPr>
                          <w:i/>
                          <w:color w:val="0F243E"/>
                          <w:sz w:val="18"/>
                          <w:szCs w:val="18"/>
                        </w:rPr>
                        <w:t xml:space="preserve">:  </w:t>
                      </w:r>
                      <w:r w:rsidR="00981DE3">
                        <w:rPr>
                          <w:i/>
                          <w:color w:val="0F243E"/>
                          <w:sz w:val="18"/>
                          <w:szCs w:val="18"/>
                        </w:rPr>
                        <w:t>US</w:t>
                      </w:r>
                      <w:r w:rsidR="00F77CAF">
                        <w:rPr>
                          <w:i/>
                          <w:color w:val="0F243E"/>
                          <w:sz w:val="18"/>
                          <w:szCs w:val="18"/>
                        </w:rPr>
                        <w:t xml:space="preserve"> p</w:t>
                      </w:r>
                      <w:r w:rsidRPr="00F30FCB">
                        <w:rPr>
                          <w:i/>
                          <w:color w:val="0F243E"/>
                          <w:sz w:val="18"/>
                          <w:szCs w:val="18"/>
                        </w:rPr>
                        <w:t>ipeline numbers do not include</w:t>
                      </w:r>
                      <w:r w:rsidR="00AF3B36">
                        <w:rPr>
                          <w:i/>
                          <w:color w:val="0F243E"/>
                          <w:sz w:val="18"/>
                          <w:szCs w:val="18"/>
                        </w:rPr>
                        <w:t xml:space="preserve"> the significant amount of </w:t>
                      </w:r>
                      <w:r w:rsidRPr="00F30FCB">
                        <w:rPr>
                          <w:i/>
                          <w:color w:val="0F243E"/>
                          <w:sz w:val="18"/>
                          <w:szCs w:val="18"/>
                        </w:rPr>
                        <w:t xml:space="preserve">spectrum </w:t>
                      </w:r>
                      <w:r>
                        <w:rPr>
                          <w:i/>
                          <w:color w:val="0F243E"/>
                          <w:sz w:val="18"/>
                          <w:szCs w:val="18"/>
                        </w:rPr>
                        <w:t xml:space="preserve">that will be </w:t>
                      </w:r>
                      <w:r w:rsidR="00F30021">
                        <w:rPr>
                          <w:i/>
                          <w:color w:val="0F243E"/>
                          <w:sz w:val="18"/>
                          <w:szCs w:val="18"/>
                        </w:rPr>
                        <w:t xml:space="preserve">made </w:t>
                      </w:r>
                      <w:r>
                        <w:rPr>
                          <w:i/>
                          <w:color w:val="0F243E"/>
                          <w:sz w:val="18"/>
                          <w:szCs w:val="18"/>
                        </w:rPr>
                        <w:t xml:space="preserve">available for mobile broadband </w:t>
                      </w:r>
                      <w:r w:rsidR="00F77CAF">
                        <w:rPr>
                          <w:i/>
                          <w:color w:val="0F243E"/>
                          <w:sz w:val="18"/>
                          <w:szCs w:val="18"/>
                        </w:rPr>
                        <w:t>from</w:t>
                      </w:r>
                      <w:r>
                        <w:rPr>
                          <w:i/>
                          <w:color w:val="0F243E"/>
                          <w:sz w:val="18"/>
                          <w:szCs w:val="18"/>
                        </w:rPr>
                        <w:t xml:space="preserve"> incentive auctions </w:t>
                      </w:r>
                      <w:r w:rsidR="00F30021">
                        <w:rPr>
                          <w:i/>
                          <w:color w:val="0F243E"/>
                          <w:sz w:val="18"/>
                          <w:szCs w:val="18"/>
                        </w:rPr>
                        <w:t>and</w:t>
                      </w:r>
                      <w:r w:rsidR="00E71BF0">
                        <w:rPr>
                          <w:i/>
                          <w:color w:val="0F243E"/>
                          <w:sz w:val="18"/>
                          <w:szCs w:val="18"/>
                        </w:rPr>
                        <w:t xml:space="preserve"> </w:t>
                      </w:r>
                      <w:r>
                        <w:rPr>
                          <w:i/>
                          <w:color w:val="0F243E"/>
                          <w:sz w:val="18"/>
                          <w:szCs w:val="18"/>
                        </w:rPr>
                        <w:t>federal repurposing</w:t>
                      </w:r>
                      <w:r w:rsidR="00F30021">
                        <w:rPr>
                          <w:i/>
                          <w:color w:val="0F243E"/>
                          <w:sz w:val="18"/>
                          <w:szCs w:val="18"/>
                        </w:rPr>
                        <w:t>.</w:t>
                      </w:r>
                      <w:r>
                        <w:rPr>
                          <w:i/>
                          <w:color w:val="0F243E"/>
                          <w:sz w:val="18"/>
                          <w:szCs w:val="18"/>
                        </w:rPr>
                        <w:t xml:space="preserve"> </w:t>
                      </w:r>
                    </w:p>
                  </w:txbxContent>
                </v:textbox>
              </v:shape>
            </w:pict>
          </mc:Fallback>
        </mc:AlternateContent>
      </w:r>
      <w:r w:rsidRPr="00277F7C">
        <w:rPr>
          <w:b/>
          <w:noProof/>
          <w:sz w:val="22"/>
          <w:szCs w:val="22"/>
          <w:u w:val="single"/>
        </w:rPr>
        <mc:AlternateContent>
          <mc:Choice Requires="wps">
            <w:drawing>
              <wp:anchor distT="0" distB="0" distL="114300" distR="114300" simplePos="0" relativeHeight="251678720" behindDoc="0" locked="0" layoutInCell="1" allowOverlap="1" wp14:anchorId="0A7305DB" wp14:editId="79B46BD6">
                <wp:simplePos x="0" y="0"/>
                <wp:positionH relativeFrom="column">
                  <wp:posOffset>2809875</wp:posOffset>
                </wp:positionH>
                <wp:positionV relativeFrom="paragraph">
                  <wp:posOffset>2738755</wp:posOffset>
                </wp:positionV>
                <wp:extent cx="2676525" cy="636905"/>
                <wp:effectExtent l="0" t="0" r="0" b="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6525" cy="636905"/>
                        </a:xfrm>
                        <a:prstGeom prst="rect">
                          <a:avLst/>
                        </a:prstGeom>
                        <a:noFill/>
                        <a:ln w="9525">
                          <a:noFill/>
                          <a:miter lim="800000"/>
                          <a:headEnd/>
                          <a:tailEnd/>
                        </a:ln>
                      </wps:spPr>
                      <wps:txbx>
                        <w:txbxContent>
                          <w:p w:rsidR="00F77CAF" w:rsidRPr="00F30FCB" w:rsidRDefault="00F77CAF" w:rsidP="00F77CAF">
                            <w:pPr>
                              <w:rPr>
                                <w:i/>
                                <w:color w:val="0F243E"/>
                                <w:sz w:val="18"/>
                                <w:szCs w:val="18"/>
                              </w:rPr>
                            </w:pPr>
                            <w:r w:rsidRPr="00F30FCB">
                              <w:rPr>
                                <w:b/>
                                <w:i/>
                                <w:color w:val="0F243E"/>
                                <w:sz w:val="18"/>
                                <w:szCs w:val="18"/>
                              </w:rPr>
                              <w:t>Note</w:t>
                            </w:r>
                            <w:r w:rsidRPr="00F30FCB">
                              <w:rPr>
                                <w:i/>
                                <w:color w:val="0F243E"/>
                                <w:sz w:val="18"/>
                                <w:szCs w:val="18"/>
                              </w:rPr>
                              <w:t xml:space="preserve">:  </w:t>
                            </w:r>
                            <w:r>
                              <w:rPr>
                                <w:i/>
                                <w:color w:val="0F243E"/>
                                <w:sz w:val="18"/>
                                <w:szCs w:val="18"/>
                              </w:rPr>
                              <w:t>Includes “</w:t>
                            </w:r>
                            <w:r w:rsidRPr="00277F7C">
                              <w:rPr>
                                <w:i/>
                                <w:color w:val="0F243E"/>
                                <w:sz w:val="18"/>
                                <w:szCs w:val="18"/>
                              </w:rPr>
                              <w:t>licensed-light</w:t>
                            </w:r>
                            <w:r>
                              <w:rPr>
                                <w:i/>
                                <w:color w:val="0F243E"/>
                                <w:sz w:val="18"/>
                                <w:szCs w:val="18"/>
                              </w:rPr>
                              <w:t xml:space="preserve">” spectrum.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221.25pt;margin-top:215.65pt;width:210.75pt;height:50.1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" filled="f" stroked="f">
                <v:textbox>
                  <w:txbxContent>
                    <w:p w:rsidR="00F77CAF" w:rsidRPr="00F30FCB" w:rsidRDefault="00F77CAF" w:rsidP="00F77CAF">
                      <w:pPr>
                        <w:rPr>
                          <w:i/>
                          <w:color w:val="0F243E"/>
                          <w:sz w:val="18"/>
                          <w:szCs w:val="18"/>
                        </w:rPr>
                      </w:pPr>
                      <w:r w:rsidRPr="00F30FCB">
                        <w:rPr>
                          <w:b/>
                          <w:i/>
                          <w:color w:val="0F243E"/>
                          <w:sz w:val="18"/>
                          <w:szCs w:val="18"/>
                        </w:rPr>
                        <w:t>Note</w:t>
                      </w:r>
                      <w:r w:rsidRPr="00F30FCB">
                        <w:rPr>
                          <w:i/>
                          <w:color w:val="0F243E"/>
                          <w:sz w:val="18"/>
                          <w:szCs w:val="18"/>
                        </w:rPr>
                        <w:t xml:space="preserve">:  </w:t>
                      </w:r>
                      <w:r>
                        <w:rPr>
                          <w:i/>
                          <w:color w:val="0F243E"/>
                          <w:sz w:val="18"/>
                          <w:szCs w:val="18"/>
                        </w:rPr>
                        <w:t>Includes “</w:t>
                      </w:r>
                      <w:r w:rsidRPr="00277F7C">
                        <w:rPr>
                          <w:i/>
                          <w:color w:val="0F243E"/>
                          <w:sz w:val="18"/>
                          <w:szCs w:val="18"/>
                        </w:rPr>
                        <w:t>licensed-light</w:t>
                      </w:r>
                      <w:r>
                        <w:rPr>
                          <w:i/>
                          <w:color w:val="0F243E"/>
                          <w:sz w:val="18"/>
                          <w:szCs w:val="18"/>
                        </w:rPr>
                        <w:t xml:space="preserve">” spectrum. </w:t>
                      </w:r>
                    </w:p>
                  </w:txbxContent>
                </v:textbox>
              </v:shape>
            </w:pict>
          </mc:Fallback>
        </mc:AlternateContent>
      </w:r>
      <w:r w:rsidR="00A14D5F">
        <w:rPr>
          <w:noProof/>
        </w:rPr>
        <w:t xml:space="preserve">    </w:t>
      </w:r>
      <w:bookmarkStart w:id="85" w:name="_GoBack"/>
      <w:r w:rsidR="00644864">
        <w:rPr>
          <w:noProof/>
        </w:rPr>
        <w:drawing>
          <wp:inline distT="0" distB="0" distL="0" distR="0" wp14:anchorId="1B4A6C4C" wp14:editId="11295B7B">
            <wp:extent cx="5664530" cy="278142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rect Chart.jpg"/>
                    <pic:cNvPicPr/>
                  </pic:nvPicPr>
                  <pic:blipFill>
                    <a:blip r:embed="rId9">
                      <a:extLst>
                        <a:ext uri="{28A0092B-C50C-407E-A947-70E740481C1C}">
                          <a14:useLocalDpi xmlns:a14="http://schemas.microsoft.com/office/drawing/2010/main" val="0"/>
                        </a:ext>
                      </a:extLst>
                    </a:blip>
                    <a:stretch>
                      <a:fillRect/>
                    </a:stretch>
                  </pic:blipFill>
                  <pic:spPr>
                    <a:xfrm>
                      <a:off x="0" y="0"/>
                      <a:ext cx="5663975" cy="2781156"/>
                    </a:xfrm>
                    <a:prstGeom prst="rect">
                      <a:avLst/>
                    </a:prstGeom>
                  </pic:spPr>
                </pic:pic>
              </a:graphicData>
            </a:graphic>
          </wp:inline>
        </w:drawing>
      </w:r>
      <w:bookmarkEnd w:id="85"/>
      <w:r w:rsidR="00A14D5F">
        <w:rPr>
          <w:noProof/>
        </w:rPr>
        <w:t xml:space="preserve">                                                                  </w:t>
      </w:r>
    </w:p>
    <w:p w:rsidR="008B22B8" w:rsidRPr="001F1BB1" w:rsidRDefault="008B22B8" w:rsidP="00103A5A"/>
    <w:p w:rsidR="00422632" w:rsidRDefault="00422632" w:rsidP="00103A5A"/>
    <w:p w:rsidR="008B2B2D" w:rsidRPr="001F1BB1" w:rsidRDefault="008B2B2D" w:rsidP="00103A5A"/>
    <w:p w:rsidR="00590B77" w:rsidRDefault="00590B77">
      <w:pPr>
        <w:rPr>
          <w:rFonts w:ascii="Arial" w:eastAsia="SimSun" w:hAnsi="Arial" w:cs="Arial"/>
          <w:b/>
          <w:caps/>
          <w:kern w:val="28"/>
          <w:sz w:val="22"/>
          <w:szCs w:val="22"/>
        </w:rPr>
      </w:pPr>
      <w:r>
        <w:rPr>
          <w:rFonts w:ascii="Arial" w:hAnsi="Arial" w:cs="Arial"/>
          <w:szCs w:val="22"/>
        </w:rPr>
        <w:br w:type="page"/>
      </w:r>
    </w:p>
    <w:p w:rsidR="008B22B8" w:rsidRPr="00F30FCB" w:rsidRDefault="008B22B8" w:rsidP="005472B0">
      <w:pPr>
        <w:pStyle w:val="Heading1"/>
        <w:tabs>
          <w:tab w:val="left" w:pos="990"/>
        </w:tabs>
        <w:rPr>
          <w:rFonts w:ascii="Arial" w:hAnsi="Arial" w:cs="Arial"/>
          <w:szCs w:val="22"/>
        </w:rPr>
      </w:pPr>
      <w:r w:rsidRPr="00F30FCB">
        <w:rPr>
          <w:rFonts w:ascii="Arial" w:hAnsi="Arial" w:cs="Arial"/>
          <w:szCs w:val="22"/>
        </w:rPr>
        <w:lastRenderedPageBreak/>
        <w:t>Licensed spectrum resources</w:t>
      </w:r>
    </w:p>
    <w:p w:rsidR="008B22B8" w:rsidRPr="001F1BB1" w:rsidRDefault="008B22B8" w:rsidP="00103A5A">
      <w:r w:rsidRPr="001F1BB1">
        <w:t>In this section, we discuss the status of spectrum available for mobile broadband services for selected countries</w:t>
      </w:r>
      <w:r w:rsidR="00277F7C">
        <w:rPr>
          <w:rStyle w:val="FootnoteReference"/>
        </w:rPr>
        <w:footnoteReference w:id="3"/>
      </w:r>
      <w:r w:rsidRPr="001F1BB1">
        <w:t xml:space="preserve"> and the United States.  We limit our analysis in this section to licensed spectrum below 2.7 GHz, because these are the frequency bands that, at present, are primarily used for the provision of mobile broadband services </w:t>
      </w:r>
      <w:r w:rsidR="00297202">
        <w:t>around the world</w:t>
      </w:r>
      <w:r w:rsidRPr="001F1BB1">
        <w:t>.</w:t>
      </w:r>
      <w:r w:rsidRPr="001F1BB1">
        <w:rPr>
          <w:rStyle w:val="FootnoteReference"/>
        </w:rPr>
        <w:footnoteReference w:id="4"/>
      </w:r>
      <w:r w:rsidRPr="001F1BB1">
        <w:t xml:space="preserve">  For purposes of this section, we distinguish between mobile spectrum bands by placing them into one of two categories: (1) “currently available” or (2) “in the pipeline.”  We consider spectrum to be “currently available” if providers have legal authority to build networks and provide voice and/or mobile broadband service.  This includes spectrum that is currently being used to provide such service, as well as spectrum where providers have not yet built out their networks, and encumbered spectrum where providers have the authority to clear the spectrum.  We consider spectrum to be “in the pipeline” if it is not currently available for commercial services but the relevant government has plans to make this spectrum available to providers within the next three years.  “Pipeline” spectrum includes encumbered spectrum where providers lack the authority to clear the spectrum but the relevant government </w:t>
      </w:r>
      <w:r w:rsidR="00517F24">
        <w:t xml:space="preserve">has </w:t>
      </w:r>
      <w:r w:rsidRPr="001F1BB1">
        <w:t xml:space="preserve">plans to </w:t>
      </w:r>
      <w:r w:rsidR="00517F24">
        <w:t>make the spectrum available for commercial services, through clearing or sharing,</w:t>
      </w:r>
      <w:r w:rsidR="00B170B0" w:rsidRPr="001F1BB1">
        <w:t xml:space="preserve"> </w:t>
      </w:r>
      <w:r w:rsidRPr="001F1BB1">
        <w:t>within the next three years.</w:t>
      </w:r>
    </w:p>
    <w:p w:rsidR="008B22B8" w:rsidRPr="001F1BB1" w:rsidRDefault="008B22B8" w:rsidP="00103A5A"/>
    <w:p w:rsidR="008B22B8" w:rsidRPr="001F1BB1" w:rsidRDefault="008B22B8" w:rsidP="0027143F">
      <w:pPr>
        <w:shd w:val="clear" w:color="auto" w:fill="FFFFFF"/>
        <w:rPr>
          <w:rStyle w:val="Strong"/>
        </w:rPr>
      </w:pPr>
      <w:r w:rsidRPr="00F30FCB">
        <w:t>For the most part, the spectrum bands commonly used for mobile broadband services around the world are based on two sets of “standard” bands that are used in the United States or Europe, with some exceptions (such as the use of the 1.5 GHz band in Japan).</w:t>
      </w:r>
      <w:r w:rsidRPr="001F1BB1">
        <w:rPr>
          <w:rStyle w:val="FootnoteReference"/>
        </w:rPr>
        <w:footnoteReference w:id="5"/>
      </w:r>
      <w:r w:rsidRPr="001F1BB1">
        <w:t xml:space="preserve">  By using the same standard bands that are used throughout the world, countries can take advantage of economies of scale in designing and deploying network and consumer equipment.  While the standard mobile spectrum bands used in Europe do not correspond exactly with the standard mobile spectrum bands used in the U</w:t>
      </w:r>
      <w:r w:rsidR="00B86B79">
        <w:t>nited States</w:t>
      </w:r>
      <w:r w:rsidRPr="001F1BB1">
        <w:t>, the largest and most commonly deployed bands are comparable in terms of general frequency range, timing, and technology, as shown below (see Table 2).  The total available spectrum in these standard mobile spectrum bands is also roughly equal for Europe and the United States.</w:t>
      </w:r>
    </w:p>
    <w:p w:rsidR="00F30021" w:rsidRDefault="008B22B8" w:rsidP="005472B0">
      <w:pPr>
        <w:keepNext/>
        <w:keepLines/>
        <w:widowControl w:val="0"/>
        <w:jc w:val="center"/>
        <w:rPr>
          <w:rFonts w:ascii="Arial" w:hAnsi="Arial" w:cs="Arial"/>
          <w:b/>
          <w:sz w:val="22"/>
          <w:u w:val="single"/>
        </w:rPr>
      </w:pPr>
      <w:r w:rsidRPr="00F30FCB">
        <w:rPr>
          <w:rFonts w:ascii="Arial" w:hAnsi="Arial" w:cs="Arial"/>
          <w:b/>
          <w:sz w:val="22"/>
          <w:u w:val="single"/>
        </w:rPr>
        <w:lastRenderedPageBreak/>
        <w:t xml:space="preserve">Table 2: EU </w:t>
      </w:r>
      <w:r w:rsidR="00552D43" w:rsidRPr="00F30FCB">
        <w:rPr>
          <w:rFonts w:ascii="Arial" w:hAnsi="Arial" w:cs="Arial"/>
          <w:b/>
          <w:sz w:val="22"/>
          <w:u w:val="single"/>
        </w:rPr>
        <w:t>and</w:t>
      </w:r>
      <w:r w:rsidRPr="00F30FCB">
        <w:rPr>
          <w:rFonts w:ascii="Arial" w:hAnsi="Arial" w:cs="Arial"/>
          <w:b/>
          <w:sz w:val="22"/>
          <w:u w:val="single"/>
        </w:rPr>
        <w:t xml:space="preserve"> </w:t>
      </w:r>
      <w:r w:rsidR="00981DE3">
        <w:rPr>
          <w:rFonts w:ascii="Arial" w:hAnsi="Arial" w:cs="Arial"/>
          <w:b/>
          <w:sz w:val="22"/>
          <w:u w:val="single"/>
        </w:rPr>
        <w:t>US</w:t>
      </w:r>
      <w:r w:rsidRPr="00F30FCB">
        <w:rPr>
          <w:rFonts w:ascii="Arial" w:hAnsi="Arial" w:cs="Arial"/>
          <w:b/>
          <w:sz w:val="22"/>
          <w:u w:val="single"/>
        </w:rPr>
        <w:t xml:space="preserve"> </w:t>
      </w:r>
      <w:r w:rsidR="00C55387" w:rsidRPr="00F30FCB">
        <w:rPr>
          <w:rFonts w:ascii="Arial" w:hAnsi="Arial" w:cs="Arial"/>
          <w:b/>
          <w:sz w:val="22"/>
          <w:u w:val="single"/>
        </w:rPr>
        <w:t>–</w:t>
      </w:r>
      <w:r w:rsidR="00302CE5" w:rsidRPr="00F30FCB">
        <w:rPr>
          <w:rFonts w:ascii="Arial" w:hAnsi="Arial" w:cs="Arial"/>
          <w:b/>
          <w:sz w:val="22"/>
          <w:u w:val="single"/>
        </w:rPr>
        <w:t xml:space="preserve"> </w:t>
      </w:r>
      <w:r w:rsidR="00C55387" w:rsidRPr="00F30FCB">
        <w:rPr>
          <w:rFonts w:ascii="Arial" w:hAnsi="Arial" w:cs="Arial"/>
          <w:b/>
          <w:sz w:val="22"/>
          <w:u w:val="single"/>
        </w:rPr>
        <w:t xml:space="preserve">The </w:t>
      </w:r>
      <w:r w:rsidR="00121C5E" w:rsidRPr="00F30FCB">
        <w:rPr>
          <w:rFonts w:ascii="Arial" w:hAnsi="Arial" w:cs="Arial"/>
          <w:b/>
          <w:sz w:val="22"/>
          <w:u w:val="single"/>
        </w:rPr>
        <w:t>Most Commonly</w:t>
      </w:r>
      <w:r w:rsidR="00552D43" w:rsidRPr="00F30FCB">
        <w:rPr>
          <w:rFonts w:ascii="Arial" w:hAnsi="Arial" w:cs="Arial"/>
          <w:b/>
          <w:sz w:val="22"/>
          <w:u w:val="single"/>
        </w:rPr>
        <w:t xml:space="preserve"> Deployed </w:t>
      </w:r>
    </w:p>
    <w:p w:rsidR="008B22B8" w:rsidRPr="00F30FCB" w:rsidRDefault="008B22B8" w:rsidP="005472B0">
      <w:pPr>
        <w:keepNext/>
        <w:keepLines/>
        <w:widowControl w:val="0"/>
        <w:jc w:val="center"/>
        <w:rPr>
          <w:rFonts w:ascii="Arial" w:hAnsi="Arial" w:cs="Arial"/>
          <w:sz w:val="22"/>
        </w:rPr>
      </w:pPr>
      <w:r w:rsidRPr="00F30FCB">
        <w:rPr>
          <w:rFonts w:ascii="Arial" w:hAnsi="Arial" w:cs="Arial"/>
          <w:b/>
          <w:sz w:val="22"/>
          <w:u w:val="single"/>
        </w:rPr>
        <w:t xml:space="preserve">Mobile </w:t>
      </w:r>
      <w:r w:rsidR="00F30021">
        <w:rPr>
          <w:rFonts w:ascii="Arial" w:hAnsi="Arial" w:cs="Arial"/>
          <w:b/>
          <w:sz w:val="22"/>
          <w:u w:val="single"/>
        </w:rPr>
        <w:t xml:space="preserve">Broadband </w:t>
      </w:r>
      <w:r w:rsidRPr="00F30FCB">
        <w:rPr>
          <w:rFonts w:ascii="Arial" w:hAnsi="Arial" w:cs="Arial"/>
          <w:b/>
          <w:sz w:val="22"/>
          <w:u w:val="single"/>
        </w:rPr>
        <w:t>Spectrum Bands</w:t>
      </w:r>
    </w:p>
    <w:p w:rsidR="008B22B8" w:rsidRPr="001F1BB1" w:rsidRDefault="00D01F9A" w:rsidP="005472B0">
      <w:pPr>
        <w:keepNext/>
        <w:keepLines/>
        <w:widowControl w:val="0"/>
        <w:jc w:val="center"/>
        <w:rPr>
          <w:sz w:val="22"/>
        </w:rPr>
      </w:pPr>
      <w:r w:rsidRPr="001F1BB1">
        <w:rPr>
          <w:noProof/>
          <w:sz w:val="22"/>
        </w:rPr>
        <mc:AlternateContent>
          <mc:Choice Requires="wps">
            <w:drawing>
              <wp:anchor distT="0" distB="0" distL="114300" distR="114300" simplePos="0" relativeHeight="251659264" behindDoc="0" locked="0" layoutInCell="1" allowOverlap="1" wp14:anchorId="67BCD726" wp14:editId="5296B27B">
                <wp:simplePos x="0" y="0"/>
                <wp:positionH relativeFrom="column">
                  <wp:posOffset>-66675</wp:posOffset>
                </wp:positionH>
                <wp:positionV relativeFrom="paragraph">
                  <wp:posOffset>78741</wp:posOffset>
                </wp:positionV>
                <wp:extent cx="5770880" cy="3352800"/>
                <wp:effectExtent l="0" t="0" r="20320" b="19050"/>
                <wp:wrapNone/>
                <wp:docPr id="19" name="Rectangle 19"/>
                <wp:cNvGraphicFramePr/>
                <a:graphic xmlns:a="http://schemas.openxmlformats.org/drawingml/2006/main">
                  <a:graphicData uri="http://schemas.microsoft.com/office/word/2010/wordprocessingShape">
                    <wps:wsp>
                      <wps:cNvSpPr/>
                      <wps:spPr>
                        <a:xfrm>
                          <a:off x="0" y="0"/>
                          <a:ext cx="5770880" cy="3352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9" o:spid="_x0000_s1026" style="position:absolute;margin-left:-5.25pt;margin-top:6.2pt;width:454.4pt;height:264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" filled="f" strokecolor="#243f60 [1604]" strokeweight="2pt"/>
            </w:pict>
          </mc:Fallback>
        </mc:AlternateContent>
      </w:r>
    </w:p>
    <w:p w:rsidR="008B22B8" w:rsidRPr="001F1BB1" w:rsidRDefault="00924C3A" w:rsidP="001C5B63">
      <w:pPr>
        <w:keepNext/>
        <w:keepLines/>
        <w:widowControl w:val="0"/>
        <w:spacing w:after="220"/>
        <w:ind w:left="-446"/>
        <w:jc w:val="center"/>
      </w:pPr>
      <w:r w:rsidRPr="001F1BB1">
        <w:rPr>
          <w:noProof/>
        </w:rPr>
        <mc:AlternateContent>
          <mc:Choice Requires="wps">
            <w:drawing>
              <wp:anchor distT="0" distB="0" distL="114300" distR="114300" simplePos="0" relativeHeight="251660288" behindDoc="0" locked="0" layoutInCell="1" allowOverlap="1" wp14:anchorId="7A4A052D" wp14:editId="04B59027">
                <wp:simplePos x="0" y="0"/>
                <wp:positionH relativeFrom="column">
                  <wp:posOffset>64770</wp:posOffset>
                </wp:positionH>
                <wp:positionV relativeFrom="paragraph">
                  <wp:posOffset>2738120</wp:posOffset>
                </wp:positionV>
                <wp:extent cx="5533390" cy="533400"/>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33390" cy="533400"/>
                        </a:xfrm>
                        <a:prstGeom prst="rect">
                          <a:avLst/>
                        </a:prstGeom>
                        <a:noFill/>
                        <a:ln w="9525">
                          <a:noFill/>
                          <a:miter lim="800000"/>
                          <a:headEnd/>
                          <a:tailEnd/>
                        </a:ln>
                      </wps:spPr>
                      <wps:txbx>
                        <w:txbxContent>
                          <w:p w:rsidR="00552D43" w:rsidRPr="001C5B63" w:rsidRDefault="00552D43">
                            <w:pPr>
                              <w:rPr>
                                <w:i/>
                                <w:color w:val="0F243E" w:themeColor="text2" w:themeShade="80"/>
                                <w:sz w:val="18"/>
                                <w:szCs w:val="18"/>
                              </w:rPr>
                            </w:pPr>
                            <w:r w:rsidRPr="001C5B63">
                              <w:rPr>
                                <w:b/>
                                <w:i/>
                                <w:color w:val="0F243E" w:themeColor="text2" w:themeShade="80"/>
                                <w:sz w:val="18"/>
                                <w:szCs w:val="18"/>
                              </w:rPr>
                              <w:t>Note</w:t>
                            </w:r>
                            <w:r w:rsidRPr="001C5B63">
                              <w:rPr>
                                <w:i/>
                                <w:color w:val="0F243E" w:themeColor="text2" w:themeShade="80"/>
                                <w:sz w:val="18"/>
                                <w:szCs w:val="18"/>
                              </w:rPr>
                              <w:t xml:space="preserve">:  </w:t>
                            </w:r>
                            <w:r w:rsidR="00302CE5">
                              <w:rPr>
                                <w:i/>
                                <w:color w:val="0F243E" w:themeColor="text2" w:themeShade="80"/>
                                <w:sz w:val="18"/>
                                <w:szCs w:val="18"/>
                              </w:rPr>
                              <w:t>T</w:t>
                            </w:r>
                            <w:r w:rsidR="00121C5E" w:rsidRPr="001C5B63">
                              <w:rPr>
                                <w:i/>
                                <w:color w:val="0F243E" w:themeColor="text2" w:themeShade="80"/>
                                <w:sz w:val="18"/>
                                <w:szCs w:val="18"/>
                              </w:rPr>
                              <w:t>his table represent</w:t>
                            </w:r>
                            <w:r w:rsidR="00302CE5">
                              <w:rPr>
                                <w:i/>
                                <w:color w:val="0F243E" w:themeColor="text2" w:themeShade="80"/>
                                <w:sz w:val="18"/>
                                <w:szCs w:val="18"/>
                              </w:rPr>
                              <w:t>s</w:t>
                            </w:r>
                            <w:r w:rsidR="00121C5E" w:rsidRPr="001C5B63">
                              <w:rPr>
                                <w:i/>
                                <w:color w:val="0F243E" w:themeColor="text2" w:themeShade="80"/>
                                <w:sz w:val="18"/>
                                <w:szCs w:val="18"/>
                              </w:rPr>
                              <w:t xml:space="preserve"> </w:t>
                            </w:r>
                            <w:r w:rsidR="00302CE5">
                              <w:rPr>
                                <w:i/>
                                <w:color w:val="0F243E" w:themeColor="text2" w:themeShade="80"/>
                                <w:sz w:val="18"/>
                                <w:szCs w:val="18"/>
                              </w:rPr>
                              <w:t xml:space="preserve">only </w:t>
                            </w:r>
                            <w:r w:rsidR="00121C5E" w:rsidRPr="001C5B63">
                              <w:rPr>
                                <w:i/>
                                <w:color w:val="0F243E" w:themeColor="text2" w:themeShade="80"/>
                                <w:sz w:val="18"/>
                                <w:szCs w:val="18"/>
                              </w:rPr>
                              <w:t xml:space="preserve">the most commonly deployed bands in </w:t>
                            </w:r>
                            <w:r w:rsidR="00302CE5">
                              <w:rPr>
                                <w:i/>
                                <w:color w:val="0F243E" w:themeColor="text2" w:themeShade="80"/>
                                <w:sz w:val="18"/>
                                <w:szCs w:val="18"/>
                              </w:rPr>
                              <w:t xml:space="preserve">the EU and </w:t>
                            </w:r>
                            <w:r w:rsidR="00981DE3">
                              <w:rPr>
                                <w:i/>
                                <w:color w:val="0F243E" w:themeColor="text2" w:themeShade="80"/>
                                <w:sz w:val="18"/>
                                <w:szCs w:val="18"/>
                              </w:rPr>
                              <w:t>US</w:t>
                            </w:r>
                            <w:r w:rsidR="00302CE5">
                              <w:rPr>
                                <w:i/>
                                <w:color w:val="0F243E" w:themeColor="text2" w:themeShade="80"/>
                                <w:sz w:val="18"/>
                                <w:szCs w:val="18"/>
                              </w:rPr>
                              <w:t xml:space="preserve"> </w:t>
                            </w:r>
                            <w:r w:rsidR="00121C5E" w:rsidRPr="001C5B63">
                              <w:rPr>
                                <w:i/>
                                <w:color w:val="0F243E" w:themeColor="text2" w:themeShade="80"/>
                                <w:sz w:val="18"/>
                                <w:szCs w:val="18"/>
                              </w:rPr>
                              <w:t>as of the date of this paper</w:t>
                            </w:r>
                            <w:r w:rsidR="00302CE5">
                              <w:rPr>
                                <w:i/>
                                <w:color w:val="0F243E" w:themeColor="text2" w:themeShade="80"/>
                                <w:sz w:val="18"/>
                                <w:szCs w:val="18"/>
                              </w:rPr>
                              <w:t xml:space="preserve">.  Thus, it does not include </w:t>
                            </w:r>
                            <w:r w:rsidRPr="001C5B63">
                              <w:rPr>
                                <w:i/>
                                <w:color w:val="0F243E" w:themeColor="text2" w:themeShade="80"/>
                                <w:sz w:val="18"/>
                                <w:szCs w:val="18"/>
                              </w:rPr>
                              <w:t xml:space="preserve">the AWS-4 and WCS bands </w:t>
                            </w:r>
                            <w:r w:rsidR="00302CE5">
                              <w:rPr>
                                <w:i/>
                                <w:color w:val="0F243E" w:themeColor="text2" w:themeShade="80"/>
                                <w:sz w:val="18"/>
                                <w:szCs w:val="18"/>
                              </w:rPr>
                              <w:t xml:space="preserve">recently made available </w:t>
                            </w:r>
                            <w:r w:rsidRPr="001C5B63">
                              <w:rPr>
                                <w:i/>
                                <w:color w:val="0F243E" w:themeColor="text2" w:themeShade="80"/>
                                <w:sz w:val="18"/>
                                <w:szCs w:val="18"/>
                              </w:rPr>
                              <w:t xml:space="preserve">in the </w:t>
                            </w:r>
                            <w:r w:rsidR="00981DE3">
                              <w:rPr>
                                <w:i/>
                                <w:color w:val="0F243E" w:themeColor="text2" w:themeShade="80"/>
                                <w:sz w:val="18"/>
                                <w:szCs w:val="18"/>
                              </w:rPr>
                              <w:t>US</w:t>
                            </w:r>
                            <w:r w:rsidR="00C55387">
                              <w:rPr>
                                <w:i/>
                                <w:color w:val="0F243E" w:themeColor="text2" w:themeShade="80"/>
                                <w:sz w:val="18"/>
                                <w:szCs w:val="18"/>
                              </w:rPr>
                              <w:t>, which</w:t>
                            </w:r>
                            <w:r w:rsidRPr="001C5B63">
                              <w:rPr>
                                <w:i/>
                                <w:color w:val="0F243E" w:themeColor="text2" w:themeShade="80"/>
                                <w:sz w:val="18"/>
                                <w:szCs w:val="18"/>
                              </w:rPr>
                              <w:t xml:space="preserve"> are not yet deployed and generally do not have a </w:t>
                            </w:r>
                            <w:r w:rsidR="00E362DB" w:rsidRPr="001C5B63">
                              <w:rPr>
                                <w:i/>
                                <w:color w:val="0F243E" w:themeColor="text2" w:themeShade="80"/>
                                <w:sz w:val="18"/>
                                <w:szCs w:val="18"/>
                              </w:rPr>
                              <w:t>comparable</w:t>
                            </w:r>
                            <w:r w:rsidRPr="001C5B63">
                              <w:rPr>
                                <w:i/>
                                <w:color w:val="0F243E" w:themeColor="text2" w:themeShade="80"/>
                                <w:sz w:val="18"/>
                                <w:szCs w:val="18"/>
                              </w:rPr>
                              <w:t xml:space="preserve"> counterpart in Europe</w:t>
                            </w:r>
                            <w:r w:rsidR="00F77CAF">
                              <w:rPr>
                                <w:i/>
                                <w:color w:val="0F243E" w:themeColor="text2" w:themeShade="80"/>
                                <w:sz w:val="18"/>
                                <w:szCs w:val="18"/>
                              </w:rPr>
                              <w:t>.</w:t>
                            </w:r>
                          </w:p>
                        </w:txbxContent>
                      </wps:txbx>
                      <wps:bodyPr rot="0" vert="horz" wrap="square" lIns="91440" tIns="45720" rIns="91440" bIns="45720" anchor="t" anchorCtr="0">
                        <a:noAutofit/>
                      </wps:bodyPr>
                    </wps:wsp>
                  </a:graphicData>
                </a:graphic>
              </wp:anchor>
            </w:drawing>
          </mc:Choice>
          <mc:Fallback>
            <w:pict>
              <v:shape id="_x0000_s1028" type="#_x0000_t202" style="position:absolute;left:0;text-align:left;margin-left:5.1pt;margin-top:215.6pt;width:435.7pt;height:42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" filled="f" stroked="f">
                <v:textbox>
                  <w:txbxContent>
                    <w:p w:rsidR="00552D43" w:rsidRPr="001C5B63" w:rsidRDefault="00552D43">
                      <w:pPr>
                        <w:rPr>
                          <w:i/>
                          <w:color w:val="0F243E" w:themeColor="text2" w:themeShade="80"/>
                          <w:sz w:val="18"/>
                          <w:szCs w:val="18"/>
                        </w:rPr>
                      </w:pPr>
                      <w:r w:rsidRPr="001C5B63">
                        <w:rPr>
                          <w:b/>
                          <w:i/>
                          <w:color w:val="0F243E" w:themeColor="text2" w:themeShade="80"/>
                          <w:sz w:val="18"/>
                          <w:szCs w:val="18"/>
                        </w:rPr>
                        <w:t>Note</w:t>
                      </w:r>
                      <w:r w:rsidRPr="001C5B63">
                        <w:rPr>
                          <w:i/>
                          <w:color w:val="0F243E" w:themeColor="text2" w:themeShade="80"/>
                          <w:sz w:val="18"/>
                          <w:szCs w:val="18"/>
                        </w:rPr>
                        <w:t xml:space="preserve">:  </w:t>
                      </w:r>
                      <w:r w:rsidR="00302CE5">
                        <w:rPr>
                          <w:i/>
                          <w:color w:val="0F243E" w:themeColor="text2" w:themeShade="80"/>
                          <w:sz w:val="18"/>
                          <w:szCs w:val="18"/>
                        </w:rPr>
                        <w:t>T</w:t>
                      </w:r>
                      <w:r w:rsidR="00121C5E" w:rsidRPr="001C5B63">
                        <w:rPr>
                          <w:i/>
                          <w:color w:val="0F243E" w:themeColor="text2" w:themeShade="80"/>
                          <w:sz w:val="18"/>
                          <w:szCs w:val="18"/>
                        </w:rPr>
                        <w:t>his table represent</w:t>
                      </w:r>
                      <w:r w:rsidR="00302CE5">
                        <w:rPr>
                          <w:i/>
                          <w:color w:val="0F243E" w:themeColor="text2" w:themeShade="80"/>
                          <w:sz w:val="18"/>
                          <w:szCs w:val="18"/>
                        </w:rPr>
                        <w:t>s</w:t>
                      </w:r>
                      <w:r w:rsidR="00121C5E" w:rsidRPr="001C5B63">
                        <w:rPr>
                          <w:i/>
                          <w:color w:val="0F243E" w:themeColor="text2" w:themeShade="80"/>
                          <w:sz w:val="18"/>
                          <w:szCs w:val="18"/>
                        </w:rPr>
                        <w:t xml:space="preserve"> </w:t>
                      </w:r>
                      <w:r w:rsidR="00302CE5">
                        <w:rPr>
                          <w:i/>
                          <w:color w:val="0F243E" w:themeColor="text2" w:themeShade="80"/>
                          <w:sz w:val="18"/>
                          <w:szCs w:val="18"/>
                        </w:rPr>
                        <w:t xml:space="preserve">only </w:t>
                      </w:r>
                      <w:r w:rsidR="00121C5E" w:rsidRPr="001C5B63">
                        <w:rPr>
                          <w:i/>
                          <w:color w:val="0F243E" w:themeColor="text2" w:themeShade="80"/>
                          <w:sz w:val="18"/>
                          <w:szCs w:val="18"/>
                        </w:rPr>
                        <w:t xml:space="preserve">the most commonly deployed bands in </w:t>
                      </w:r>
                      <w:r w:rsidR="00302CE5">
                        <w:rPr>
                          <w:i/>
                          <w:color w:val="0F243E" w:themeColor="text2" w:themeShade="80"/>
                          <w:sz w:val="18"/>
                          <w:szCs w:val="18"/>
                        </w:rPr>
                        <w:t xml:space="preserve">the EU and </w:t>
                      </w:r>
                      <w:r w:rsidR="00981DE3">
                        <w:rPr>
                          <w:i/>
                          <w:color w:val="0F243E" w:themeColor="text2" w:themeShade="80"/>
                          <w:sz w:val="18"/>
                          <w:szCs w:val="18"/>
                        </w:rPr>
                        <w:t>US</w:t>
                      </w:r>
                      <w:r w:rsidR="00302CE5">
                        <w:rPr>
                          <w:i/>
                          <w:color w:val="0F243E" w:themeColor="text2" w:themeShade="80"/>
                          <w:sz w:val="18"/>
                          <w:szCs w:val="18"/>
                        </w:rPr>
                        <w:t xml:space="preserve"> </w:t>
                      </w:r>
                      <w:r w:rsidR="00121C5E" w:rsidRPr="001C5B63">
                        <w:rPr>
                          <w:i/>
                          <w:color w:val="0F243E" w:themeColor="text2" w:themeShade="80"/>
                          <w:sz w:val="18"/>
                          <w:szCs w:val="18"/>
                        </w:rPr>
                        <w:t>as of the date of this paper</w:t>
                      </w:r>
                      <w:r w:rsidR="00302CE5">
                        <w:rPr>
                          <w:i/>
                          <w:color w:val="0F243E" w:themeColor="text2" w:themeShade="80"/>
                          <w:sz w:val="18"/>
                          <w:szCs w:val="18"/>
                        </w:rPr>
                        <w:t xml:space="preserve">.  Thus, it does not include </w:t>
                      </w:r>
                      <w:r w:rsidRPr="001C5B63">
                        <w:rPr>
                          <w:i/>
                          <w:color w:val="0F243E" w:themeColor="text2" w:themeShade="80"/>
                          <w:sz w:val="18"/>
                          <w:szCs w:val="18"/>
                        </w:rPr>
                        <w:t xml:space="preserve">the AWS-4 and WCS bands </w:t>
                      </w:r>
                      <w:r w:rsidR="00302CE5">
                        <w:rPr>
                          <w:i/>
                          <w:color w:val="0F243E" w:themeColor="text2" w:themeShade="80"/>
                          <w:sz w:val="18"/>
                          <w:szCs w:val="18"/>
                        </w:rPr>
                        <w:t xml:space="preserve">recently made available </w:t>
                      </w:r>
                      <w:r w:rsidRPr="001C5B63">
                        <w:rPr>
                          <w:i/>
                          <w:color w:val="0F243E" w:themeColor="text2" w:themeShade="80"/>
                          <w:sz w:val="18"/>
                          <w:szCs w:val="18"/>
                        </w:rPr>
                        <w:t xml:space="preserve">in the </w:t>
                      </w:r>
                      <w:r w:rsidR="00981DE3">
                        <w:rPr>
                          <w:i/>
                          <w:color w:val="0F243E" w:themeColor="text2" w:themeShade="80"/>
                          <w:sz w:val="18"/>
                          <w:szCs w:val="18"/>
                        </w:rPr>
                        <w:t>US</w:t>
                      </w:r>
                      <w:r w:rsidR="00C55387">
                        <w:rPr>
                          <w:i/>
                          <w:color w:val="0F243E" w:themeColor="text2" w:themeShade="80"/>
                          <w:sz w:val="18"/>
                          <w:szCs w:val="18"/>
                        </w:rPr>
                        <w:t>, which</w:t>
                      </w:r>
                      <w:r w:rsidRPr="001C5B63">
                        <w:rPr>
                          <w:i/>
                          <w:color w:val="0F243E" w:themeColor="text2" w:themeShade="80"/>
                          <w:sz w:val="18"/>
                          <w:szCs w:val="18"/>
                        </w:rPr>
                        <w:t xml:space="preserve"> are not yet deployed and generally do not have a </w:t>
                      </w:r>
                      <w:r w:rsidR="00E362DB" w:rsidRPr="001C5B63">
                        <w:rPr>
                          <w:i/>
                          <w:color w:val="0F243E" w:themeColor="text2" w:themeShade="80"/>
                          <w:sz w:val="18"/>
                          <w:szCs w:val="18"/>
                        </w:rPr>
                        <w:t>comparable</w:t>
                      </w:r>
                      <w:r w:rsidRPr="001C5B63">
                        <w:rPr>
                          <w:i/>
                          <w:color w:val="0F243E" w:themeColor="text2" w:themeShade="80"/>
                          <w:sz w:val="18"/>
                          <w:szCs w:val="18"/>
                        </w:rPr>
                        <w:t xml:space="preserve"> counterpart in Europe</w:t>
                      </w:r>
                      <w:r w:rsidR="00F77CAF">
                        <w:rPr>
                          <w:i/>
                          <w:color w:val="0F243E" w:themeColor="text2" w:themeShade="80"/>
                          <w:sz w:val="18"/>
                          <w:szCs w:val="18"/>
                        </w:rPr>
                        <w:t>.</w:t>
                      </w:r>
                    </w:p>
                  </w:txbxContent>
                </v:textbox>
              </v:shape>
            </w:pict>
          </mc:Fallback>
        </mc:AlternateContent>
      </w:r>
      <w:r>
        <w:rPr>
          <w:noProof/>
        </w:rPr>
        <w:drawing>
          <wp:inline distT="0" distB="0" distL="0" distR="0" wp14:anchorId="4467E4EF" wp14:editId="60C68A93">
            <wp:extent cx="5532120" cy="27889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32120" cy="2788920"/>
                    </a:xfrm>
                    <a:prstGeom prst="rect">
                      <a:avLst/>
                    </a:prstGeom>
                    <a:noFill/>
                  </pic:spPr>
                </pic:pic>
              </a:graphicData>
            </a:graphic>
          </wp:inline>
        </w:drawing>
      </w:r>
    </w:p>
    <w:p w:rsidR="008B22B8" w:rsidRPr="001F1BB1" w:rsidRDefault="008B22B8" w:rsidP="00132086">
      <w:pPr>
        <w:keepNext/>
        <w:keepLines/>
        <w:widowControl w:val="0"/>
        <w:spacing w:after="220"/>
        <w:ind w:left="-446"/>
        <w:jc w:val="right"/>
        <w:rPr>
          <w:sz w:val="22"/>
        </w:rPr>
      </w:pPr>
    </w:p>
    <w:p w:rsidR="00441CFC" w:rsidRPr="001F1BB1" w:rsidRDefault="00441CFC" w:rsidP="00103A5A"/>
    <w:p w:rsidR="00121C5E" w:rsidRPr="001F1BB1" w:rsidRDefault="00121C5E" w:rsidP="00103A5A"/>
    <w:p w:rsidR="008B22B8" w:rsidRPr="001F1BB1" w:rsidRDefault="008B22B8" w:rsidP="00103A5A">
      <w:r w:rsidRPr="001F1BB1">
        <w:t>Figure 1, below, provides another perspective o</w:t>
      </w:r>
      <w:r w:rsidR="00F77CAF">
        <w:t>n</w:t>
      </w:r>
      <w:r w:rsidRPr="001F1BB1">
        <w:t xml:space="preserve"> </w:t>
      </w:r>
      <w:r w:rsidR="00C55387" w:rsidRPr="001F1BB1">
        <w:t xml:space="preserve">the most commonly deployed </w:t>
      </w:r>
      <w:r w:rsidR="00981DE3">
        <w:t>US</w:t>
      </w:r>
      <w:r w:rsidRPr="001F1BB1">
        <w:t xml:space="preserve"> </w:t>
      </w:r>
      <w:r w:rsidR="00C55387" w:rsidRPr="001F1BB1">
        <w:t>and</w:t>
      </w:r>
      <w:r w:rsidRPr="001F1BB1">
        <w:t xml:space="preserve"> European allocations by showing th</w:t>
      </w:r>
      <w:r w:rsidR="00C55387" w:rsidRPr="001F1BB1">
        <w:t xml:space="preserve">ose </w:t>
      </w:r>
      <w:r w:rsidRPr="001F1BB1">
        <w:t xml:space="preserve">mobile spectrum allocations by frequency band (under 1 GHz, between 1 and 2 GHz, and </w:t>
      </w:r>
      <w:r w:rsidR="00552D43" w:rsidRPr="001F1BB1">
        <w:t xml:space="preserve">between </w:t>
      </w:r>
      <w:r w:rsidRPr="001F1BB1">
        <w:t>2</w:t>
      </w:r>
      <w:r w:rsidR="00552D43" w:rsidRPr="001F1BB1">
        <w:t xml:space="preserve"> and 3</w:t>
      </w:r>
      <w:r w:rsidRPr="001F1BB1">
        <w:t xml:space="preserve"> GHz).  While there is significant overlap, the allocations are not identical.</w:t>
      </w:r>
    </w:p>
    <w:p w:rsidR="00F30021" w:rsidRDefault="008B22B8" w:rsidP="005472B0">
      <w:pPr>
        <w:keepNext/>
        <w:keepLines/>
        <w:jc w:val="center"/>
        <w:rPr>
          <w:rFonts w:ascii="Arial" w:hAnsi="Arial" w:cs="Arial"/>
          <w:b/>
          <w:sz w:val="22"/>
          <w:u w:val="single"/>
        </w:rPr>
      </w:pPr>
      <w:r w:rsidRPr="00F30FCB">
        <w:rPr>
          <w:rFonts w:ascii="Arial" w:hAnsi="Arial" w:cs="Arial"/>
          <w:b/>
          <w:sz w:val="22"/>
          <w:u w:val="single"/>
        </w:rPr>
        <w:lastRenderedPageBreak/>
        <w:t xml:space="preserve">Figure 1: </w:t>
      </w:r>
      <w:r w:rsidR="00441CFC" w:rsidRPr="00F30FCB">
        <w:rPr>
          <w:rFonts w:ascii="Arial" w:hAnsi="Arial" w:cs="Arial"/>
          <w:b/>
          <w:sz w:val="22"/>
          <w:u w:val="single"/>
        </w:rPr>
        <w:t xml:space="preserve">EU and </w:t>
      </w:r>
      <w:r w:rsidR="00981DE3">
        <w:rPr>
          <w:rFonts w:ascii="Arial" w:hAnsi="Arial" w:cs="Arial"/>
          <w:b/>
          <w:sz w:val="22"/>
          <w:u w:val="single"/>
        </w:rPr>
        <w:t>US</w:t>
      </w:r>
      <w:r w:rsidR="00441CFC" w:rsidRPr="00F30FCB">
        <w:rPr>
          <w:rFonts w:ascii="Arial" w:hAnsi="Arial" w:cs="Arial"/>
          <w:b/>
          <w:sz w:val="22"/>
          <w:u w:val="single"/>
        </w:rPr>
        <w:t xml:space="preserve"> </w:t>
      </w:r>
      <w:r w:rsidR="00C55387" w:rsidRPr="00F30FCB">
        <w:rPr>
          <w:rFonts w:ascii="Arial" w:hAnsi="Arial" w:cs="Arial"/>
          <w:b/>
          <w:sz w:val="22"/>
          <w:u w:val="single"/>
        </w:rPr>
        <w:t xml:space="preserve">– The </w:t>
      </w:r>
      <w:r w:rsidR="00121C5E" w:rsidRPr="00F30FCB">
        <w:rPr>
          <w:rFonts w:ascii="Arial" w:hAnsi="Arial" w:cs="Arial"/>
          <w:b/>
          <w:sz w:val="22"/>
          <w:u w:val="single"/>
        </w:rPr>
        <w:t>Most Commonly</w:t>
      </w:r>
      <w:r w:rsidR="00441CFC" w:rsidRPr="00F30FCB">
        <w:rPr>
          <w:rFonts w:ascii="Arial" w:hAnsi="Arial" w:cs="Arial"/>
          <w:b/>
          <w:sz w:val="22"/>
          <w:u w:val="single"/>
        </w:rPr>
        <w:t xml:space="preserve"> Deployed</w:t>
      </w:r>
    </w:p>
    <w:p w:rsidR="008B22B8" w:rsidRPr="00F30FCB" w:rsidRDefault="00441CFC" w:rsidP="005472B0">
      <w:pPr>
        <w:keepNext/>
        <w:keepLines/>
        <w:jc w:val="center"/>
        <w:rPr>
          <w:rFonts w:ascii="Arial" w:hAnsi="Arial" w:cs="Arial"/>
          <w:b/>
          <w:sz w:val="22"/>
          <w:u w:val="single"/>
        </w:rPr>
      </w:pPr>
      <w:r w:rsidRPr="00F30FCB">
        <w:rPr>
          <w:rFonts w:ascii="Arial" w:hAnsi="Arial" w:cs="Arial"/>
          <w:b/>
          <w:sz w:val="22"/>
          <w:u w:val="single"/>
        </w:rPr>
        <w:t xml:space="preserve">Mobile </w:t>
      </w:r>
      <w:r w:rsidR="00F30021">
        <w:rPr>
          <w:rFonts w:ascii="Arial" w:hAnsi="Arial" w:cs="Arial"/>
          <w:b/>
          <w:sz w:val="22"/>
          <w:u w:val="single"/>
        </w:rPr>
        <w:t xml:space="preserve">Broadband </w:t>
      </w:r>
      <w:r w:rsidRPr="00F30FCB">
        <w:rPr>
          <w:rFonts w:ascii="Arial" w:hAnsi="Arial" w:cs="Arial"/>
          <w:b/>
          <w:sz w:val="22"/>
          <w:u w:val="single"/>
        </w:rPr>
        <w:t>Spectrum Bands</w:t>
      </w:r>
    </w:p>
    <w:p w:rsidR="008B22B8" w:rsidRPr="001F1BB1" w:rsidRDefault="00336D6A" w:rsidP="005472B0">
      <w:pPr>
        <w:keepNext/>
        <w:keepLines/>
        <w:jc w:val="center"/>
        <w:rPr>
          <w:sz w:val="22"/>
        </w:rPr>
      </w:pPr>
      <w:r w:rsidRPr="001F1BB1">
        <w:rPr>
          <w:noProof/>
          <w:sz w:val="22"/>
        </w:rPr>
        <mc:AlternateContent>
          <mc:Choice Requires="wps">
            <w:drawing>
              <wp:anchor distT="0" distB="0" distL="114300" distR="114300" simplePos="0" relativeHeight="251662336" behindDoc="0" locked="0" layoutInCell="1" allowOverlap="1" wp14:anchorId="0BADDED1" wp14:editId="2849BD9C">
                <wp:simplePos x="0" y="0"/>
                <wp:positionH relativeFrom="column">
                  <wp:posOffset>-118753</wp:posOffset>
                </wp:positionH>
                <wp:positionV relativeFrom="paragraph">
                  <wp:posOffset>118415</wp:posOffset>
                </wp:positionV>
                <wp:extent cx="5978582" cy="4298868"/>
                <wp:effectExtent l="0" t="0" r="22225" b="26035"/>
                <wp:wrapNone/>
                <wp:docPr id="23" name="Rectangle 23"/>
                <wp:cNvGraphicFramePr/>
                <a:graphic xmlns:a="http://schemas.openxmlformats.org/drawingml/2006/main">
                  <a:graphicData uri="http://schemas.microsoft.com/office/word/2010/wordprocessingShape">
                    <wps:wsp>
                      <wps:cNvSpPr/>
                      <wps:spPr>
                        <a:xfrm>
                          <a:off x="0" y="0"/>
                          <a:ext cx="5978582" cy="4298868"/>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3" o:spid="_x0000_s1026" style="position:absolute;margin-left:-9.35pt;margin-top:9.3pt;width:470.75pt;height:33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" filled="f" strokecolor="#243f60 [1604]" strokeweight="2pt"/>
            </w:pict>
          </mc:Fallback>
        </mc:AlternateContent>
      </w:r>
    </w:p>
    <w:p w:rsidR="008B22B8" w:rsidRPr="001F1BB1" w:rsidRDefault="0010588F" w:rsidP="005472B0">
      <w:pPr>
        <w:rPr>
          <w:sz w:val="22"/>
        </w:rPr>
      </w:pPr>
      <w:r w:rsidRPr="001F1BB1">
        <w:rPr>
          <w:noProof/>
          <w:sz w:val="22"/>
        </w:rPr>
        <w:drawing>
          <wp:inline distT="0" distB="0" distL="0" distR="0" wp14:anchorId="2FFBE0AA" wp14:editId="6CE6AF2C">
            <wp:extent cx="5852160" cy="363931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52160" cy="3639312"/>
                    </a:xfrm>
                    <a:prstGeom prst="rect">
                      <a:avLst/>
                    </a:prstGeom>
                    <a:noFill/>
                  </pic:spPr>
                </pic:pic>
              </a:graphicData>
            </a:graphic>
          </wp:inline>
        </w:drawing>
      </w:r>
    </w:p>
    <w:p w:rsidR="008B22B8" w:rsidRPr="001F1BB1" w:rsidRDefault="00336D6A" w:rsidP="005472B0">
      <w:pPr>
        <w:jc w:val="center"/>
        <w:rPr>
          <w:b/>
          <w:sz w:val="22"/>
          <w:u w:val="single"/>
        </w:rPr>
      </w:pPr>
      <w:r w:rsidRPr="001F1BB1">
        <w:rPr>
          <w:b/>
          <w:noProof/>
          <w:sz w:val="22"/>
          <w:u w:val="single"/>
        </w:rPr>
        <mc:AlternateContent>
          <mc:Choice Requires="wps">
            <w:drawing>
              <wp:anchor distT="0" distB="0" distL="114300" distR="114300" simplePos="0" relativeHeight="251663360" behindDoc="0" locked="0" layoutInCell="1" allowOverlap="1" wp14:anchorId="68DB2DE2" wp14:editId="3B7C1D87">
                <wp:simplePos x="0" y="0"/>
                <wp:positionH relativeFrom="column">
                  <wp:posOffset>-65314</wp:posOffset>
                </wp:positionH>
                <wp:positionV relativeFrom="paragraph">
                  <wp:posOffset>88991</wp:posOffset>
                </wp:positionV>
                <wp:extent cx="5812789" cy="498763"/>
                <wp:effectExtent l="0" t="0" r="0" b="0"/>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2789" cy="498763"/>
                        </a:xfrm>
                        <a:prstGeom prst="rect">
                          <a:avLst/>
                        </a:prstGeom>
                        <a:noFill/>
                        <a:ln w="9525">
                          <a:noFill/>
                          <a:miter lim="800000"/>
                          <a:headEnd/>
                          <a:tailEnd/>
                        </a:ln>
                      </wps:spPr>
                      <wps:txbx>
                        <w:txbxContent>
                          <w:p w:rsidR="00336D6A" w:rsidRPr="001C5B63" w:rsidRDefault="00336D6A" w:rsidP="00336D6A">
                            <w:pPr>
                              <w:rPr>
                                <w:i/>
                                <w:color w:val="0F243E" w:themeColor="text2" w:themeShade="80"/>
                                <w:sz w:val="18"/>
                                <w:szCs w:val="18"/>
                              </w:rPr>
                            </w:pPr>
                            <w:r w:rsidRPr="001C5B63">
                              <w:rPr>
                                <w:b/>
                                <w:i/>
                                <w:color w:val="0F243E" w:themeColor="text2" w:themeShade="80"/>
                                <w:sz w:val="18"/>
                                <w:szCs w:val="18"/>
                              </w:rPr>
                              <w:t>Note</w:t>
                            </w:r>
                            <w:r w:rsidRPr="001C5B63">
                              <w:rPr>
                                <w:i/>
                                <w:color w:val="0F243E" w:themeColor="text2" w:themeShade="80"/>
                                <w:sz w:val="18"/>
                                <w:szCs w:val="18"/>
                              </w:rPr>
                              <w:t xml:space="preserve">:  </w:t>
                            </w:r>
                            <w:r w:rsidR="00C55387">
                              <w:rPr>
                                <w:i/>
                                <w:color w:val="0F243E" w:themeColor="text2" w:themeShade="80"/>
                                <w:sz w:val="18"/>
                                <w:szCs w:val="18"/>
                              </w:rPr>
                              <w:t>T</w:t>
                            </w:r>
                            <w:r w:rsidRPr="001C5B63">
                              <w:rPr>
                                <w:i/>
                                <w:color w:val="0F243E" w:themeColor="text2" w:themeShade="80"/>
                                <w:sz w:val="18"/>
                                <w:szCs w:val="18"/>
                              </w:rPr>
                              <w:t xml:space="preserve">his </w:t>
                            </w:r>
                            <w:r>
                              <w:rPr>
                                <w:i/>
                                <w:color w:val="0F243E" w:themeColor="text2" w:themeShade="80"/>
                                <w:sz w:val="18"/>
                                <w:szCs w:val="18"/>
                              </w:rPr>
                              <w:t>figure</w:t>
                            </w:r>
                            <w:r w:rsidRPr="001C5B63">
                              <w:rPr>
                                <w:i/>
                                <w:color w:val="0F243E" w:themeColor="text2" w:themeShade="80"/>
                                <w:sz w:val="18"/>
                                <w:szCs w:val="18"/>
                              </w:rPr>
                              <w:t xml:space="preserve"> represent</w:t>
                            </w:r>
                            <w:r w:rsidR="00C55387">
                              <w:rPr>
                                <w:i/>
                                <w:color w:val="0F243E" w:themeColor="text2" w:themeShade="80"/>
                                <w:sz w:val="18"/>
                                <w:szCs w:val="18"/>
                              </w:rPr>
                              <w:t>s only</w:t>
                            </w:r>
                            <w:r w:rsidRPr="001C5B63">
                              <w:rPr>
                                <w:i/>
                                <w:color w:val="0F243E" w:themeColor="text2" w:themeShade="80"/>
                                <w:sz w:val="18"/>
                                <w:szCs w:val="18"/>
                              </w:rPr>
                              <w:t xml:space="preserve"> the most commonly deployed bands in </w:t>
                            </w:r>
                            <w:r w:rsidR="00C55387">
                              <w:rPr>
                                <w:i/>
                                <w:color w:val="0F243E" w:themeColor="text2" w:themeShade="80"/>
                                <w:sz w:val="18"/>
                                <w:szCs w:val="18"/>
                              </w:rPr>
                              <w:t xml:space="preserve">the EU and </w:t>
                            </w:r>
                            <w:r w:rsidR="00981DE3">
                              <w:rPr>
                                <w:i/>
                                <w:color w:val="0F243E" w:themeColor="text2" w:themeShade="80"/>
                                <w:sz w:val="18"/>
                                <w:szCs w:val="18"/>
                              </w:rPr>
                              <w:t>US</w:t>
                            </w:r>
                            <w:r w:rsidR="00C55387">
                              <w:rPr>
                                <w:i/>
                                <w:color w:val="0F243E" w:themeColor="text2" w:themeShade="80"/>
                                <w:sz w:val="18"/>
                                <w:szCs w:val="18"/>
                              </w:rPr>
                              <w:t xml:space="preserve"> </w:t>
                            </w:r>
                            <w:r w:rsidRPr="001C5B63">
                              <w:rPr>
                                <w:i/>
                                <w:color w:val="0F243E" w:themeColor="text2" w:themeShade="80"/>
                                <w:sz w:val="18"/>
                                <w:szCs w:val="18"/>
                              </w:rPr>
                              <w:t>as of the date of this paper</w:t>
                            </w:r>
                            <w:r w:rsidR="00C55387">
                              <w:rPr>
                                <w:i/>
                                <w:color w:val="0F243E" w:themeColor="text2" w:themeShade="80"/>
                                <w:sz w:val="18"/>
                                <w:szCs w:val="18"/>
                              </w:rPr>
                              <w:t>.</w:t>
                            </w:r>
                            <w:r w:rsidRPr="001C5B63">
                              <w:rPr>
                                <w:i/>
                                <w:color w:val="0F243E" w:themeColor="text2" w:themeShade="80"/>
                                <w:sz w:val="18"/>
                                <w:szCs w:val="18"/>
                              </w:rPr>
                              <w:t xml:space="preserve"> </w:t>
                            </w:r>
                            <w:r w:rsidR="00C55387">
                              <w:rPr>
                                <w:i/>
                                <w:color w:val="0F243E" w:themeColor="text2" w:themeShade="80"/>
                                <w:sz w:val="18"/>
                                <w:szCs w:val="18"/>
                              </w:rPr>
                              <w:t xml:space="preserve">Thus, it does not include </w:t>
                            </w:r>
                            <w:r w:rsidRPr="001C5B63">
                              <w:rPr>
                                <w:i/>
                                <w:color w:val="0F243E" w:themeColor="text2" w:themeShade="80"/>
                                <w:sz w:val="18"/>
                                <w:szCs w:val="18"/>
                              </w:rPr>
                              <w:t xml:space="preserve">the AWS-4 and WCS bands </w:t>
                            </w:r>
                            <w:r w:rsidR="00C55387">
                              <w:rPr>
                                <w:i/>
                                <w:color w:val="0F243E" w:themeColor="text2" w:themeShade="80"/>
                                <w:sz w:val="18"/>
                                <w:szCs w:val="18"/>
                              </w:rPr>
                              <w:t xml:space="preserve">recently made available </w:t>
                            </w:r>
                            <w:r w:rsidRPr="001C5B63">
                              <w:rPr>
                                <w:i/>
                                <w:color w:val="0F243E" w:themeColor="text2" w:themeShade="80"/>
                                <w:sz w:val="18"/>
                                <w:szCs w:val="18"/>
                              </w:rPr>
                              <w:t xml:space="preserve">in the </w:t>
                            </w:r>
                            <w:r w:rsidR="00981DE3">
                              <w:rPr>
                                <w:i/>
                                <w:color w:val="0F243E" w:themeColor="text2" w:themeShade="80"/>
                                <w:sz w:val="18"/>
                                <w:szCs w:val="18"/>
                              </w:rPr>
                              <w:t>US</w:t>
                            </w:r>
                            <w:r w:rsidR="00C55387">
                              <w:rPr>
                                <w:i/>
                                <w:color w:val="0F243E" w:themeColor="text2" w:themeShade="80"/>
                                <w:sz w:val="18"/>
                                <w:szCs w:val="18"/>
                              </w:rPr>
                              <w:t xml:space="preserve">, which </w:t>
                            </w:r>
                            <w:r w:rsidRPr="001C5B63">
                              <w:rPr>
                                <w:i/>
                                <w:color w:val="0F243E" w:themeColor="text2" w:themeShade="80"/>
                                <w:sz w:val="18"/>
                                <w:szCs w:val="18"/>
                              </w:rPr>
                              <w:t>are not yet deployed and generally do not have a comparable counterpart in Europe</w:t>
                            </w:r>
                            <w:r w:rsidR="00856529">
                              <w:rPr>
                                <w:i/>
                                <w:color w:val="0F243E" w:themeColor="text2" w:themeShade="80"/>
                                <w:sz w:val="18"/>
                                <w:szCs w:val="18"/>
                              </w:rPr>
                              <w:t>.</w:t>
                            </w: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id="_x0000_s1029" type="#_x0000_t202" style="position:absolute;left:0;text-align:left;margin-left:-5.15pt;margin-top:7pt;width:457.7pt;height:39.2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" filled="f" stroked="f">
                <v:textbox>
                  <w:txbxContent>
                    <w:p w:rsidR="00336D6A" w:rsidRPr="001C5B63" w:rsidRDefault="00336D6A" w:rsidP="00336D6A">
                      <w:pPr>
                        <w:rPr>
                          <w:i/>
                          <w:color w:val="0F243E" w:themeColor="text2" w:themeShade="80"/>
                          <w:sz w:val="18"/>
                          <w:szCs w:val="18"/>
                        </w:rPr>
                      </w:pPr>
                      <w:r w:rsidRPr="001C5B63">
                        <w:rPr>
                          <w:b/>
                          <w:i/>
                          <w:color w:val="0F243E" w:themeColor="text2" w:themeShade="80"/>
                          <w:sz w:val="18"/>
                          <w:szCs w:val="18"/>
                        </w:rPr>
                        <w:t>Note</w:t>
                      </w:r>
                      <w:r w:rsidRPr="001C5B63">
                        <w:rPr>
                          <w:i/>
                          <w:color w:val="0F243E" w:themeColor="text2" w:themeShade="80"/>
                          <w:sz w:val="18"/>
                          <w:szCs w:val="18"/>
                        </w:rPr>
                        <w:t xml:space="preserve">:  </w:t>
                      </w:r>
                      <w:r w:rsidR="00C55387">
                        <w:rPr>
                          <w:i/>
                          <w:color w:val="0F243E" w:themeColor="text2" w:themeShade="80"/>
                          <w:sz w:val="18"/>
                          <w:szCs w:val="18"/>
                        </w:rPr>
                        <w:t>T</w:t>
                      </w:r>
                      <w:r w:rsidRPr="001C5B63">
                        <w:rPr>
                          <w:i/>
                          <w:color w:val="0F243E" w:themeColor="text2" w:themeShade="80"/>
                          <w:sz w:val="18"/>
                          <w:szCs w:val="18"/>
                        </w:rPr>
                        <w:t xml:space="preserve">his </w:t>
                      </w:r>
                      <w:r>
                        <w:rPr>
                          <w:i/>
                          <w:color w:val="0F243E" w:themeColor="text2" w:themeShade="80"/>
                          <w:sz w:val="18"/>
                          <w:szCs w:val="18"/>
                        </w:rPr>
                        <w:t>figure</w:t>
                      </w:r>
                      <w:r w:rsidRPr="001C5B63">
                        <w:rPr>
                          <w:i/>
                          <w:color w:val="0F243E" w:themeColor="text2" w:themeShade="80"/>
                          <w:sz w:val="18"/>
                          <w:szCs w:val="18"/>
                        </w:rPr>
                        <w:t xml:space="preserve"> represent</w:t>
                      </w:r>
                      <w:r w:rsidR="00C55387">
                        <w:rPr>
                          <w:i/>
                          <w:color w:val="0F243E" w:themeColor="text2" w:themeShade="80"/>
                          <w:sz w:val="18"/>
                          <w:szCs w:val="18"/>
                        </w:rPr>
                        <w:t>s only</w:t>
                      </w:r>
                      <w:r w:rsidRPr="001C5B63">
                        <w:rPr>
                          <w:i/>
                          <w:color w:val="0F243E" w:themeColor="text2" w:themeShade="80"/>
                          <w:sz w:val="18"/>
                          <w:szCs w:val="18"/>
                        </w:rPr>
                        <w:t xml:space="preserve"> the most commonly deployed bands in </w:t>
                      </w:r>
                      <w:r w:rsidR="00C55387">
                        <w:rPr>
                          <w:i/>
                          <w:color w:val="0F243E" w:themeColor="text2" w:themeShade="80"/>
                          <w:sz w:val="18"/>
                          <w:szCs w:val="18"/>
                        </w:rPr>
                        <w:t xml:space="preserve">the EU and </w:t>
                      </w:r>
                      <w:r w:rsidR="00981DE3">
                        <w:rPr>
                          <w:i/>
                          <w:color w:val="0F243E" w:themeColor="text2" w:themeShade="80"/>
                          <w:sz w:val="18"/>
                          <w:szCs w:val="18"/>
                        </w:rPr>
                        <w:t>US</w:t>
                      </w:r>
                      <w:r w:rsidR="00C55387">
                        <w:rPr>
                          <w:i/>
                          <w:color w:val="0F243E" w:themeColor="text2" w:themeShade="80"/>
                          <w:sz w:val="18"/>
                          <w:szCs w:val="18"/>
                        </w:rPr>
                        <w:t xml:space="preserve"> </w:t>
                      </w:r>
                      <w:r w:rsidRPr="001C5B63">
                        <w:rPr>
                          <w:i/>
                          <w:color w:val="0F243E" w:themeColor="text2" w:themeShade="80"/>
                          <w:sz w:val="18"/>
                          <w:szCs w:val="18"/>
                        </w:rPr>
                        <w:t>as of the date of this paper</w:t>
                      </w:r>
                      <w:r w:rsidR="00C55387">
                        <w:rPr>
                          <w:i/>
                          <w:color w:val="0F243E" w:themeColor="text2" w:themeShade="80"/>
                          <w:sz w:val="18"/>
                          <w:szCs w:val="18"/>
                        </w:rPr>
                        <w:t>.</w:t>
                      </w:r>
                      <w:r w:rsidRPr="001C5B63">
                        <w:rPr>
                          <w:i/>
                          <w:color w:val="0F243E" w:themeColor="text2" w:themeShade="80"/>
                          <w:sz w:val="18"/>
                          <w:szCs w:val="18"/>
                        </w:rPr>
                        <w:t xml:space="preserve"> </w:t>
                      </w:r>
                      <w:r w:rsidR="00C55387">
                        <w:rPr>
                          <w:i/>
                          <w:color w:val="0F243E" w:themeColor="text2" w:themeShade="80"/>
                          <w:sz w:val="18"/>
                          <w:szCs w:val="18"/>
                        </w:rPr>
                        <w:t xml:space="preserve">Thus, it does not include </w:t>
                      </w:r>
                      <w:r w:rsidRPr="001C5B63">
                        <w:rPr>
                          <w:i/>
                          <w:color w:val="0F243E" w:themeColor="text2" w:themeShade="80"/>
                          <w:sz w:val="18"/>
                          <w:szCs w:val="18"/>
                        </w:rPr>
                        <w:t xml:space="preserve">the AWS-4 and WCS bands </w:t>
                      </w:r>
                      <w:r w:rsidR="00C55387">
                        <w:rPr>
                          <w:i/>
                          <w:color w:val="0F243E" w:themeColor="text2" w:themeShade="80"/>
                          <w:sz w:val="18"/>
                          <w:szCs w:val="18"/>
                        </w:rPr>
                        <w:t xml:space="preserve">recently made available </w:t>
                      </w:r>
                      <w:r w:rsidRPr="001C5B63">
                        <w:rPr>
                          <w:i/>
                          <w:color w:val="0F243E" w:themeColor="text2" w:themeShade="80"/>
                          <w:sz w:val="18"/>
                          <w:szCs w:val="18"/>
                        </w:rPr>
                        <w:t xml:space="preserve">in the </w:t>
                      </w:r>
                      <w:r w:rsidR="00981DE3">
                        <w:rPr>
                          <w:i/>
                          <w:color w:val="0F243E" w:themeColor="text2" w:themeShade="80"/>
                          <w:sz w:val="18"/>
                          <w:szCs w:val="18"/>
                        </w:rPr>
                        <w:t>US</w:t>
                      </w:r>
                      <w:r w:rsidR="00C55387">
                        <w:rPr>
                          <w:i/>
                          <w:color w:val="0F243E" w:themeColor="text2" w:themeShade="80"/>
                          <w:sz w:val="18"/>
                          <w:szCs w:val="18"/>
                        </w:rPr>
                        <w:t xml:space="preserve">, which </w:t>
                      </w:r>
                      <w:r w:rsidRPr="001C5B63">
                        <w:rPr>
                          <w:i/>
                          <w:color w:val="0F243E" w:themeColor="text2" w:themeShade="80"/>
                          <w:sz w:val="18"/>
                          <w:szCs w:val="18"/>
                        </w:rPr>
                        <w:t>are not yet deployed and generally do not have a comparable counterpart in Europe</w:t>
                      </w:r>
                      <w:r w:rsidR="00856529">
                        <w:rPr>
                          <w:i/>
                          <w:color w:val="0F243E" w:themeColor="text2" w:themeShade="80"/>
                          <w:sz w:val="18"/>
                          <w:szCs w:val="18"/>
                        </w:rPr>
                        <w:t>.</w:t>
                      </w:r>
                    </w:p>
                  </w:txbxContent>
                </v:textbox>
              </v:shape>
            </w:pict>
          </mc:Fallback>
        </mc:AlternateContent>
      </w:r>
    </w:p>
    <w:p w:rsidR="00336D6A" w:rsidRPr="001F1BB1" w:rsidRDefault="00336D6A" w:rsidP="00103A5A"/>
    <w:p w:rsidR="00336D6A" w:rsidRPr="001F1BB1" w:rsidRDefault="00336D6A" w:rsidP="00103A5A"/>
    <w:p w:rsidR="00336D6A" w:rsidRPr="001F1BB1" w:rsidRDefault="00336D6A" w:rsidP="00103A5A"/>
    <w:p w:rsidR="00336D6A" w:rsidRPr="001F1BB1" w:rsidRDefault="00336D6A" w:rsidP="00103A5A"/>
    <w:p w:rsidR="008B22B8" w:rsidRPr="001F1BB1" w:rsidRDefault="008B22B8" w:rsidP="00103A5A">
      <w:r w:rsidRPr="001F1BB1">
        <w:t xml:space="preserve">In the tables below, for the United States and </w:t>
      </w:r>
      <w:r w:rsidR="00C55387" w:rsidRPr="001F1BB1">
        <w:t xml:space="preserve">certain other </w:t>
      </w:r>
      <w:r w:rsidRPr="001F1BB1">
        <w:t>countries, we break down the amount of licensed mobile broadband spectrum that is currently available and in the pipeline by frequency band.  The text and endnotes also identify spectrum that is potentially available in the future for licensed mobile broadband.</w:t>
      </w:r>
    </w:p>
    <w:p w:rsidR="00F30021" w:rsidRDefault="008B22B8" w:rsidP="005472B0">
      <w:pPr>
        <w:keepNext/>
        <w:keepLines/>
        <w:jc w:val="center"/>
        <w:rPr>
          <w:rFonts w:ascii="Arial" w:hAnsi="Arial" w:cs="Arial"/>
          <w:b/>
          <w:sz w:val="22"/>
          <w:u w:val="single"/>
        </w:rPr>
      </w:pPr>
      <w:r w:rsidRPr="00F30FCB">
        <w:rPr>
          <w:rFonts w:ascii="Arial" w:hAnsi="Arial" w:cs="Arial"/>
          <w:b/>
          <w:sz w:val="22"/>
          <w:u w:val="single"/>
        </w:rPr>
        <w:lastRenderedPageBreak/>
        <w:t xml:space="preserve">Table 3: </w:t>
      </w:r>
      <w:r w:rsidR="00F30021">
        <w:rPr>
          <w:rFonts w:ascii="Arial" w:hAnsi="Arial" w:cs="Arial"/>
          <w:b/>
          <w:sz w:val="22"/>
          <w:u w:val="single"/>
        </w:rPr>
        <w:t xml:space="preserve">Mobile Broadband </w:t>
      </w:r>
      <w:r w:rsidRPr="00F30FCB">
        <w:rPr>
          <w:rFonts w:ascii="Arial" w:hAnsi="Arial" w:cs="Arial"/>
          <w:b/>
          <w:sz w:val="22"/>
          <w:u w:val="single"/>
        </w:rPr>
        <w:t xml:space="preserve">Spectrum in the United States as of </w:t>
      </w:r>
      <w:r w:rsidR="00B26E4D">
        <w:rPr>
          <w:rFonts w:ascii="Arial" w:hAnsi="Arial" w:cs="Arial"/>
          <w:b/>
          <w:sz w:val="22"/>
          <w:u w:val="single"/>
        </w:rPr>
        <w:t>February</w:t>
      </w:r>
      <w:r w:rsidR="00B26E4D" w:rsidRPr="00F30FCB">
        <w:rPr>
          <w:rFonts w:ascii="Arial" w:hAnsi="Arial" w:cs="Arial"/>
          <w:b/>
          <w:sz w:val="22"/>
          <w:u w:val="single"/>
        </w:rPr>
        <w:t xml:space="preserve"> </w:t>
      </w:r>
      <w:r w:rsidRPr="00F30FCB">
        <w:rPr>
          <w:rFonts w:ascii="Arial" w:hAnsi="Arial" w:cs="Arial"/>
          <w:b/>
          <w:sz w:val="22"/>
          <w:u w:val="single"/>
        </w:rPr>
        <w:t>201</w:t>
      </w:r>
      <w:r w:rsidR="00886CDD" w:rsidRPr="00F30FCB">
        <w:rPr>
          <w:rFonts w:ascii="Arial" w:hAnsi="Arial" w:cs="Arial"/>
          <w:b/>
          <w:sz w:val="22"/>
          <w:u w:val="single"/>
        </w:rPr>
        <w:t>3</w:t>
      </w:r>
    </w:p>
    <w:p w:rsidR="008B22B8" w:rsidRPr="00F30FCB" w:rsidRDefault="00886CDD" w:rsidP="005472B0">
      <w:pPr>
        <w:keepNext/>
        <w:keepLines/>
        <w:jc w:val="center"/>
        <w:rPr>
          <w:rFonts w:ascii="Arial" w:hAnsi="Arial" w:cs="Arial"/>
          <w:b/>
          <w:sz w:val="22"/>
          <w:u w:val="single"/>
        </w:rPr>
      </w:pPr>
      <w:r w:rsidRPr="00F30FCB">
        <w:rPr>
          <w:rFonts w:ascii="Arial" w:hAnsi="Arial" w:cs="Arial"/>
          <w:b/>
          <w:sz w:val="22"/>
          <w:u w:val="single"/>
        </w:rPr>
        <w:t>(in megahertz)</w:t>
      </w:r>
    </w:p>
    <w:p w:rsidR="008B22B8" w:rsidRPr="001F1BB1" w:rsidRDefault="008B22B8" w:rsidP="005472B0">
      <w:pPr>
        <w:keepNext/>
        <w:keepLines/>
        <w:jc w:val="center"/>
        <w:rPr>
          <w:b/>
          <w:sz w:val="22"/>
          <w:u w:val="single"/>
        </w:rPr>
      </w:pPr>
    </w:p>
    <w:p w:rsidR="008B22B8" w:rsidRPr="001F1BB1" w:rsidRDefault="00886CDD" w:rsidP="005472B0">
      <w:pPr>
        <w:keepNext/>
        <w:keepLines/>
        <w:jc w:val="center"/>
        <w:rPr>
          <w:sz w:val="22"/>
          <w:u w:val="single"/>
        </w:rPr>
      </w:pPr>
      <w:r w:rsidRPr="001F1BB1">
        <w:rPr>
          <w:noProof/>
          <w:sz w:val="22"/>
        </w:rPr>
        <w:drawing>
          <wp:inline distT="0" distB="0" distL="0" distR="0" wp14:anchorId="057C34B7" wp14:editId="08FEF9D8">
            <wp:extent cx="2350008" cy="3236976"/>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50008" cy="3236976"/>
                    </a:xfrm>
                    <a:prstGeom prst="rect">
                      <a:avLst/>
                    </a:prstGeom>
                    <a:noFill/>
                  </pic:spPr>
                </pic:pic>
              </a:graphicData>
            </a:graphic>
          </wp:inline>
        </w:drawing>
      </w:r>
    </w:p>
    <w:p w:rsidR="008B22B8" w:rsidRPr="001F1BB1" w:rsidRDefault="008B22B8">
      <w:pPr>
        <w:rPr>
          <w:sz w:val="22"/>
        </w:rPr>
      </w:pPr>
    </w:p>
    <w:p w:rsidR="00336D6A" w:rsidRPr="001F1BB1" w:rsidRDefault="00336D6A">
      <w:pPr>
        <w:rPr>
          <w:sz w:val="22"/>
        </w:rPr>
      </w:pPr>
    </w:p>
    <w:p w:rsidR="008B22B8" w:rsidRPr="001F1BB1" w:rsidRDefault="00886CDD">
      <w:r w:rsidRPr="001F1BB1">
        <w:t>As represented by the “+” signs</w:t>
      </w:r>
      <w:r w:rsidR="008B22B8" w:rsidRPr="001F1BB1">
        <w:t xml:space="preserve">, the United States has several </w:t>
      </w:r>
      <w:r w:rsidR="00892379">
        <w:t>initiatives</w:t>
      </w:r>
      <w:r w:rsidR="00892379" w:rsidRPr="001F1BB1">
        <w:t xml:space="preserve"> </w:t>
      </w:r>
      <w:r w:rsidR="008B22B8" w:rsidRPr="001F1BB1">
        <w:t xml:space="preserve">underway </w:t>
      </w:r>
      <w:r w:rsidR="00892379">
        <w:t>to</w:t>
      </w:r>
      <w:r w:rsidR="008B22B8" w:rsidRPr="001F1BB1">
        <w:t xml:space="preserve"> free up more spectrum than shown above, including work with federal agencies and</w:t>
      </w:r>
      <w:r w:rsidR="00B170B0" w:rsidRPr="001F1BB1">
        <w:t xml:space="preserve"> the</w:t>
      </w:r>
      <w:r w:rsidR="008B22B8" w:rsidRPr="001F1BB1">
        <w:t xml:space="preserve"> </w:t>
      </w:r>
      <w:r w:rsidR="00B170B0" w:rsidRPr="00F30FCB">
        <w:t>National Telecommunications and Information Administration (</w:t>
      </w:r>
      <w:r w:rsidR="008B22B8" w:rsidRPr="001F1BB1">
        <w:t>NTIA</w:t>
      </w:r>
      <w:r w:rsidR="00B170B0" w:rsidRPr="001F1BB1">
        <w:t>)</w:t>
      </w:r>
      <w:r w:rsidR="008B22B8" w:rsidRPr="001F1BB1">
        <w:t xml:space="preserve"> to free and/or share significant amounts of federal spectrum.  The </w:t>
      </w:r>
      <w:r w:rsidR="00B86B79">
        <w:t xml:space="preserve">Federal Communications </w:t>
      </w:r>
      <w:r w:rsidR="008B22B8" w:rsidRPr="001F1BB1">
        <w:t xml:space="preserve">Commission has </w:t>
      </w:r>
      <w:r w:rsidR="00336D6A" w:rsidRPr="001F1BB1">
        <w:t xml:space="preserve">begun </w:t>
      </w:r>
      <w:r w:rsidR="00B86B79">
        <w:t xml:space="preserve">the process to </w:t>
      </w:r>
      <w:r w:rsidR="008B22B8" w:rsidRPr="001F1BB1">
        <w:t xml:space="preserve">implement incentive auctions for television broadcast spectrum in the 600 MHz range in order to free up significant additional spectrum for mobile use.  Because of </w:t>
      </w:r>
      <w:r w:rsidR="00892379">
        <w:t>the difficulty of predicting the precise amount of spectrum that will be made available through each of these efforts</w:t>
      </w:r>
      <w:r w:rsidR="008B22B8" w:rsidRPr="001F1BB1">
        <w:t>, we have chosen not to include a specific estimate for this spectrum in the table above.</w:t>
      </w:r>
    </w:p>
    <w:p w:rsidR="008B22B8" w:rsidRPr="001F1BB1" w:rsidRDefault="008B22B8" w:rsidP="003B185B">
      <w:pPr>
        <w:rPr>
          <w:sz w:val="22"/>
        </w:rPr>
      </w:pPr>
    </w:p>
    <w:p w:rsidR="008B22B8" w:rsidRPr="001F1BB1" w:rsidRDefault="008B22B8">
      <w:pPr>
        <w:rPr>
          <w:sz w:val="22"/>
        </w:rPr>
      </w:pPr>
    </w:p>
    <w:p w:rsidR="00F30021" w:rsidRDefault="008B22B8" w:rsidP="005472B0">
      <w:pPr>
        <w:keepNext/>
        <w:keepLines/>
        <w:jc w:val="center"/>
        <w:rPr>
          <w:rFonts w:ascii="Arial" w:hAnsi="Arial" w:cs="Arial"/>
          <w:b/>
          <w:sz w:val="22"/>
          <w:u w:val="single"/>
        </w:rPr>
      </w:pPr>
      <w:r w:rsidRPr="00F30FCB">
        <w:rPr>
          <w:rFonts w:ascii="Arial" w:hAnsi="Arial" w:cs="Arial"/>
          <w:b/>
          <w:sz w:val="22"/>
          <w:u w:val="single"/>
        </w:rPr>
        <w:lastRenderedPageBreak/>
        <w:t xml:space="preserve">Table 4a: </w:t>
      </w:r>
      <w:r w:rsidR="00F30021">
        <w:rPr>
          <w:rFonts w:ascii="Arial" w:hAnsi="Arial" w:cs="Arial"/>
          <w:b/>
          <w:sz w:val="22"/>
          <w:u w:val="single"/>
        </w:rPr>
        <w:t xml:space="preserve">Mobile Broadband </w:t>
      </w:r>
      <w:r w:rsidRPr="00F30FCB">
        <w:rPr>
          <w:rFonts w:ascii="Arial" w:hAnsi="Arial" w:cs="Arial"/>
          <w:b/>
          <w:sz w:val="22"/>
          <w:u w:val="single"/>
        </w:rPr>
        <w:t xml:space="preserve">Spectrum in </w:t>
      </w:r>
      <w:r w:rsidR="00C55387" w:rsidRPr="00F30FCB">
        <w:rPr>
          <w:rFonts w:ascii="Arial" w:hAnsi="Arial" w:cs="Arial"/>
          <w:b/>
          <w:sz w:val="22"/>
          <w:u w:val="single"/>
        </w:rPr>
        <w:t xml:space="preserve">Certain EU </w:t>
      </w:r>
      <w:r w:rsidRPr="00F30FCB">
        <w:rPr>
          <w:rFonts w:ascii="Arial" w:hAnsi="Arial" w:cs="Arial"/>
          <w:b/>
          <w:sz w:val="22"/>
          <w:u w:val="single"/>
        </w:rPr>
        <w:t xml:space="preserve">Countries as of </w:t>
      </w:r>
      <w:r w:rsidR="00441CFC" w:rsidRPr="00F30FCB">
        <w:rPr>
          <w:rFonts w:ascii="Arial" w:hAnsi="Arial" w:cs="Arial"/>
          <w:b/>
          <w:sz w:val="22"/>
          <w:u w:val="single"/>
        </w:rPr>
        <w:t xml:space="preserve">October </w:t>
      </w:r>
      <w:r w:rsidRPr="00F30FCB">
        <w:rPr>
          <w:rFonts w:ascii="Arial" w:hAnsi="Arial" w:cs="Arial"/>
          <w:b/>
          <w:sz w:val="22"/>
          <w:u w:val="single"/>
        </w:rPr>
        <w:t>2012</w:t>
      </w:r>
    </w:p>
    <w:p w:rsidR="008B22B8" w:rsidRPr="00F30FCB" w:rsidRDefault="00A52F9B" w:rsidP="005472B0">
      <w:pPr>
        <w:keepNext/>
        <w:keepLines/>
        <w:jc w:val="center"/>
        <w:rPr>
          <w:rFonts w:ascii="Arial" w:hAnsi="Arial" w:cs="Arial"/>
          <w:b/>
          <w:sz w:val="22"/>
          <w:u w:val="single"/>
        </w:rPr>
      </w:pPr>
      <w:r w:rsidRPr="00F30FCB">
        <w:rPr>
          <w:rFonts w:ascii="Arial" w:hAnsi="Arial" w:cs="Arial"/>
          <w:b/>
          <w:sz w:val="22"/>
          <w:u w:val="single"/>
        </w:rPr>
        <w:t>(in megahertz)</w:t>
      </w:r>
    </w:p>
    <w:p w:rsidR="008B22B8" w:rsidRPr="001F1BB1" w:rsidRDefault="008B22B8" w:rsidP="005472B0">
      <w:pPr>
        <w:keepNext/>
        <w:keepLines/>
        <w:jc w:val="center"/>
        <w:rPr>
          <w:b/>
          <w:sz w:val="22"/>
          <w:u w:val="single"/>
        </w:rPr>
      </w:pPr>
    </w:p>
    <w:p w:rsidR="008B22B8" w:rsidRPr="001F1BB1" w:rsidRDefault="00504E65" w:rsidP="00EA267E">
      <w:pPr>
        <w:spacing w:after="220"/>
        <w:jc w:val="center"/>
      </w:pPr>
      <w:r w:rsidRPr="001F1BB1">
        <w:rPr>
          <w:noProof/>
        </w:rPr>
        <w:drawing>
          <wp:inline distT="0" distB="0" distL="0" distR="0" wp14:anchorId="38C39123" wp14:editId="41A3B1FF">
            <wp:extent cx="4379976" cy="3017520"/>
            <wp:effectExtent l="0" t="0" r="190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79976" cy="3017520"/>
                    </a:xfrm>
                    <a:prstGeom prst="rect">
                      <a:avLst/>
                    </a:prstGeom>
                    <a:noFill/>
                  </pic:spPr>
                </pic:pic>
              </a:graphicData>
            </a:graphic>
          </wp:inline>
        </w:drawing>
      </w:r>
    </w:p>
    <w:p w:rsidR="008B22B8" w:rsidRPr="001F1BB1" w:rsidRDefault="008B22B8" w:rsidP="006403A9">
      <w:pPr>
        <w:spacing w:after="220"/>
        <w:rPr>
          <w:sz w:val="22"/>
        </w:rPr>
      </w:pPr>
      <w:r w:rsidRPr="001F1BB1">
        <w:t>Europe is in the preliminary stages of considering a second digital dividend that could create another large band of low frequency spectrum on the order of 50 to 70 megahertz.  This is a long</w:t>
      </w:r>
      <w:r w:rsidR="00B9005C" w:rsidRPr="001F1BB1">
        <w:t>-</w:t>
      </w:r>
      <w:r w:rsidRPr="001F1BB1">
        <w:t>term effort, however, and this spectrum is not yet available as “pipeline” spectrum.</w:t>
      </w:r>
    </w:p>
    <w:p w:rsidR="00F30021" w:rsidRDefault="008B22B8" w:rsidP="00F30FCB">
      <w:pPr>
        <w:keepNext/>
        <w:keepLines/>
        <w:spacing w:after="220"/>
        <w:ind w:left="-187" w:right="-187"/>
        <w:contextualSpacing/>
        <w:jc w:val="center"/>
        <w:rPr>
          <w:rFonts w:ascii="Arial" w:hAnsi="Arial" w:cs="Arial"/>
          <w:b/>
          <w:sz w:val="22"/>
          <w:u w:val="single"/>
        </w:rPr>
      </w:pPr>
      <w:r w:rsidRPr="00F30FCB">
        <w:rPr>
          <w:rFonts w:ascii="Arial" w:hAnsi="Arial" w:cs="Arial"/>
          <w:b/>
          <w:sz w:val="22"/>
          <w:u w:val="single"/>
        </w:rPr>
        <w:t xml:space="preserve">Table 4b: </w:t>
      </w:r>
      <w:r w:rsidR="00F30021">
        <w:rPr>
          <w:rFonts w:ascii="Arial" w:hAnsi="Arial" w:cs="Arial"/>
          <w:b/>
          <w:sz w:val="22"/>
          <w:u w:val="single"/>
        </w:rPr>
        <w:t xml:space="preserve">Mobile Broadband </w:t>
      </w:r>
      <w:r w:rsidRPr="00F30FCB">
        <w:rPr>
          <w:rFonts w:ascii="Arial" w:hAnsi="Arial" w:cs="Arial"/>
          <w:b/>
          <w:sz w:val="22"/>
          <w:u w:val="single"/>
        </w:rPr>
        <w:t xml:space="preserve">Spectrum in </w:t>
      </w:r>
      <w:r w:rsidR="00C55387" w:rsidRPr="00F30FCB">
        <w:rPr>
          <w:rFonts w:ascii="Arial" w:hAnsi="Arial" w:cs="Arial"/>
          <w:b/>
          <w:sz w:val="22"/>
          <w:u w:val="single"/>
        </w:rPr>
        <w:t xml:space="preserve">Certain Other </w:t>
      </w:r>
      <w:r w:rsidRPr="00F30FCB">
        <w:rPr>
          <w:rFonts w:ascii="Arial" w:hAnsi="Arial" w:cs="Arial"/>
          <w:b/>
          <w:sz w:val="22"/>
          <w:u w:val="single"/>
        </w:rPr>
        <w:t>Countries</w:t>
      </w:r>
    </w:p>
    <w:p w:rsidR="008B22B8" w:rsidRDefault="008B22B8" w:rsidP="00F30FCB">
      <w:pPr>
        <w:keepNext/>
        <w:keepLines/>
        <w:spacing w:after="220"/>
        <w:ind w:left="-187" w:right="-187"/>
        <w:contextualSpacing/>
        <w:jc w:val="center"/>
        <w:rPr>
          <w:rFonts w:ascii="Arial" w:hAnsi="Arial" w:cs="Arial"/>
          <w:b/>
          <w:sz w:val="22"/>
          <w:u w:val="single"/>
        </w:rPr>
      </w:pPr>
      <w:r w:rsidRPr="00F30FCB">
        <w:rPr>
          <w:rFonts w:ascii="Arial" w:hAnsi="Arial" w:cs="Arial"/>
          <w:b/>
          <w:sz w:val="22"/>
          <w:u w:val="single"/>
        </w:rPr>
        <w:t xml:space="preserve">as of </w:t>
      </w:r>
      <w:r w:rsidR="00A52F9B" w:rsidRPr="00F30FCB">
        <w:rPr>
          <w:rFonts w:ascii="Arial" w:hAnsi="Arial" w:cs="Arial"/>
          <w:b/>
          <w:sz w:val="22"/>
          <w:u w:val="single"/>
        </w:rPr>
        <w:t>Octo</w:t>
      </w:r>
      <w:r w:rsidRPr="00F30FCB">
        <w:rPr>
          <w:rFonts w:ascii="Arial" w:hAnsi="Arial" w:cs="Arial"/>
          <w:b/>
          <w:sz w:val="22"/>
          <w:u w:val="single"/>
        </w:rPr>
        <w:t>ber 2012</w:t>
      </w:r>
      <w:r w:rsidR="00A52F9B" w:rsidRPr="00F30FCB">
        <w:rPr>
          <w:rFonts w:ascii="Arial" w:hAnsi="Arial" w:cs="Arial"/>
          <w:b/>
          <w:sz w:val="22"/>
          <w:u w:val="single"/>
        </w:rPr>
        <w:t xml:space="preserve"> (in megahertz)</w:t>
      </w:r>
    </w:p>
    <w:p w:rsidR="00F30021" w:rsidRPr="00F30FCB" w:rsidRDefault="00F30021" w:rsidP="00FF5555">
      <w:pPr>
        <w:keepNext/>
        <w:keepLines/>
        <w:spacing w:after="220"/>
        <w:ind w:left="-187" w:right="-187"/>
        <w:contextualSpacing/>
        <w:jc w:val="center"/>
        <w:rPr>
          <w:rFonts w:ascii="Arial" w:hAnsi="Arial" w:cs="Arial"/>
          <w:b/>
          <w:sz w:val="22"/>
          <w:u w:val="single"/>
        </w:rPr>
      </w:pPr>
    </w:p>
    <w:p w:rsidR="009A23E4" w:rsidRDefault="00B83737" w:rsidP="004B2FFB">
      <w:pPr>
        <w:keepNext/>
        <w:keepLines/>
        <w:spacing w:after="220"/>
        <w:jc w:val="center"/>
        <w:rPr>
          <w:sz w:val="22"/>
        </w:rPr>
      </w:pPr>
      <w:r w:rsidRPr="00277F7C">
        <w:rPr>
          <w:noProof/>
          <w:sz w:val="22"/>
        </w:rPr>
        <w:drawing>
          <wp:inline distT="0" distB="0" distL="0" distR="0" wp14:anchorId="3FF06C03" wp14:editId="056C89E8">
            <wp:extent cx="4361688" cy="3017520"/>
            <wp:effectExtent l="0" t="0" r="127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61688" cy="3017520"/>
                    </a:xfrm>
                    <a:prstGeom prst="rect">
                      <a:avLst/>
                    </a:prstGeom>
                    <a:noFill/>
                  </pic:spPr>
                </pic:pic>
              </a:graphicData>
            </a:graphic>
          </wp:inline>
        </w:drawing>
      </w:r>
    </w:p>
    <w:p w:rsidR="009A23E4" w:rsidRDefault="009A23E4">
      <w:pPr>
        <w:rPr>
          <w:sz w:val="22"/>
        </w:rPr>
      </w:pPr>
      <w:r>
        <w:rPr>
          <w:sz w:val="22"/>
        </w:rPr>
        <w:br w:type="page"/>
      </w:r>
    </w:p>
    <w:p w:rsidR="008B22B8" w:rsidRPr="001F1BB1" w:rsidRDefault="008B22B8" w:rsidP="00103A5A">
      <w:r w:rsidRPr="001F1BB1">
        <w:lastRenderedPageBreak/>
        <w:t>For many countries, the combined total for the amount of mobile broadband spectrum that is currently available and in the pipeline is fairly constant, largely due to common usage of the same standard bands (see Table 5).</w:t>
      </w:r>
    </w:p>
    <w:p w:rsidR="008B22B8" w:rsidRPr="001F1BB1" w:rsidRDefault="008B22B8" w:rsidP="00103A5A"/>
    <w:p w:rsidR="008B2B2D" w:rsidRDefault="008B22B8">
      <w:pPr>
        <w:jc w:val="center"/>
        <w:rPr>
          <w:noProof/>
          <w:sz w:val="22"/>
        </w:rPr>
      </w:pPr>
      <w:r w:rsidRPr="00F30FCB">
        <w:rPr>
          <w:rFonts w:ascii="Arial" w:hAnsi="Arial" w:cs="Arial"/>
          <w:b/>
          <w:sz w:val="22"/>
          <w:szCs w:val="22"/>
          <w:u w:val="single"/>
        </w:rPr>
        <w:t xml:space="preserve">Table 5: Summary of Total Available Licensed </w:t>
      </w:r>
      <w:r w:rsidRPr="00B17AB3">
        <w:rPr>
          <w:rFonts w:ascii="Arial" w:hAnsi="Arial" w:cs="Arial"/>
          <w:b/>
          <w:sz w:val="22"/>
          <w:szCs w:val="22"/>
          <w:u w:val="single"/>
        </w:rPr>
        <w:t>Spectrum</w:t>
      </w:r>
      <w:r w:rsidR="00A52F9B" w:rsidRPr="00B17AB3">
        <w:rPr>
          <w:rFonts w:ascii="Arial" w:hAnsi="Arial" w:cs="Arial"/>
          <w:b/>
          <w:sz w:val="22"/>
          <w:szCs w:val="22"/>
          <w:u w:val="single"/>
        </w:rPr>
        <w:t xml:space="preserve"> </w:t>
      </w:r>
      <w:r w:rsidR="00F30021">
        <w:rPr>
          <w:rFonts w:ascii="Arial" w:hAnsi="Arial" w:cs="Arial"/>
          <w:b/>
          <w:sz w:val="22"/>
          <w:szCs w:val="22"/>
          <w:u w:val="single"/>
        </w:rPr>
        <w:t xml:space="preserve">Available for Mobile Broadband </w:t>
      </w:r>
      <w:r w:rsidR="00A52F9B" w:rsidRPr="00F30FCB">
        <w:rPr>
          <w:rFonts w:ascii="Arial" w:hAnsi="Arial" w:cs="Arial"/>
          <w:b/>
          <w:sz w:val="22"/>
          <w:szCs w:val="22"/>
          <w:u w:val="single"/>
        </w:rPr>
        <w:t>(in megahertz)</w:t>
      </w:r>
    </w:p>
    <w:p w:rsidR="008B22B8" w:rsidRPr="00F30FCB" w:rsidRDefault="008B2B2D">
      <w:pPr>
        <w:jc w:val="center"/>
        <w:rPr>
          <w:rFonts w:ascii="Arial" w:hAnsi="Arial" w:cs="Arial"/>
          <w:b/>
          <w:sz w:val="22"/>
          <w:szCs w:val="22"/>
          <w:u w:val="single"/>
        </w:rPr>
      </w:pPr>
      <w:r w:rsidRPr="00F30FCB">
        <w:rPr>
          <w:rFonts w:ascii="Arial" w:hAnsi="Arial" w:cs="Arial"/>
          <w:b/>
          <w:noProof/>
          <w:sz w:val="22"/>
          <w:szCs w:val="22"/>
          <w:u w:val="single"/>
        </w:rPr>
        <mc:AlternateContent>
          <mc:Choice Requires="wps">
            <w:drawing>
              <wp:anchor distT="0" distB="0" distL="114300" distR="114300" simplePos="0" relativeHeight="251675648" behindDoc="0" locked="0" layoutInCell="1" allowOverlap="1" wp14:anchorId="2FF34274" wp14:editId="22492652">
                <wp:simplePos x="0" y="0"/>
                <wp:positionH relativeFrom="column">
                  <wp:posOffset>825500</wp:posOffset>
                </wp:positionH>
                <wp:positionV relativeFrom="paragraph">
                  <wp:posOffset>95250</wp:posOffset>
                </wp:positionV>
                <wp:extent cx="4299044" cy="3441700"/>
                <wp:effectExtent l="0" t="0" r="25400" b="25400"/>
                <wp:wrapNone/>
                <wp:docPr id="8" name="Rectangle 8"/>
                <wp:cNvGraphicFramePr/>
                <a:graphic xmlns:a="http://schemas.openxmlformats.org/drawingml/2006/main">
                  <a:graphicData uri="http://schemas.microsoft.com/office/word/2010/wordprocessingShape">
                    <wps:wsp>
                      <wps:cNvSpPr/>
                      <wps:spPr>
                        <a:xfrm>
                          <a:off x="0" y="0"/>
                          <a:ext cx="4299044" cy="34417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8" o:spid="_x0000_s1026" style="position:absolute;margin-left:65pt;margin-top:7.5pt;width:338.5pt;height:271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" filled="f" strokecolor="#243f60 [1604]" strokeweight="2pt"/>
            </w:pict>
          </mc:Fallback>
        </mc:AlternateContent>
      </w:r>
    </w:p>
    <w:p w:rsidR="008B22B8" w:rsidRDefault="00820F82" w:rsidP="0027143F">
      <w:pPr>
        <w:widowControl w:val="0"/>
        <w:spacing w:after="220"/>
        <w:jc w:val="center"/>
        <w:rPr>
          <w:szCs w:val="22"/>
        </w:rPr>
      </w:pPr>
      <w:r w:rsidRPr="00FF5555">
        <w:rPr>
          <w:rFonts w:ascii="Arial" w:hAnsi="Arial" w:cs="Arial"/>
          <w:b/>
          <w:noProof/>
          <w:sz w:val="22"/>
          <w:szCs w:val="22"/>
          <w:u w:val="single"/>
        </w:rPr>
        <mc:AlternateContent>
          <mc:Choice Requires="wps">
            <w:drawing>
              <wp:anchor distT="0" distB="0" distL="114300" distR="114300" simplePos="0" relativeHeight="251676672" behindDoc="0" locked="0" layoutInCell="1" allowOverlap="1" wp14:anchorId="6B4FEAE2" wp14:editId="73F2CACC">
                <wp:simplePos x="0" y="0"/>
                <wp:positionH relativeFrom="column">
                  <wp:posOffset>1123950</wp:posOffset>
                </wp:positionH>
                <wp:positionV relativeFrom="paragraph">
                  <wp:posOffset>2856230</wp:posOffset>
                </wp:positionV>
                <wp:extent cx="3695700" cy="616585"/>
                <wp:effectExtent l="0" t="0" r="0" b="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95700" cy="616585"/>
                        </a:xfrm>
                        <a:prstGeom prst="rect">
                          <a:avLst/>
                        </a:prstGeom>
                        <a:noFill/>
                        <a:ln w="9525">
                          <a:noFill/>
                          <a:miter lim="800000"/>
                          <a:headEnd/>
                          <a:tailEnd/>
                        </a:ln>
                      </wps:spPr>
                      <wps:txbx>
                        <w:txbxContent>
                          <w:p w:rsidR="008B2B2D" w:rsidRPr="00F30FCB" w:rsidRDefault="008B2B2D" w:rsidP="008B2B2D">
                            <w:pPr>
                              <w:rPr>
                                <w:i/>
                                <w:color w:val="0F243E"/>
                                <w:sz w:val="18"/>
                                <w:szCs w:val="18"/>
                              </w:rPr>
                            </w:pPr>
                            <w:r w:rsidRPr="00F30FCB">
                              <w:rPr>
                                <w:b/>
                                <w:i/>
                                <w:color w:val="0F243E"/>
                                <w:sz w:val="18"/>
                                <w:szCs w:val="18"/>
                              </w:rPr>
                              <w:t>Note</w:t>
                            </w:r>
                            <w:r w:rsidRPr="00F30FCB">
                              <w:rPr>
                                <w:i/>
                                <w:color w:val="0F243E"/>
                                <w:sz w:val="18"/>
                                <w:szCs w:val="18"/>
                              </w:rPr>
                              <w:t xml:space="preserve">:  </w:t>
                            </w:r>
                            <w:r w:rsidR="00981DE3">
                              <w:rPr>
                                <w:i/>
                                <w:color w:val="0F243E"/>
                                <w:sz w:val="18"/>
                                <w:szCs w:val="18"/>
                              </w:rPr>
                              <w:t>US</w:t>
                            </w:r>
                            <w:r w:rsidR="00F77CAF">
                              <w:rPr>
                                <w:i/>
                                <w:color w:val="0F243E"/>
                                <w:sz w:val="18"/>
                                <w:szCs w:val="18"/>
                              </w:rPr>
                              <w:t xml:space="preserve"> p</w:t>
                            </w:r>
                            <w:r w:rsidR="00F77CAF" w:rsidRPr="00F30FCB">
                              <w:rPr>
                                <w:i/>
                                <w:color w:val="0F243E"/>
                                <w:sz w:val="18"/>
                                <w:szCs w:val="18"/>
                              </w:rPr>
                              <w:t>ipeline numbers do not include</w:t>
                            </w:r>
                            <w:r w:rsidR="00F77CAF">
                              <w:rPr>
                                <w:i/>
                                <w:color w:val="0F243E"/>
                                <w:sz w:val="18"/>
                                <w:szCs w:val="18"/>
                              </w:rPr>
                              <w:t xml:space="preserve"> the significant amount of </w:t>
                            </w:r>
                            <w:r w:rsidR="00F77CAF" w:rsidRPr="00F30FCB">
                              <w:rPr>
                                <w:i/>
                                <w:color w:val="0F243E"/>
                                <w:sz w:val="18"/>
                                <w:szCs w:val="18"/>
                              </w:rPr>
                              <w:t xml:space="preserve">spectrum </w:t>
                            </w:r>
                            <w:r w:rsidR="00F77CAF">
                              <w:rPr>
                                <w:i/>
                                <w:color w:val="0F243E"/>
                                <w:sz w:val="18"/>
                                <w:szCs w:val="18"/>
                              </w:rPr>
                              <w:t>that will be made available for mobile broadband from incentive auctions and federal repurposing.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88.5pt;margin-top:224.9pt;width:291pt;height:48.5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" filled="f" stroked="f">
                <v:textbox>
                  <w:txbxContent>
                    <w:p w:rsidR="008B2B2D" w:rsidRPr="00F30FCB" w:rsidRDefault="008B2B2D" w:rsidP="008B2B2D">
                      <w:pPr>
                        <w:rPr>
                          <w:i/>
                          <w:color w:val="0F243E"/>
                          <w:sz w:val="18"/>
                          <w:szCs w:val="18"/>
                        </w:rPr>
                      </w:pPr>
                      <w:r w:rsidRPr="00F30FCB">
                        <w:rPr>
                          <w:b/>
                          <w:i/>
                          <w:color w:val="0F243E"/>
                          <w:sz w:val="18"/>
                          <w:szCs w:val="18"/>
                        </w:rPr>
                        <w:t>Note</w:t>
                      </w:r>
                      <w:r w:rsidRPr="00F30FCB">
                        <w:rPr>
                          <w:i/>
                          <w:color w:val="0F243E"/>
                          <w:sz w:val="18"/>
                          <w:szCs w:val="18"/>
                        </w:rPr>
                        <w:t xml:space="preserve">:  </w:t>
                      </w:r>
                      <w:r w:rsidR="00981DE3">
                        <w:rPr>
                          <w:i/>
                          <w:color w:val="0F243E"/>
                          <w:sz w:val="18"/>
                          <w:szCs w:val="18"/>
                        </w:rPr>
                        <w:t>US</w:t>
                      </w:r>
                      <w:r w:rsidR="00F77CAF">
                        <w:rPr>
                          <w:i/>
                          <w:color w:val="0F243E"/>
                          <w:sz w:val="18"/>
                          <w:szCs w:val="18"/>
                        </w:rPr>
                        <w:t xml:space="preserve"> p</w:t>
                      </w:r>
                      <w:r w:rsidR="00F77CAF" w:rsidRPr="00F30FCB">
                        <w:rPr>
                          <w:i/>
                          <w:color w:val="0F243E"/>
                          <w:sz w:val="18"/>
                          <w:szCs w:val="18"/>
                        </w:rPr>
                        <w:t>ipeline numbers do not include</w:t>
                      </w:r>
                      <w:r w:rsidR="00F77CAF">
                        <w:rPr>
                          <w:i/>
                          <w:color w:val="0F243E"/>
                          <w:sz w:val="18"/>
                          <w:szCs w:val="18"/>
                        </w:rPr>
                        <w:t xml:space="preserve"> the significant amount of </w:t>
                      </w:r>
                      <w:r w:rsidR="00F77CAF" w:rsidRPr="00F30FCB">
                        <w:rPr>
                          <w:i/>
                          <w:color w:val="0F243E"/>
                          <w:sz w:val="18"/>
                          <w:szCs w:val="18"/>
                        </w:rPr>
                        <w:t xml:space="preserve">spectrum </w:t>
                      </w:r>
                      <w:r w:rsidR="00F77CAF">
                        <w:rPr>
                          <w:i/>
                          <w:color w:val="0F243E"/>
                          <w:sz w:val="18"/>
                          <w:szCs w:val="18"/>
                        </w:rPr>
                        <w:t>that will be made available for mobile broadband from incentive auctions and federal repurposing.</w:t>
                      </w:r>
                    </w:p>
                  </w:txbxContent>
                </v:textbox>
              </v:shape>
            </w:pict>
          </mc:Fallback>
        </mc:AlternateContent>
      </w:r>
      <w:r w:rsidR="003E1171" w:rsidRPr="00277F7C">
        <w:rPr>
          <w:noProof/>
          <w:szCs w:val="22"/>
        </w:rPr>
        <w:drawing>
          <wp:inline distT="0" distB="0" distL="0" distR="0" wp14:anchorId="445AE720" wp14:editId="6E618991">
            <wp:extent cx="3694176" cy="2907792"/>
            <wp:effectExtent l="0" t="0" r="1905"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94176" cy="2907792"/>
                    </a:xfrm>
                    <a:prstGeom prst="rect">
                      <a:avLst/>
                    </a:prstGeom>
                    <a:noFill/>
                  </pic:spPr>
                </pic:pic>
              </a:graphicData>
            </a:graphic>
          </wp:inline>
        </w:drawing>
      </w:r>
    </w:p>
    <w:p w:rsidR="008B2B2D" w:rsidRDefault="008B2B2D" w:rsidP="0027143F">
      <w:pPr>
        <w:widowControl w:val="0"/>
        <w:spacing w:after="220"/>
        <w:jc w:val="center"/>
        <w:rPr>
          <w:szCs w:val="22"/>
        </w:rPr>
      </w:pPr>
    </w:p>
    <w:p w:rsidR="00C01A18" w:rsidRPr="001F1BB1" w:rsidRDefault="00C01A18" w:rsidP="0027143F">
      <w:pPr>
        <w:widowControl w:val="0"/>
        <w:spacing w:after="220"/>
        <w:jc w:val="center"/>
        <w:rPr>
          <w:szCs w:val="22"/>
        </w:rPr>
      </w:pPr>
    </w:p>
    <w:p w:rsidR="008B22B8" w:rsidRPr="00F30FCB" w:rsidRDefault="008B22B8" w:rsidP="005472B0">
      <w:pPr>
        <w:pStyle w:val="Heading1"/>
        <w:tabs>
          <w:tab w:val="left" w:pos="990"/>
        </w:tabs>
        <w:rPr>
          <w:rFonts w:ascii="Arial" w:hAnsi="Arial" w:cs="Arial"/>
          <w:szCs w:val="22"/>
        </w:rPr>
      </w:pPr>
      <w:r w:rsidRPr="00F30FCB">
        <w:rPr>
          <w:rFonts w:ascii="Arial" w:hAnsi="Arial" w:cs="Arial"/>
          <w:szCs w:val="22"/>
        </w:rPr>
        <w:t>UNLicensed spectrum resources</w:t>
      </w:r>
    </w:p>
    <w:p w:rsidR="008B22B8" w:rsidRPr="001F1BB1" w:rsidRDefault="008B22B8" w:rsidP="00103A5A">
      <w:r w:rsidRPr="001F1BB1">
        <w:t>The United States has pursued innovative spectrum access models that allow entry into bands that had previously been viewed as encumbered or otherwise unsuitable for development.  As described in greater detail below, and in the accompanying charts, the United States has utilized different approaches to make spectrum available for mobile broadband use on a non-exclusive basis.  We identify well over 700 megahertz of spectrum that is available in the U</w:t>
      </w:r>
      <w:r w:rsidR="00B86B79">
        <w:t>nited</w:t>
      </w:r>
      <w:r w:rsidR="00297202">
        <w:t xml:space="preserve"> </w:t>
      </w:r>
      <w:r w:rsidRPr="001F1BB1">
        <w:t>S</w:t>
      </w:r>
      <w:r w:rsidR="00B86B79">
        <w:t>tates</w:t>
      </w:r>
      <w:r w:rsidRPr="001F1BB1">
        <w:t xml:space="preserve"> for mobile broadband use on a nonexclusive basis, as well as an additional 345 megahertz that is either </w:t>
      </w:r>
      <w:r w:rsidR="00C55387" w:rsidRPr="001F1BB1">
        <w:t xml:space="preserve">in the pipeline </w:t>
      </w:r>
      <w:r w:rsidRPr="001F1BB1">
        <w:t>or has the potential to be used in such a manner.</w:t>
      </w:r>
    </w:p>
    <w:p w:rsidR="008B22B8" w:rsidRPr="001F1BB1" w:rsidRDefault="008B22B8" w:rsidP="00103A5A"/>
    <w:p w:rsidR="008B22B8" w:rsidRPr="001F1BB1" w:rsidRDefault="008B22B8" w:rsidP="00103A5A">
      <w:r w:rsidRPr="001F1BB1">
        <w:t xml:space="preserve">Under the traditional unlicensed approach, the Commission has required no specific device or user authorization, either through registration or grant of a license.  Technologies such as Wi-Fi, Bluetooth, and Zigbee – spawned by </w:t>
      </w:r>
      <w:r w:rsidR="00981DE3">
        <w:t>US</w:t>
      </w:r>
      <w:r w:rsidRPr="001F1BB1">
        <w:t xml:space="preserve"> leadership – have thrived under this model.  Widely deployed, devices that use these standards have proven to be popular with consumers and are </w:t>
      </w:r>
      <w:r w:rsidR="00297202">
        <w:t xml:space="preserve">broadly </w:t>
      </w:r>
      <w:r w:rsidRPr="001F1BB1">
        <w:t xml:space="preserve">supported and used by industry. </w:t>
      </w:r>
      <w:r w:rsidR="00B9005C" w:rsidRPr="001F1BB1">
        <w:t xml:space="preserve"> </w:t>
      </w:r>
      <w:r w:rsidRPr="001F1BB1">
        <w:t xml:space="preserve">Such devices have turned frequency bands that were formerly considered to be of relatively limited value </w:t>
      </w:r>
      <w:r w:rsidR="00EC42C3" w:rsidRPr="001F1BB1">
        <w:t>(</w:t>
      </w:r>
      <w:r w:rsidRPr="001F1BB1">
        <w:t>due to potential interference from microwave ovens and industrial equipment that uses high power RF energy to perform various functions) into important broadband networking platforms.</w:t>
      </w:r>
    </w:p>
    <w:p w:rsidR="008B22B8" w:rsidRPr="001F1BB1" w:rsidRDefault="008B22B8"/>
    <w:p w:rsidR="008B22B8" w:rsidRPr="001F1BB1" w:rsidRDefault="008B22B8">
      <w:r w:rsidRPr="001F1BB1">
        <w:lastRenderedPageBreak/>
        <w:t xml:space="preserve">In other instances, new and innovative technologies have provided the means to expand unlicensed spectrum use.  For example, </w:t>
      </w:r>
      <w:r w:rsidR="00C55387" w:rsidRPr="001F1BB1">
        <w:t>as a result of</w:t>
      </w:r>
      <w:r w:rsidRPr="001F1BB1">
        <w:t xml:space="preserve"> the Commission’s recent </w:t>
      </w:r>
      <w:r w:rsidR="00EC42C3" w:rsidRPr="001F1BB1">
        <w:t xml:space="preserve">white spaces </w:t>
      </w:r>
      <w:r w:rsidRPr="001F1BB1">
        <w:t xml:space="preserve">proceeding, we permit operation </w:t>
      </w:r>
      <w:r w:rsidR="00EC42C3" w:rsidRPr="001F1BB1">
        <w:t xml:space="preserve">in the TV bands </w:t>
      </w:r>
      <w:r w:rsidRPr="001F1BB1">
        <w:t>without a specific license</w:t>
      </w:r>
      <w:r w:rsidR="00237843" w:rsidRPr="001F1BB1">
        <w:t xml:space="preserve">, providing spectrum access by means of </w:t>
      </w:r>
      <w:r w:rsidRPr="001F1BB1">
        <w:t>a database and the use of cognitive radio technologies</w:t>
      </w:r>
      <w:r w:rsidR="00237843" w:rsidRPr="001F1BB1">
        <w:t>.</w:t>
      </w:r>
      <w:r w:rsidRPr="001F1BB1">
        <w:rPr>
          <w:rStyle w:val="FootnoteReference"/>
          <w:rFonts w:eastAsia="SimSun"/>
        </w:rPr>
        <w:footnoteReference w:id="6"/>
      </w:r>
      <w:r w:rsidRPr="001F1BB1">
        <w:t xml:space="preserve">  The prospect of using such advanced technologies has also served as a potential basis for sharing of other parts of the spectrum, including spectrum used by the </w:t>
      </w:r>
      <w:r w:rsidR="00237843" w:rsidRPr="001F1BB1">
        <w:t>f</w:t>
      </w:r>
      <w:r w:rsidRPr="001F1BB1">
        <w:t>ederal government.  Although this has obvious potential benefits for increased access to spectrum in the United States, it is likely that other parts of the world will consider similar approaches to facilitate growth and innovation in unlicensed devices.</w:t>
      </w:r>
    </w:p>
    <w:p w:rsidR="008B22B8" w:rsidRPr="001F1BB1" w:rsidRDefault="008B22B8"/>
    <w:p w:rsidR="008B22B8" w:rsidRPr="001F1BB1" w:rsidRDefault="008B22B8">
      <w:r w:rsidRPr="001F1BB1">
        <w:t>An additional approach used in some Commission-regulated services involves “blanket licensing,” under which users must comply with specific service rules but do not have to obtain individual station licenses.  For example, in the 3650 MHz band, the Commission implemented a licensed model that employs non-exclusive licenses.</w:t>
      </w:r>
      <w:r w:rsidRPr="001F1BB1">
        <w:rPr>
          <w:rStyle w:val="FootnoteReference"/>
          <w:rFonts w:eastAsia="SimSun"/>
        </w:rPr>
        <w:footnoteReference w:id="7"/>
      </w:r>
      <w:r w:rsidRPr="001F1BB1">
        <w:t xml:space="preserve">  </w:t>
      </w:r>
      <w:r w:rsidR="00EC42C3" w:rsidRPr="001F1BB1">
        <w:t>T</w:t>
      </w:r>
      <w:r w:rsidRPr="001F1BB1">
        <w:t>he Commission just recently proposed to make additional spectrum available at 3550</w:t>
      </w:r>
      <w:r w:rsidR="00B86B79">
        <w:t>-</w:t>
      </w:r>
      <w:r w:rsidRPr="001F1BB1">
        <w:t>3650 MHz on a “licensed-light” basis</w:t>
      </w:r>
      <w:r w:rsidR="00892379">
        <w:t>, shared with existing federal services</w:t>
      </w:r>
      <w:r w:rsidRPr="001F1BB1">
        <w:t>.  For purposes of this paper</w:t>
      </w:r>
      <w:r w:rsidR="00B9005C" w:rsidRPr="001F1BB1">
        <w:t>,</w:t>
      </w:r>
      <w:r w:rsidRPr="001F1BB1">
        <w:t xml:space="preserve"> we are treating such licensed-light spectrum bands as unlicensed because they are open to </w:t>
      </w:r>
      <w:r w:rsidR="00F16CB1" w:rsidRPr="001F1BB1">
        <w:t>anyone</w:t>
      </w:r>
      <w:r w:rsidR="00EC42C3" w:rsidRPr="001F1BB1">
        <w:t>,</w:t>
      </w:r>
      <w:r w:rsidR="00F16CB1" w:rsidRPr="001F1BB1">
        <w:t xml:space="preserve"> and</w:t>
      </w:r>
      <w:r w:rsidRPr="001F1BB1">
        <w:t xml:space="preserve"> </w:t>
      </w:r>
      <w:r w:rsidR="00EC42C3" w:rsidRPr="001F1BB1">
        <w:t>typically a ser</w:t>
      </w:r>
      <w:r w:rsidR="00F16CB1" w:rsidRPr="001F1BB1">
        <w:t xml:space="preserve">vice provider obtains a </w:t>
      </w:r>
      <w:r w:rsidRPr="001F1BB1">
        <w:t xml:space="preserve">license </w:t>
      </w:r>
      <w:r w:rsidR="00EC42C3" w:rsidRPr="001F1BB1">
        <w:t>through</w:t>
      </w:r>
      <w:r w:rsidRPr="001F1BB1">
        <w:t xml:space="preserve"> a simple</w:t>
      </w:r>
      <w:r w:rsidR="00ED020B" w:rsidRPr="001F1BB1">
        <w:t>, non-exclusive</w:t>
      </w:r>
      <w:r w:rsidRPr="001F1BB1">
        <w:t xml:space="preserve"> process</w:t>
      </w:r>
      <w:r w:rsidR="0093200A" w:rsidRPr="001F1BB1">
        <w:t>.</w:t>
      </w:r>
    </w:p>
    <w:p w:rsidR="008B22B8" w:rsidRPr="001F1BB1" w:rsidRDefault="008B22B8"/>
    <w:p w:rsidR="00C36F95" w:rsidRDefault="008B22B8">
      <w:r w:rsidRPr="001F1BB1">
        <w:t>Also for purposes of this paper</w:t>
      </w:r>
      <w:r w:rsidR="00B9005C" w:rsidRPr="001F1BB1">
        <w:t>,</w:t>
      </w:r>
      <w:r w:rsidRPr="001F1BB1">
        <w:t xml:space="preserve"> we have not accounted for unlicensed spectrum that is available for general use but may not be particularly well suited for mobile broadband purposes and instead is used for applications such as remote control, RFID, </w:t>
      </w:r>
      <w:r w:rsidR="00B9005C" w:rsidRPr="001F1BB1">
        <w:t xml:space="preserve">and </w:t>
      </w:r>
      <w:r w:rsidRPr="001F1BB1">
        <w:t>wireless sensors.  We also have not accounted for spectrum that is available above the 5 GHz region, such as the band at 57–64 GHz</w:t>
      </w:r>
      <w:r w:rsidR="001C3005" w:rsidRPr="001F1BB1">
        <w:t>.  This band</w:t>
      </w:r>
      <w:r w:rsidRPr="001F1BB1">
        <w:t xml:space="preserve"> can be used for fixed broadband applications but typically only over very short distances</w:t>
      </w:r>
      <w:r w:rsidR="0093200A" w:rsidRPr="001F1BB1">
        <w:t>.  While this spectrum may ultimately be deployed for Wi-Fi</w:t>
      </w:r>
      <w:r w:rsidR="00F16CB1" w:rsidRPr="001F1BB1">
        <w:t xml:space="preserve"> applications</w:t>
      </w:r>
      <w:r w:rsidR="0093200A" w:rsidRPr="001F1BB1">
        <w:t xml:space="preserve">, </w:t>
      </w:r>
      <w:r w:rsidR="00F16CB1" w:rsidRPr="001F1BB1">
        <w:t>it</w:t>
      </w:r>
      <w:r w:rsidR="0093200A" w:rsidRPr="001F1BB1">
        <w:t xml:space="preserve"> has not been used for mobile applications thus far.</w:t>
      </w:r>
      <w:r w:rsidRPr="001F1BB1">
        <w:t xml:space="preserve"> </w:t>
      </w:r>
      <w:r w:rsidR="00B9005C" w:rsidRPr="001F1BB1">
        <w:t xml:space="preserve"> </w:t>
      </w:r>
      <w:r w:rsidRPr="001F1BB1">
        <w:t xml:space="preserve">Nor have we accounted for spectrum available for ultra-wideband operations </w:t>
      </w:r>
      <w:r w:rsidR="00F16CB1" w:rsidRPr="001F1BB1">
        <w:t>because these devices have not been deployed in any significant numbers.</w:t>
      </w:r>
    </w:p>
    <w:p w:rsidR="008B22B8" w:rsidRPr="001F1BB1" w:rsidRDefault="008B22B8"/>
    <w:p w:rsidR="008B22B8" w:rsidRPr="001F1BB1" w:rsidRDefault="008B22B8">
      <w:r w:rsidRPr="001F1BB1">
        <w:t xml:space="preserve">Although </w:t>
      </w:r>
      <w:r w:rsidR="00981DE3">
        <w:t>US</w:t>
      </w:r>
      <w:r w:rsidRPr="001F1BB1">
        <w:t xml:space="preserve"> efforts to make non-exclusive spectrum bands available for mobile broadband use are well documented, it is somewhat difficult to compare this record with other countries.  First, unlike </w:t>
      </w:r>
      <w:r w:rsidR="001C3005" w:rsidRPr="001F1BB1">
        <w:t>high-</w:t>
      </w:r>
      <w:r w:rsidRPr="001F1BB1">
        <w:t>power radio services that have the potential to cause interference across international borders and therefore are the focus of international organizations such as the International Telecommunication Union</w:t>
      </w:r>
      <w:r w:rsidR="00F16CB1" w:rsidRPr="001F1BB1">
        <w:t xml:space="preserve"> (ITU)</w:t>
      </w:r>
      <w:r w:rsidRPr="001F1BB1">
        <w:t xml:space="preserve">, unlicensed operations typically use relatively low power and spectrum availability is not generally considered by international organizations.   Additionally, while nearly all spectrum can be used for unlicensed devices, not all bands are suitable for mobile broadband – either because of technical characteristics of various parts of the spectrum or restrictions necessary to protect incumbent services against harmful interference.  Also, many countries do not publish lists of unlicensed bands </w:t>
      </w:r>
      <w:r w:rsidR="00237843" w:rsidRPr="001F1BB1">
        <w:t xml:space="preserve">or </w:t>
      </w:r>
      <w:r w:rsidRPr="001F1BB1">
        <w:t>require registration or licensing of all spectrum users.</w:t>
      </w:r>
    </w:p>
    <w:p w:rsidR="008B22B8" w:rsidRPr="001F1BB1" w:rsidRDefault="008B22B8">
      <w:r w:rsidRPr="001F1BB1">
        <w:lastRenderedPageBreak/>
        <w:t>The 2.4 and 5 GHz bands – popularized by Wi-Fi applications – are widely available in many countries, although the exact amount of available spectrum varies by jurisdiction.  These bands are especially well suited for near</w:t>
      </w:r>
      <w:r w:rsidR="00892379">
        <w:t>-</w:t>
      </w:r>
      <w:r w:rsidRPr="001F1BB1">
        <w:t xml:space="preserve">ubiquitous worldwide deployment given </w:t>
      </w:r>
      <w:r w:rsidR="00237843" w:rsidRPr="001F1BB1">
        <w:t xml:space="preserve">their primary </w:t>
      </w:r>
      <w:r w:rsidRPr="001F1BB1">
        <w:t>allocat</w:t>
      </w:r>
      <w:r w:rsidR="00237843" w:rsidRPr="001F1BB1">
        <w:t>ion</w:t>
      </w:r>
      <w:r w:rsidRPr="001F1BB1">
        <w:t xml:space="preserve"> by the ITU for industrial, scientific and medical equipment</w:t>
      </w:r>
      <w:r w:rsidR="00892379">
        <w:t>;</w:t>
      </w:r>
      <w:r w:rsidRPr="001F1BB1">
        <w:t xml:space="preserve"> the presence of strong international standards and trade groups such as the IEEE and the Wi-Fi Alliance</w:t>
      </w:r>
      <w:r w:rsidR="00892379">
        <w:t>;</w:t>
      </w:r>
      <w:r w:rsidRPr="001F1BB1">
        <w:t xml:space="preserve"> and the production of vast amounts of low-cost popular consumer devices.</w:t>
      </w:r>
    </w:p>
    <w:p w:rsidR="008B22B8" w:rsidRPr="001F1BB1" w:rsidRDefault="008B22B8"/>
    <w:p w:rsidR="008B22B8" w:rsidRPr="001F1BB1" w:rsidRDefault="008B22B8">
      <w:r w:rsidRPr="001F1BB1">
        <w:t>Beyond those bands, comparisons can only be general at best.  What is clear from past experience is that unlicensed technologies can become especially popular when they can achieve economies of scale.  The United States has supported innovation in the development of unlicensed devices, and has in turn made spectrum available to support such devices.  We recognize that other jurisdictions may not yet have realized some of these unlicensed spectrum opportunities.  For example, while the Commission has already acted to permit new unlicensed uses of television broadcast spectrum, most other countries are only just beginning to consider similar action.  The actions of the United States may serve as a practical model for these countries as they work to adopt new and expanded schemes to provide for unlicensed broadband use.</w:t>
      </w:r>
    </w:p>
    <w:p w:rsidR="008B22B8" w:rsidRPr="001F1BB1" w:rsidRDefault="008B22B8"/>
    <w:p w:rsidR="008B22B8" w:rsidRPr="001F1BB1" w:rsidRDefault="008B22B8">
      <w:r w:rsidRPr="001F1BB1">
        <w:t xml:space="preserve">In the following table, we have documented those bands that the United States has made available for unlicensed use and that can support mobile broadband applications.  To the extent that information is available, we have also made comparisons with European bands. </w:t>
      </w:r>
    </w:p>
    <w:p w:rsidR="008B22B8" w:rsidRPr="001F1BB1" w:rsidRDefault="008B22B8"/>
    <w:p w:rsidR="00F30021" w:rsidRDefault="00F30021" w:rsidP="0027143F">
      <w:pPr>
        <w:jc w:val="center"/>
        <w:rPr>
          <w:rFonts w:ascii="Arial" w:hAnsi="Arial" w:cs="Arial"/>
          <w:b/>
          <w:sz w:val="22"/>
          <w:szCs w:val="22"/>
          <w:u w:val="single"/>
        </w:rPr>
      </w:pPr>
    </w:p>
    <w:p w:rsidR="008B22B8" w:rsidRPr="00F30FCB" w:rsidRDefault="008B22B8" w:rsidP="0027143F">
      <w:pPr>
        <w:jc w:val="center"/>
        <w:rPr>
          <w:rFonts w:ascii="Arial" w:hAnsi="Arial" w:cs="Arial"/>
          <w:b/>
          <w:sz w:val="22"/>
          <w:szCs w:val="22"/>
          <w:u w:val="single"/>
        </w:rPr>
      </w:pPr>
      <w:r w:rsidRPr="00F30FCB">
        <w:rPr>
          <w:rFonts w:ascii="Arial" w:hAnsi="Arial" w:cs="Arial"/>
          <w:b/>
          <w:sz w:val="22"/>
          <w:szCs w:val="22"/>
          <w:u w:val="single"/>
        </w:rPr>
        <w:t>Table 6:  Amount of Spectrum Below 6 GHz Available for Unlicensed Broadband Use</w:t>
      </w:r>
    </w:p>
    <w:p w:rsidR="008B22B8" w:rsidRPr="001F1BB1" w:rsidRDefault="008B22B8"/>
    <w:p w:rsidR="008B22B8" w:rsidRPr="001F1BB1" w:rsidRDefault="009C3465" w:rsidP="00E15B9E">
      <w:pPr>
        <w:jc w:val="center"/>
        <w:rPr>
          <w:u w:val="single"/>
        </w:rPr>
      </w:pPr>
      <w:r w:rsidRPr="00957F20">
        <w:rPr>
          <w:noProof/>
          <w:u w:val="single"/>
        </w:rPr>
        <w:drawing>
          <wp:inline distT="0" distB="0" distL="0" distR="0" wp14:anchorId="2EE782CD" wp14:editId="0291C75F">
            <wp:extent cx="4818888" cy="3730752"/>
            <wp:effectExtent l="0" t="0" r="1270"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18888" cy="3730752"/>
                    </a:xfrm>
                    <a:prstGeom prst="rect">
                      <a:avLst/>
                    </a:prstGeom>
                    <a:noFill/>
                  </pic:spPr>
                </pic:pic>
              </a:graphicData>
            </a:graphic>
          </wp:inline>
        </w:drawing>
      </w:r>
    </w:p>
    <w:p w:rsidR="0007338E" w:rsidRPr="00F30FCB" w:rsidRDefault="000803DE" w:rsidP="0027143F">
      <w:r w:rsidRPr="00F30FCB">
        <w:lastRenderedPageBreak/>
        <w:t xml:space="preserve">The TV white spaces are currently estimated as </w:t>
      </w:r>
      <w:r w:rsidR="009C3465">
        <w:t>0</w:t>
      </w:r>
      <w:r w:rsidR="009C3465" w:rsidRPr="00F30FCB">
        <w:t xml:space="preserve"> </w:t>
      </w:r>
      <w:r w:rsidR="0008665C" w:rsidRPr="00F30FCB">
        <w:t>to</w:t>
      </w:r>
      <w:r w:rsidRPr="00F30FCB">
        <w:t xml:space="preserve"> 150 </w:t>
      </w:r>
      <w:r w:rsidR="00EA5F7B" w:rsidRPr="00F30FCB">
        <w:t>megahert</w:t>
      </w:r>
      <w:r w:rsidRPr="00F30FCB">
        <w:t xml:space="preserve">z because the amount of available spectrum varies by location.  </w:t>
      </w:r>
      <w:r w:rsidR="001D3E48" w:rsidRPr="00F30FCB">
        <w:t>The</w:t>
      </w:r>
      <w:r w:rsidRPr="00F30FCB">
        <w:t xml:space="preserve"> “+” sign in the </w:t>
      </w:r>
      <w:r w:rsidR="001D3E48" w:rsidRPr="00F30FCB">
        <w:t>pipeline</w:t>
      </w:r>
      <w:r w:rsidRPr="00F30FCB">
        <w:t xml:space="preserve"> column </w:t>
      </w:r>
      <w:r w:rsidR="001F1BB1">
        <w:t>indicates that</w:t>
      </w:r>
      <w:r w:rsidR="0007338E" w:rsidRPr="00F30FCB">
        <w:t xml:space="preserve"> the Commission has proposed to </w:t>
      </w:r>
      <w:r w:rsidR="00155C99" w:rsidRPr="00F30FCB">
        <w:t xml:space="preserve">make a </w:t>
      </w:r>
      <w:r w:rsidR="0007338E" w:rsidRPr="00F30FCB">
        <w:t xml:space="preserve">substantial </w:t>
      </w:r>
      <w:r w:rsidR="00155C99" w:rsidRPr="00F30FCB">
        <w:t xml:space="preserve"> amount of </w:t>
      </w:r>
      <w:r w:rsidR="0007338E" w:rsidRPr="00F30FCB">
        <w:t xml:space="preserve">spectrum </w:t>
      </w:r>
      <w:r w:rsidR="00155C99" w:rsidRPr="00F30FCB">
        <w:t xml:space="preserve">available </w:t>
      </w:r>
      <w:r w:rsidR="0007338E" w:rsidRPr="00F30FCB">
        <w:t>for unlicensed use in its recent proposal to provide for ince</w:t>
      </w:r>
      <w:r w:rsidR="001D3E48" w:rsidRPr="00F30FCB">
        <w:t>n</w:t>
      </w:r>
      <w:r w:rsidR="0007338E" w:rsidRPr="00F30FCB">
        <w:t>tive auctions as discussed above</w:t>
      </w:r>
      <w:r w:rsidR="00155C99" w:rsidRPr="00F30FCB">
        <w:t>, including a significant portion that would be available on a nationwide basis for the first time</w:t>
      </w:r>
      <w:r w:rsidR="0007338E" w:rsidRPr="00F30FCB">
        <w:t>.</w:t>
      </w:r>
    </w:p>
    <w:p w:rsidR="0007338E" w:rsidRPr="00F30FCB" w:rsidRDefault="0007338E" w:rsidP="0027143F"/>
    <w:p w:rsidR="008B22B8" w:rsidRPr="00F30FCB" w:rsidRDefault="00F86278" w:rsidP="0027143F">
      <w:r>
        <w:t>T</w:t>
      </w:r>
      <w:r w:rsidR="0007338E" w:rsidRPr="00F30FCB">
        <w:t xml:space="preserve">he </w:t>
      </w:r>
      <w:r w:rsidR="001D3E48" w:rsidRPr="00F30FCB">
        <w:t>row</w:t>
      </w:r>
      <w:r w:rsidR="0007338E" w:rsidRPr="00F30FCB">
        <w:t xml:space="preserve"> for the </w:t>
      </w:r>
      <w:r w:rsidR="008B22B8" w:rsidRPr="00F30FCB">
        <w:t xml:space="preserve">5350-5470 MHz and 5850-5925 MHz bands </w:t>
      </w:r>
      <w:r>
        <w:t xml:space="preserve">represents </w:t>
      </w:r>
      <w:r w:rsidR="00621C6F" w:rsidRPr="001F1BB1">
        <w:t>the Commission</w:t>
      </w:r>
      <w:r>
        <w:t>’s</w:t>
      </w:r>
      <w:r w:rsidR="00621C6F" w:rsidRPr="001F1BB1">
        <w:t xml:space="preserve"> </w:t>
      </w:r>
      <w:r w:rsidR="008436AC">
        <w:t xml:space="preserve">recently </w:t>
      </w:r>
      <w:r w:rsidR="00621C6F" w:rsidRPr="001F1BB1">
        <w:t>initiate</w:t>
      </w:r>
      <w:r w:rsidR="008436AC">
        <w:t>d</w:t>
      </w:r>
      <w:r w:rsidR="00621C6F" w:rsidRPr="001F1BB1">
        <w:t xml:space="preserve"> proceeding to make </w:t>
      </w:r>
      <w:r w:rsidR="008436AC">
        <w:t xml:space="preserve">up to </w:t>
      </w:r>
      <w:r w:rsidR="008436AC" w:rsidRPr="00F30FCB">
        <w:t>195 megahertz</w:t>
      </w:r>
      <w:r w:rsidR="008436AC">
        <w:t xml:space="preserve"> </w:t>
      </w:r>
      <w:r w:rsidR="00621C6F" w:rsidRPr="001F1BB1">
        <w:t>available for unlicensed devices.  T</w:t>
      </w:r>
      <w:r w:rsidR="0007338E" w:rsidRPr="00F30FCB">
        <w:t xml:space="preserve">hese bands </w:t>
      </w:r>
      <w:r w:rsidR="008B22B8" w:rsidRPr="00F30FCB">
        <w:t>are</w:t>
      </w:r>
      <w:r w:rsidR="0007338E" w:rsidRPr="00F30FCB">
        <w:t xml:space="preserve"> </w:t>
      </w:r>
      <w:r w:rsidR="008B22B8" w:rsidRPr="00F30FCB">
        <w:t xml:space="preserve">currently under study by </w:t>
      </w:r>
      <w:r w:rsidR="0007338E" w:rsidRPr="00F30FCB">
        <w:t xml:space="preserve">the </w:t>
      </w:r>
      <w:r w:rsidR="008B22B8" w:rsidRPr="00F30FCB">
        <w:t>NTIA</w:t>
      </w:r>
      <w:r w:rsidR="0007338E" w:rsidRPr="00F30FCB">
        <w:t xml:space="preserve"> to determine whether unlicensed devices may share this spectrum with existing federal services</w:t>
      </w:r>
      <w:r w:rsidR="008B22B8" w:rsidRPr="00F30FCB">
        <w:t xml:space="preserve">.  </w:t>
      </w:r>
      <w:r w:rsidR="00155C99" w:rsidRPr="00F30FCB">
        <w:t xml:space="preserve">This additional spectrum </w:t>
      </w:r>
      <w:r w:rsidR="00621C6F" w:rsidRPr="00F30FCB">
        <w:t xml:space="preserve">would </w:t>
      </w:r>
      <w:r w:rsidR="00155C99" w:rsidRPr="00F30FCB">
        <w:t>provide for the next generation of Wi-Fi that offers higher data speeds and greater capacity that can help reduce congestion at major Wi-Fi hubs such as airports and convention centers.</w:t>
      </w:r>
    </w:p>
    <w:p w:rsidR="008B22B8" w:rsidRDefault="008B22B8" w:rsidP="0027143F">
      <w:pPr>
        <w:rPr>
          <w:u w:val="single"/>
        </w:rPr>
      </w:pPr>
    </w:p>
    <w:p w:rsidR="003067EB" w:rsidRPr="001F1BB1" w:rsidRDefault="003067EB" w:rsidP="0027143F">
      <w:pPr>
        <w:rPr>
          <w:u w:val="single"/>
        </w:rPr>
      </w:pPr>
    </w:p>
    <w:p w:rsidR="008B22B8" w:rsidRPr="00F30FCB" w:rsidRDefault="008B22B8" w:rsidP="005472B0">
      <w:pPr>
        <w:pStyle w:val="Heading1"/>
        <w:tabs>
          <w:tab w:val="left" w:pos="990"/>
        </w:tabs>
        <w:rPr>
          <w:rFonts w:ascii="Arial" w:hAnsi="Arial" w:cs="Arial"/>
          <w:szCs w:val="22"/>
        </w:rPr>
      </w:pPr>
      <w:r w:rsidRPr="00F30FCB">
        <w:rPr>
          <w:rFonts w:ascii="Arial" w:hAnsi="Arial" w:cs="Arial"/>
          <w:szCs w:val="22"/>
        </w:rPr>
        <w:t>CONCLUSION</w:t>
      </w:r>
    </w:p>
    <w:p w:rsidR="008B22B8" w:rsidRPr="001F1BB1" w:rsidRDefault="008B22B8" w:rsidP="00103A5A">
      <w:r w:rsidRPr="001F1BB1">
        <w:t xml:space="preserve">The need for spectrum to accommodate increasing mobile broadband demands is a challenge confronting countries worldwide.  As discussed above, the United States is taking a multipronged approach to ensure that sufficient spectrum – both licensed and unlicensed – is available to fuel the nation’s wireless broadband networks.  Likewise, we recognize that worldwide efforts are underway to meet mobile broadband spectrum needs.  In this regard, given the dynamic nature of the wireless landscape, the information in this white paper is subject to change. </w:t>
      </w:r>
      <w:r w:rsidR="00B9005C" w:rsidRPr="001F1BB1">
        <w:t xml:space="preserve"> </w:t>
      </w:r>
      <w:r w:rsidRPr="001F1BB1">
        <w:t xml:space="preserve">This white paper is based on a review of publicly available information.  We welcome the submission of updated or additional data for future revisions.  Interested parties may submit comments to </w:t>
      </w:r>
      <w:r w:rsidR="00AA6A17" w:rsidRPr="001F1BB1">
        <w:rPr>
          <w:i/>
        </w:rPr>
        <w:t>intlspectrumpaper</w:t>
      </w:r>
      <w:r w:rsidR="008B758E" w:rsidRPr="001F1BB1">
        <w:rPr>
          <w:i/>
        </w:rPr>
        <w:t>@fcc.gov</w:t>
      </w:r>
      <w:r w:rsidRPr="001F1BB1">
        <w:t>.</w:t>
      </w:r>
    </w:p>
    <w:p w:rsidR="008B22B8" w:rsidRPr="00F30FCB" w:rsidRDefault="008B22B8" w:rsidP="005472B0">
      <w:pPr>
        <w:jc w:val="center"/>
        <w:rPr>
          <w:rFonts w:ascii="Arial" w:hAnsi="Arial" w:cs="Arial"/>
          <w:b/>
          <w:sz w:val="22"/>
        </w:rPr>
      </w:pPr>
      <w:r w:rsidRPr="001F1BB1">
        <w:rPr>
          <w:sz w:val="22"/>
        </w:rPr>
        <w:br w:type="page"/>
      </w:r>
      <w:r w:rsidRPr="00F30FCB">
        <w:rPr>
          <w:rFonts w:ascii="Arial" w:hAnsi="Arial" w:cs="Arial"/>
          <w:b/>
          <w:sz w:val="22"/>
        </w:rPr>
        <w:lastRenderedPageBreak/>
        <w:t>ENDNOTES</w:t>
      </w:r>
    </w:p>
    <w:p w:rsidR="008B22B8" w:rsidRPr="00F30FCB" w:rsidRDefault="008B22B8" w:rsidP="005472B0">
      <w:pPr>
        <w:rPr>
          <w:rFonts w:ascii="Arial" w:hAnsi="Arial" w:cs="Arial"/>
          <w:sz w:val="22"/>
        </w:rPr>
      </w:pPr>
    </w:p>
    <w:p w:rsidR="008B22B8" w:rsidRPr="00F30FCB" w:rsidRDefault="008B22B8" w:rsidP="005472B0">
      <w:pPr>
        <w:rPr>
          <w:rFonts w:ascii="Arial" w:hAnsi="Arial" w:cs="Arial"/>
          <w:b/>
          <w:sz w:val="22"/>
        </w:rPr>
      </w:pPr>
      <w:r w:rsidRPr="00F30FCB">
        <w:rPr>
          <w:rFonts w:ascii="Arial" w:hAnsi="Arial" w:cs="Arial"/>
          <w:b/>
          <w:sz w:val="22"/>
        </w:rPr>
        <w:t>SECTION II: LICENSED SPECTRUM RESOURCES – TABLES 3, 4a, 4b</w:t>
      </w:r>
      <w:r w:rsidRPr="00F30FCB">
        <w:rPr>
          <w:rFonts w:ascii="Arial" w:hAnsi="Arial" w:cs="Arial"/>
          <w:b/>
          <w:sz w:val="22"/>
        </w:rPr>
        <w:br/>
      </w:r>
    </w:p>
    <w:p w:rsidR="008B22B8" w:rsidRPr="00A31115" w:rsidRDefault="008B22B8" w:rsidP="005472B0">
      <w:pPr>
        <w:rPr>
          <w:bCs/>
          <w:iCs/>
          <w:color w:val="000000"/>
          <w:kern w:val="24"/>
          <w:sz w:val="22"/>
          <w:u w:val="single"/>
        </w:rPr>
      </w:pPr>
      <w:r w:rsidRPr="00A31115">
        <w:rPr>
          <w:bCs/>
          <w:iCs/>
          <w:color w:val="000000"/>
          <w:kern w:val="24"/>
          <w:sz w:val="22"/>
          <w:u w:val="single"/>
        </w:rPr>
        <w:t>United States</w:t>
      </w:r>
    </w:p>
    <w:p w:rsidR="008B22B8" w:rsidRPr="001F1BB1" w:rsidRDefault="008B22B8" w:rsidP="005472B0">
      <w:pPr>
        <w:rPr>
          <w:b/>
          <w:bCs/>
          <w:i/>
          <w:iCs/>
          <w:sz w:val="22"/>
        </w:rPr>
      </w:pPr>
    </w:p>
    <w:p w:rsidR="008B22B8" w:rsidRPr="001F1BB1" w:rsidRDefault="008B22B8" w:rsidP="005472B0">
      <w:pPr>
        <w:ind w:left="720" w:hanging="720"/>
        <w:rPr>
          <w:sz w:val="22"/>
        </w:rPr>
      </w:pPr>
      <w:r w:rsidRPr="001F1BB1">
        <w:rPr>
          <w:sz w:val="22"/>
        </w:rPr>
        <w:t>A1.</w:t>
      </w:r>
      <w:r w:rsidRPr="001F1BB1">
        <w:rPr>
          <w:sz w:val="22"/>
        </w:rPr>
        <w:tab/>
        <w:t xml:space="preserve">698-716 </w:t>
      </w:r>
      <w:r w:rsidRPr="004E0BB7">
        <w:rPr>
          <w:color w:val="000000"/>
          <w:kern w:val="24"/>
          <w:sz w:val="22"/>
          <w:szCs w:val="18"/>
        </w:rPr>
        <w:t>&amp;</w:t>
      </w:r>
      <w:r w:rsidRPr="001F1BB1">
        <w:rPr>
          <w:sz w:val="22"/>
        </w:rPr>
        <w:t xml:space="preserve"> 728-746 MHz FDD, 716-728 MHz unpaired, and 776-787 &amp; 746-755 FDD:  Auctioned in 2000, 2001, and 2008.  This is the first large-scale, low-band LTE deployment in the world with the most LTE subscribers worldwide.</w:t>
      </w:r>
    </w:p>
    <w:p w:rsidR="008B22B8" w:rsidRPr="001F1BB1" w:rsidRDefault="008B22B8" w:rsidP="005472B0">
      <w:pPr>
        <w:ind w:left="720" w:hanging="720"/>
        <w:rPr>
          <w:sz w:val="22"/>
        </w:rPr>
      </w:pPr>
      <w:r w:rsidRPr="001F1BB1">
        <w:rPr>
          <w:sz w:val="22"/>
        </w:rPr>
        <w:t>A2.</w:t>
      </w:r>
      <w:r w:rsidRPr="001F1BB1">
        <w:rPr>
          <w:sz w:val="22"/>
        </w:rPr>
        <w:tab/>
      </w:r>
      <w:r w:rsidRPr="001F1BB1">
        <w:rPr>
          <w:color w:val="000000"/>
          <w:sz w:val="22"/>
          <w:szCs w:val="21"/>
        </w:rPr>
        <w:t>824-849</w:t>
      </w:r>
      <w:r w:rsidRPr="001F1BB1">
        <w:rPr>
          <w:color w:val="000000"/>
          <w:sz w:val="22"/>
        </w:rPr>
        <w:t> </w:t>
      </w:r>
      <w:r w:rsidRPr="001F1BB1">
        <w:rPr>
          <w:color w:val="000000"/>
          <w:sz w:val="22"/>
          <w:szCs w:val="21"/>
        </w:rPr>
        <w:t>&amp;</w:t>
      </w:r>
      <w:r w:rsidRPr="001F1BB1">
        <w:rPr>
          <w:color w:val="000000"/>
          <w:sz w:val="22"/>
        </w:rPr>
        <w:t> </w:t>
      </w:r>
      <w:r w:rsidRPr="001F1BB1">
        <w:rPr>
          <w:color w:val="000000"/>
          <w:sz w:val="22"/>
          <w:szCs w:val="21"/>
        </w:rPr>
        <w:t>869-894 MHz FDD (cellular band) and 817-824 &amp; 862-869 MHz (</w:t>
      </w:r>
      <w:r w:rsidR="00A3405A">
        <w:rPr>
          <w:color w:val="000000"/>
          <w:sz w:val="22"/>
          <w:szCs w:val="21"/>
        </w:rPr>
        <w:t>Enhanced Specialized Mobile Ra</w:t>
      </w:r>
      <w:r w:rsidR="0045728C">
        <w:rPr>
          <w:color w:val="000000"/>
          <w:sz w:val="22"/>
          <w:szCs w:val="21"/>
        </w:rPr>
        <w:t>dio Service (</w:t>
      </w:r>
      <w:r w:rsidRPr="001F1BB1">
        <w:rPr>
          <w:color w:val="000000"/>
          <w:sz w:val="22"/>
          <w:szCs w:val="21"/>
        </w:rPr>
        <w:t>ESMR</w:t>
      </w:r>
      <w:r w:rsidR="0045728C">
        <w:rPr>
          <w:color w:val="000000"/>
          <w:sz w:val="22"/>
          <w:szCs w:val="21"/>
        </w:rPr>
        <w:t>)</w:t>
      </w:r>
      <w:r w:rsidRPr="001F1BB1">
        <w:rPr>
          <w:color w:val="000000"/>
          <w:sz w:val="22"/>
          <w:szCs w:val="21"/>
        </w:rPr>
        <w:t xml:space="preserve"> Band):  The cellular band is the first band available for mobile use in the US and supports both 2G and 3G technologies.  ESMR is being rebanded to solve interference issues and currently supports 2G iDEN and 2.5G CDMA technologies.  In the future, both bands may be refarmed to support 4G services.</w:t>
      </w:r>
    </w:p>
    <w:p w:rsidR="008B22B8" w:rsidRPr="001F1BB1" w:rsidRDefault="008B22B8" w:rsidP="005472B0">
      <w:pPr>
        <w:ind w:left="720" w:hanging="720"/>
        <w:rPr>
          <w:sz w:val="22"/>
        </w:rPr>
      </w:pPr>
      <w:r w:rsidRPr="001F1BB1">
        <w:rPr>
          <w:sz w:val="22"/>
        </w:rPr>
        <w:t>A3.</w:t>
      </w:r>
      <w:r w:rsidRPr="001F1BB1">
        <w:rPr>
          <w:sz w:val="22"/>
        </w:rPr>
        <w:tab/>
        <w:t xml:space="preserve">1850-1910 </w:t>
      </w:r>
      <w:r w:rsidRPr="004E0BB7">
        <w:rPr>
          <w:color w:val="000000"/>
          <w:kern w:val="24"/>
          <w:sz w:val="22"/>
          <w:szCs w:val="18"/>
        </w:rPr>
        <w:t>&amp;</w:t>
      </w:r>
      <w:r w:rsidRPr="001F1BB1">
        <w:rPr>
          <w:sz w:val="22"/>
        </w:rPr>
        <w:t xml:space="preserve"> 1930-1990 MHz (P</w:t>
      </w:r>
      <w:r w:rsidR="0045728C">
        <w:rPr>
          <w:sz w:val="22"/>
        </w:rPr>
        <w:t xml:space="preserve">ersonal </w:t>
      </w:r>
      <w:r w:rsidRPr="001F1BB1">
        <w:rPr>
          <w:sz w:val="22"/>
        </w:rPr>
        <w:t>C</w:t>
      </w:r>
      <w:r w:rsidR="0045728C">
        <w:rPr>
          <w:sz w:val="22"/>
        </w:rPr>
        <w:t xml:space="preserve">ommunications </w:t>
      </w:r>
      <w:r w:rsidRPr="001F1BB1">
        <w:rPr>
          <w:sz w:val="22"/>
        </w:rPr>
        <w:t>S</w:t>
      </w:r>
      <w:r w:rsidR="0045728C">
        <w:rPr>
          <w:sz w:val="22"/>
        </w:rPr>
        <w:t>ervice (PCS)</w:t>
      </w:r>
      <w:r w:rsidRPr="001F1BB1">
        <w:rPr>
          <w:sz w:val="22"/>
        </w:rPr>
        <w:t xml:space="preserve"> Band) and 1910-1915 &amp; 1990-1995 MHz (G Block):  This is the second band available for mobile use in the </w:t>
      </w:r>
      <w:r w:rsidR="00981DE3">
        <w:rPr>
          <w:sz w:val="22"/>
        </w:rPr>
        <w:t>US</w:t>
      </w:r>
      <w:r w:rsidRPr="001F1BB1">
        <w:rPr>
          <w:sz w:val="22"/>
        </w:rPr>
        <w:t>; supports 2G, 3G</w:t>
      </w:r>
      <w:r w:rsidR="00B26E4D">
        <w:rPr>
          <w:sz w:val="22"/>
        </w:rPr>
        <w:t>,</w:t>
      </w:r>
      <w:r w:rsidRPr="001F1BB1">
        <w:rPr>
          <w:sz w:val="22"/>
        </w:rPr>
        <w:t xml:space="preserve"> and 4G services.</w:t>
      </w:r>
    </w:p>
    <w:p w:rsidR="008B22B8" w:rsidRPr="001F1BB1" w:rsidRDefault="008B22B8" w:rsidP="005472B0">
      <w:pPr>
        <w:ind w:left="720" w:hanging="720"/>
        <w:rPr>
          <w:sz w:val="22"/>
        </w:rPr>
      </w:pPr>
      <w:r w:rsidRPr="001F1BB1">
        <w:rPr>
          <w:sz w:val="22"/>
        </w:rPr>
        <w:t>A4.</w:t>
      </w:r>
      <w:r w:rsidRPr="001F1BB1">
        <w:rPr>
          <w:sz w:val="22"/>
        </w:rPr>
        <w:tab/>
        <w:t>1710-1755 &amp; 2110-2155 MHz</w:t>
      </w:r>
      <w:r w:rsidR="00337FE4" w:rsidRPr="001F1BB1">
        <w:rPr>
          <w:sz w:val="22"/>
        </w:rPr>
        <w:t xml:space="preserve"> (A</w:t>
      </w:r>
      <w:r w:rsidR="0045728C">
        <w:rPr>
          <w:sz w:val="22"/>
        </w:rPr>
        <w:t xml:space="preserve">dvanced </w:t>
      </w:r>
      <w:r w:rsidR="00337FE4" w:rsidRPr="001F1BB1">
        <w:rPr>
          <w:sz w:val="22"/>
        </w:rPr>
        <w:t>W</w:t>
      </w:r>
      <w:r w:rsidR="0045728C">
        <w:rPr>
          <w:sz w:val="22"/>
        </w:rPr>
        <w:t xml:space="preserve">ireless </w:t>
      </w:r>
      <w:r w:rsidR="00337FE4" w:rsidRPr="001F1BB1">
        <w:rPr>
          <w:sz w:val="22"/>
        </w:rPr>
        <w:t>S</w:t>
      </w:r>
      <w:r w:rsidR="0045728C">
        <w:rPr>
          <w:sz w:val="22"/>
        </w:rPr>
        <w:t>ervice (AWS)</w:t>
      </w:r>
      <w:r w:rsidR="00337FE4" w:rsidRPr="001F1BB1">
        <w:rPr>
          <w:sz w:val="22"/>
        </w:rPr>
        <w:t>-1) and 2000-2020 &amp; 2180-2200 (AWS-4)</w:t>
      </w:r>
      <w:r w:rsidRPr="001F1BB1">
        <w:rPr>
          <w:sz w:val="22"/>
        </w:rPr>
        <w:t>:  A</w:t>
      </w:r>
      <w:r w:rsidR="00337FE4" w:rsidRPr="001F1BB1">
        <w:rPr>
          <w:sz w:val="22"/>
        </w:rPr>
        <w:t>WS-1 was a</w:t>
      </w:r>
      <w:r w:rsidRPr="001F1BB1">
        <w:rPr>
          <w:sz w:val="22"/>
        </w:rPr>
        <w:t>uctioned in 2006</w:t>
      </w:r>
      <w:r w:rsidR="00337FE4" w:rsidRPr="001F1BB1">
        <w:rPr>
          <w:sz w:val="22"/>
        </w:rPr>
        <w:t>,</w:t>
      </w:r>
      <w:r w:rsidRPr="001F1BB1">
        <w:rPr>
          <w:sz w:val="22"/>
        </w:rPr>
        <w:t xml:space="preserve"> supports 3G and 4G services, </w:t>
      </w:r>
      <w:r w:rsidR="00337FE4" w:rsidRPr="001F1BB1">
        <w:rPr>
          <w:sz w:val="22"/>
        </w:rPr>
        <w:t xml:space="preserve">and is </w:t>
      </w:r>
      <w:r w:rsidRPr="001F1BB1">
        <w:rPr>
          <w:sz w:val="22"/>
        </w:rPr>
        <w:t>viewed by many to be prime LTE capacity spectrum.</w:t>
      </w:r>
      <w:r w:rsidR="00337FE4" w:rsidRPr="001F1BB1">
        <w:rPr>
          <w:sz w:val="22"/>
        </w:rPr>
        <w:t xml:space="preserve">  AWS-4 is recently liberalized </w:t>
      </w:r>
      <w:r w:rsidR="0045728C">
        <w:rPr>
          <w:sz w:val="22"/>
        </w:rPr>
        <w:t>Mobile Satellite Service (</w:t>
      </w:r>
      <w:r w:rsidR="00337FE4" w:rsidRPr="001F1BB1">
        <w:rPr>
          <w:sz w:val="22"/>
        </w:rPr>
        <w:t>MSS</w:t>
      </w:r>
      <w:r w:rsidR="0045728C">
        <w:rPr>
          <w:sz w:val="22"/>
        </w:rPr>
        <w:t>)</w:t>
      </w:r>
      <w:r w:rsidR="00337FE4" w:rsidRPr="001F1BB1">
        <w:rPr>
          <w:sz w:val="22"/>
        </w:rPr>
        <w:t xml:space="preserve"> spectrum.</w:t>
      </w:r>
      <w:r w:rsidR="003053A2" w:rsidRPr="001F1BB1">
        <w:rPr>
          <w:sz w:val="22"/>
        </w:rPr>
        <w:t xml:space="preserve">  Per the technical rules, the lowest 5 </w:t>
      </w:r>
      <w:r w:rsidR="00EA5F7B" w:rsidRPr="001F1BB1">
        <w:rPr>
          <w:sz w:val="22"/>
        </w:rPr>
        <w:t>megahert</w:t>
      </w:r>
      <w:r w:rsidR="003053A2" w:rsidRPr="001F1BB1">
        <w:rPr>
          <w:sz w:val="22"/>
        </w:rPr>
        <w:t>z of the AWS-4 uplink is restricted to low power.</w:t>
      </w:r>
      <w:r w:rsidR="00337FE4" w:rsidRPr="001F1BB1">
        <w:rPr>
          <w:sz w:val="22"/>
        </w:rPr>
        <w:t xml:space="preserve">  </w:t>
      </w:r>
      <w:r w:rsidR="00337FE4" w:rsidRPr="001F1BB1">
        <w:rPr>
          <w:i/>
          <w:sz w:val="22"/>
        </w:rPr>
        <w:t>See AWS-4 Report and Order</w:t>
      </w:r>
      <w:r w:rsidR="00337FE4" w:rsidRPr="001F1BB1">
        <w:rPr>
          <w:sz w:val="22"/>
        </w:rPr>
        <w:t>, FCC 12-151 (released December 17, 2012).</w:t>
      </w:r>
    </w:p>
    <w:p w:rsidR="008B22B8" w:rsidRPr="001F1BB1" w:rsidRDefault="008B22B8" w:rsidP="005472B0">
      <w:pPr>
        <w:ind w:left="720" w:hanging="720"/>
        <w:rPr>
          <w:sz w:val="22"/>
        </w:rPr>
      </w:pPr>
      <w:r w:rsidRPr="001F1BB1">
        <w:rPr>
          <w:sz w:val="22"/>
        </w:rPr>
        <w:t>A5.</w:t>
      </w:r>
      <w:r w:rsidRPr="001F1BB1">
        <w:rPr>
          <w:sz w:val="22"/>
        </w:rPr>
        <w:tab/>
        <w:t>2305-2315 &amp; 2350-2360 MHz (W</w:t>
      </w:r>
      <w:r w:rsidR="0045728C">
        <w:rPr>
          <w:sz w:val="22"/>
        </w:rPr>
        <w:t xml:space="preserve">ireless </w:t>
      </w:r>
      <w:r w:rsidRPr="001F1BB1">
        <w:rPr>
          <w:sz w:val="22"/>
        </w:rPr>
        <w:t>C</w:t>
      </w:r>
      <w:r w:rsidR="0045728C">
        <w:rPr>
          <w:sz w:val="22"/>
        </w:rPr>
        <w:t xml:space="preserve">ommunications </w:t>
      </w:r>
      <w:r w:rsidRPr="001F1BB1">
        <w:rPr>
          <w:sz w:val="22"/>
        </w:rPr>
        <w:t>S</w:t>
      </w:r>
      <w:r w:rsidR="0045728C">
        <w:rPr>
          <w:sz w:val="22"/>
        </w:rPr>
        <w:t>ervice (WCS)</w:t>
      </w:r>
      <w:r w:rsidRPr="001F1BB1">
        <w:rPr>
          <w:sz w:val="22"/>
        </w:rPr>
        <w:t xml:space="preserve"> Band):  </w:t>
      </w:r>
      <w:r w:rsidRPr="001F1BB1">
        <w:rPr>
          <w:color w:val="000000"/>
          <w:sz w:val="22"/>
          <w:szCs w:val="21"/>
        </w:rPr>
        <w:t>AT&amp;T is the largest holder of this spectrum.  The technical rule changes adopted by the Commission in Oct</w:t>
      </w:r>
      <w:r w:rsidR="008B758E" w:rsidRPr="001F1BB1">
        <w:rPr>
          <w:color w:val="000000"/>
          <w:sz w:val="22"/>
          <w:szCs w:val="21"/>
        </w:rPr>
        <w:t>ober</w:t>
      </w:r>
      <w:r w:rsidRPr="001F1BB1">
        <w:rPr>
          <w:color w:val="000000"/>
          <w:sz w:val="22"/>
          <w:szCs w:val="21"/>
        </w:rPr>
        <w:t xml:space="preserve"> 2012 enable 20 megahertz to be used for mobile broadband</w:t>
      </w:r>
      <w:r w:rsidRPr="001F1BB1">
        <w:rPr>
          <w:color w:val="000000"/>
          <w:sz w:val="22"/>
        </w:rPr>
        <w:t>.</w:t>
      </w:r>
    </w:p>
    <w:p w:rsidR="008B22B8" w:rsidRPr="001F1BB1" w:rsidRDefault="008B22B8" w:rsidP="005472B0">
      <w:pPr>
        <w:ind w:left="720" w:hanging="720"/>
        <w:rPr>
          <w:sz w:val="22"/>
        </w:rPr>
      </w:pPr>
      <w:r w:rsidRPr="001F1BB1">
        <w:rPr>
          <w:sz w:val="22"/>
        </w:rPr>
        <w:t>A6.</w:t>
      </w:r>
      <w:r w:rsidRPr="001F1BB1">
        <w:rPr>
          <w:sz w:val="22"/>
        </w:rPr>
        <w:tab/>
        <w:t>2496-2</w:t>
      </w:r>
      <w:r w:rsidR="00DD7421">
        <w:rPr>
          <w:sz w:val="22"/>
        </w:rPr>
        <w:t>6</w:t>
      </w:r>
      <w:r w:rsidRPr="001F1BB1">
        <w:rPr>
          <w:sz w:val="22"/>
        </w:rPr>
        <w:t>90 MHz:  Majority of band is used currently for WiMAX but transition to TD-LTE is planned</w:t>
      </w:r>
      <w:r w:rsidR="00DD7421">
        <w:rPr>
          <w:sz w:val="22"/>
        </w:rPr>
        <w:t>, and there are some limitations on the usability of this spectrum in specific geographies.  In part because of these limitations,</w:t>
      </w:r>
      <w:r w:rsidRPr="001F1BB1">
        <w:rPr>
          <w:sz w:val="22"/>
        </w:rPr>
        <w:t xml:space="preserve"> </w:t>
      </w:r>
      <w:r w:rsidR="00DD7421">
        <w:rPr>
          <w:sz w:val="22"/>
        </w:rPr>
        <w:t>i</w:t>
      </w:r>
      <w:r w:rsidRPr="001F1BB1">
        <w:rPr>
          <w:sz w:val="22"/>
        </w:rPr>
        <w:t xml:space="preserve">n its </w:t>
      </w:r>
      <w:r w:rsidR="00DD7421">
        <w:rPr>
          <w:sz w:val="22"/>
        </w:rPr>
        <w:t xml:space="preserve">past </w:t>
      </w:r>
      <w:r w:rsidRPr="001F1BB1">
        <w:rPr>
          <w:sz w:val="22"/>
        </w:rPr>
        <w:t>review of transactions the Commission has not considered E</w:t>
      </w:r>
      <w:r w:rsidR="0045728C">
        <w:rPr>
          <w:sz w:val="22"/>
        </w:rPr>
        <w:t xml:space="preserve">ducational </w:t>
      </w:r>
      <w:r w:rsidRPr="001F1BB1">
        <w:rPr>
          <w:sz w:val="22"/>
        </w:rPr>
        <w:t>B</w:t>
      </w:r>
      <w:r w:rsidR="0045728C">
        <w:rPr>
          <w:sz w:val="22"/>
        </w:rPr>
        <w:t xml:space="preserve">roadband </w:t>
      </w:r>
      <w:r w:rsidRPr="001F1BB1">
        <w:rPr>
          <w:sz w:val="22"/>
        </w:rPr>
        <w:t>S</w:t>
      </w:r>
      <w:r w:rsidR="0045728C">
        <w:rPr>
          <w:sz w:val="22"/>
        </w:rPr>
        <w:t>ervice (EBS)</w:t>
      </w:r>
      <w:r w:rsidRPr="001F1BB1">
        <w:rPr>
          <w:sz w:val="22"/>
        </w:rPr>
        <w:t xml:space="preserve"> spectrum made available for mobile broadband service through leasing, but has focused on 55.5 megahertz of </w:t>
      </w:r>
      <w:r w:rsidR="0045728C">
        <w:rPr>
          <w:sz w:val="22"/>
        </w:rPr>
        <w:t>Broadband Radio Service (</w:t>
      </w:r>
      <w:r w:rsidRPr="001F1BB1">
        <w:rPr>
          <w:sz w:val="22"/>
        </w:rPr>
        <w:t>BRS</w:t>
      </w:r>
      <w:r w:rsidR="0045728C">
        <w:rPr>
          <w:sz w:val="22"/>
        </w:rPr>
        <w:t>)</w:t>
      </w:r>
      <w:r w:rsidRPr="001F1BB1">
        <w:rPr>
          <w:sz w:val="22"/>
        </w:rPr>
        <w:t xml:space="preserve"> spectrum.  </w:t>
      </w:r>
      <w:r w:rsidRPr="001F1BB1">
        <w:rPr>
          <w:i/>
          <w:sz w:val="22"/>
        </w:rPr>
        <w:t xml:space="preserve">See Sprint-Clearwire Order, </w:t>
      </w:r>
      <w:r w:rsidRPr="001F1BB1">
        <w:rPr>
          <w:sz w:val="22"/>
        </w:rPr>
        <w:t>FCC 08-259, paras. 61-74 (2008).</w:t>
      </w:r>
      <w:r w:rsidRPr="001F1BB1">
        <w:rPr>
          <w:i/>
          <w:sz w:val="22"/>
        </w:rPr>
        <w:t xml:space="preserve"> </w:t>
      </w:r>
    </w:p>
    <w:p w:rsidR="008B22B8" w:rsidRPr="001F1BB1" w:rsidRDefault="008B22B8" w:rsidP="005472B0">
      <w:pPr>
        <w:ind w:left="720" w:hanging="720"/>
        <w:rPr>
          <w:sz w:val="22"/>
        </w:rPr>
      </w:pPr>
      <w:r w:rsidRPr="001F1BB1">
        <w:rPr>
          <w:sz w:val="22"/>
        </w:rPr>
        <w:t>A7.</w:t>
      </w:r>
      <w:r w:rsidRPr="001F1BB1">
        <w:rPr>
          <w:sz w:val="22"/>
        </w:rPr>
        <w:tab/>
        <w:t xml:space="preserve">15 megahertz of 1675-1710 MHz:  The FCC is required by statute to auction 15 megahertz in this band plus another 15 megahertz (that is to be determined) by February 2015.  </w:t>
      </w:r>
      <w:r w:rsidRPr="001F1BB1">
        <w:rPr>
          <w:i/>
          <w:sz w:val="22"/>
        </w:rPr>
        <w:t>See Spectrum Act</w:t>
      </w:r>
      <w:r w:rsidRPr="001F1BB1">
        <w:rPr>
          <w:sz w:val="22"/>
        </w:rPr>
        <w:t>, §§ 6401(a)(2)-(3), 6401(b)(1).  Since the latter 15 megahertz is not yet identified, it is not represented in this table</w:t>
      </w:r>
      <w:r w:rsidR="00622BD3" w:rsidRPr="001F1BB1">
        <w:rPr>
          <w:sz w:val="22"/>
        </w:rPr>
        <w:t>.  T</w:t>
      </w:r>
      <w:r w:rsidR="008B758E" w:rsidRPr="001F1BB1">
        <w:rPr>
          <w:sz w:val="22"/>
        </w:rPr>
        <w:t>he “+” is intended to indicate that the FCC and NTIA are currently working to free and/or share significant amounts of federal spectrum</w:t>
      </w:r>
      <w:r w:rsidRPr="001F1BB1">
        <w:rPr>
          <w:sz w:val="22"/>
        </w:rPr>
        <w:t xml:space="preserve">.  </w:t>
      </w:r>
    </w:p>
    <w:p w:rsidR="008B22B8" w:rsidRPr="001F1BB1" w:rsidRDefault="008B22B8" w:rsidP="005472B0">
      <w:pPr>
        <w:ind w:left="720" w:hanging="720"/>
        <w:rPr>
          <w:color w:val="000000"/>
          <w:sz w:val="22"/>
          <w:szCs w:val="21"/>
        </w:rPr>
      </w:pPr>
      <w:r w:rsidRPr="001F1BB1">
        <w:rPr>
          <w:sz w:val="22"/>
        </w:rPr>
        <w:t>A8.</w:t>
      </w:r>
      <w:r w:rsidRPr="001F1BB1">
        <w:rPr>
          <w:sz w:val="22"/>
        </w:rPr>
        <w:tab/>
      </w:r>
      <w:r w:rsidRPr="001F1BB1">
        <w:rPr>
          <w:color w:val="000000"/>
          <w:sz w:val="22"/>
          <w:szCs w:val="21"/>
        </w:rPr>
        <w:t>1915-1920</w:t>
      </w:r>
      <w:r w:rsidRPr="001F1BB1">
        <w:rPr>
          <w:color w:val="000000"/>
          <w:sz w:val="22"/>
        </w:rPr>
        <w:t> </w:t>
      </w:r>
      <w:r w:rsidRPr="001F1BB1">
        <w:rPr>
          <w:color w:val="000000"/>
          <w:sz w:val="22"/>
          <w:szCs w:val="21"/>
        </w:rPr>
        <w:t>&amp;</w:t>
      </w:r>
      <w:r w:rsidRPr="001F1BB1">
        <w:rPr>
          <w:color w:val="000000"/>
          <w:sz w:val="22"/>
        </w:rPr>
        <w:t> </w:t>
      </w:r>
      <w:r w:rsidRPr="001F1BB1">
        <w:rPr>
          <w:color w:val="000000"/>
          <w:sz w:val="22"/>
          <w:szCs w:val="21"/>
        </w:rPr>
        <w:t xml:space="preserve">1995-2000 MHz (AWS-2 H Block):  This spectrum serves as a natural extension of the current PCS band and </w:t>
      </w:r>
      <w:r w:rsidR="00337FE4" w:rsidRPr="001F1BB1">
        <w:rPr>
          <w:color w:val="000000"/>
          <w:sz w:val="22"/>
          <w:szCs w:val="21"/>
        </w:rPr>
        <w:t>the FCC recently proposed to auction this block in 2013</w:t>
      </w:r>
      <w:r w:rsidRPr="001F1BB1">
        <w:rPr>
          <w:color w:val="000000"/>
          <w:sz w:val="22"/>
          <w:szCs w:val="21"/>
        </w:rPr>
        <w:t>.</w:t>
      </w:r>
      <w:r w:rsidR="00337FE4" w:rsidRPr="001F1BB1">
        <w:rPr>
          <w:color w:val="000000"/>
          <w:sz w:val="22"/>
          <w:szCs w:val="21"/>
        </w:rPr>
        <w:t xml:space="preserve">  </w:t>
      </w:r>
      <w:r w:rsidR="00337FE4" w:rsidRPr="001F1BB1">
        <w:rPr>
          <w:i/>
          <w:color w:val="000000"/>
          <w:sz w:val="22"/>
          <w:szCs w:val="21"/>
        </w:rPr>
        <w:t>See H Block NPRM</w:t>
      </w:r>
      <w:r w:rsidRPr="001F1BB1">
        <w:rPr>
          <w:color w:val="000000"/>
          <w:sz w:val="22"/>
          <w:szCs w:val="21"/>
        </w:rPr>
        <w:t xml:space="preserve"> </w:t>
      </w:r>
      <w:r w:rsidR="00337FE4" w:rsidRPr="001F1BB1">
        <w:rPr>
          <w:color w:val="000000"/>
          <w:sz w:val="22"/>
          <w:szCs w:val="21"/>
        </w:rPr>
        <w:t>, FCC 12-152 (released December 17, 2012).</w:t>
      </w:r>
      <w:r w:rsidRPr="001F1BB1">
        <w:rPr>
          <w:color w:val="000000"/>
          <w:sz w:val="22"/>
          <w:szCs w:val="21"/>
        </w:rPr>
        <w:t xml:space="preserve"> </w:t>
      </w:r>
    </w:p>
    <w:p w:rsidR="008B22B8" w:rsidRPr="001F1BB1" w:rsidRDefault="008B22B8" w:rsidP="005472B0">
      <w:pPr>
        <w:ind w:left="720" w:hanging="720"/>
        <w:rPr>
          <w:sz w:val="22"/>
        </w:rPr>
      </w:pPr>
      <w:r w:rsidRPr="001F1BB1">
        <w:rPr>
          <w:sz w:val="22"/>
        </w:rPr>
        <w:t>A9.</w:t>
      </w:r>
      <w:r w:rsidRPr="001F1BB1">
        <w:rPr>
          <w:color w:val="000000"/>
          <w:sz w:val="22"/>
          <w:szCs w:val="21"/>
        </w:rPr>
        <w:tab/>
        <w:t>Includes 2020-2025</w:t>
      </w:r>
      <w:r w:rsidRPr="001F1BB1">
        <w:rPr>
          <w:color w:val="000000"/>
          <w:sz w:val="22"/>
        </w:rPr>
        <w:t> </w:t>
      </w:r>
      <w:r w:rsidRPr="001F1BB1">
        <w:rPr>
          <w:color w:val="000000"/>
          <w:sz w:val="22"/>
          <w:szCs w:val="21"/>
        </w:rPr>
        <w:t>&amp;</w:t>
      </w:r>
      <w:r w:rsidRPr="001F1BB1">
        <w:rPr>
          <w:color w:val="000000"/>
          <w:sz w:val="22"/>
        </w:rPr>
        <w:t> </w:t>
      </w:r>
      <w:r w:rsidRPr="001F1BB1">
        <w:rPr>
          <w:color w:val="000000"/>
          <w:sz w:val="22"/>
          <w:szCs w:val="21"/>
        </w:rPr>
        <w:t>2175-2180 MHz (AWS-2 J Block)</w:t>
      </w:r>
      <w:r w:rsidR="00337FE4" w:rsidRPr="001F1BB1">
        <w:rPr>
          <w:color w:val="000000"/>
          <w:sz w:val="22"/>
          <w:szCs w:val="21"/>
        </w:rPr>
        <w:t xml:space="preserve"> and</w:t>
      </w:r>
      <w:r w:rsidRPr="001F1BB1">
        <w:rPr>
          <w:color w:val="000000"/>
          <w:sz w:val="22"/>
          <w:szCs w:val="21"/>
        </w:rPr>
        <w:t xml:space="preserve"> currently unpaired 2155-2175 MHz (AWS-3):  Ongoing proceedings and work with NTIA will make AWS-2 and AWS-3 spectrum available for mobile broadband in the next 2-3 years.  </w:t>
      </w:r>
    </w:p>
    <w:p w:rsidR="008B22B8" w:rsidRPr="001F1BB1" w:rsidRDefault="008B22B8" w:rsidP="00E044A8">
      <w:pPr>
        <w:tabs>
          <w:tab w:val="center" w:pos="4680"/>
        </w:tabs>
        <w:suppressAutoHyphens/>
        <w:spacing w:after="220"/>
        <w:ind w:left="720" w:hanging="720"/>
        <w:rPr>
          <w:sz w:val="22"/>
        </w:rPr>
      </w:pPr>
      <w:r w:rsidRPr="001F1BB1">
        <w:rPr>
          <w:sz w:val="22"/>
        </w:rPr>
        <w:t>A10.</w:t>
      </w:r>
      <w:r w:rsidRPr="001F1BB1">
        <w:rPr>
          <w:sz w:val="22"/>
        </w:rPr>
        <w:tab/>
      </w:r>
      <w:r w:rsidR="00EC6C66" w:rsidRPr="001F1BB1">
        <w:rPr>
          <w:sz w:val="22"/>
        </w:rPr>
        <w:t xml:space="preserve">In addition to ongoing efforts to free and/or share large amounts of federal spectrum and the 600 MHz incentive auction proceeding mentioned </w:t>
      </w:r>
      <w:r w:rsidR="00622BD3" w:rsidRPr="001F1BB1">
        <w:rPr>
          <w:sz w:val="22"/>
        </w:rPr>
        <w:t xml:space="preserve">in text </w:t>
      </w:r>
      <w:r w:rsidR="00EC6C66" w:rsidRPr="001F1BB1">
        <w:rPr>
          <w:sz w:val="22"/>
        </w:rPr>
        <w:t xml:space="preserve">on page 5, </w:t>
      </w:r>
      <w:r w:rsidR="00EC6C66" w:rsidRPr="001F1BB1">
        <w:rPr>
          <w:color w:val="000000"/>
          <w:sz w:val="22"/>
          <w:szCs w:val="21"/>
        </w:rPr>
        <w:t>a</w:t>
      </w:r>
      <w:r w:rsidRPr="001F1BB1">
        <w:rPr>
          <w:color w:val="000000"/>
          <w:sz w:val="22"/>
          <w:szCs w:val="21"/>
        </w:rPr>
        <w:t xml:space="preserve">n additional 10 megahertz </w:t>
      </w:r>
      <w:r w:rsidR="00EC6C66" w:rsidRPr="001F1BB1">
        <w:rPr>
          <w:color w:val="000000"/>
          <w:sz w:val="22"/>
          <w:szCs w:val="21"/>
        </w:rPr>
        <w:t xml:space="preserve">of WCS </w:t>
      </w:r>
      <w:r w:rsidRPr="001F1BB1">
        <w:rPr>
          <w:color w:val="000000"/>
          <w:sz w:val="22"/>
          <w:szCs w:val="21"/>
        </w:rPr>
        <w:t>is available for fixed broadband now and may be used for supplemental mobile downlinks in the future</w:t>
      </w:r>
      <w:r w:rsidR="00EC6C66" w:rsidRPr="001F1BB1">
        <w:rPr>
          <w:color w:val="000000"/>
          <w:sz w:val="22"/>
          <w:szCs w:val="21"/>
        </w:rPr>
        <w:t xml:space="preserve"> (i.e., 2315-2320 &amp; 2345-2350 MHz)</w:t>
      </w:r>
      <w:r w:rsidRPr="001F1BB1">
        <w:rPr>
          <w:color w:val="000000"/>
          <w:sz w:val="22"/>
          <w:szCs w:val="21"/>
        </w:rPr>
        <w:t xml:space="preserve">.  </w:t>
      </w:r>
      <w:r w:rsidRPr="001F1BB1">
        <w:rPr>
          <w:i/>
          <w:color w:val="000000"/>
          <w:sz w:val="22"/>
          <w:szCs w:val="21"/>
        </w:rPr>
        <w:t>See</w:t>
      </w:r>
      <w:r w:rsidRPr="001F1BB1">
        <w:rPr>
          <w:color w:val="000000"/>
          <w:sz w:val="22"/>
          <w:szCs w:val="21"/>
        </w:rPr>
        <w:t xml:space="preserve"> </w:t>
      </w:r>
      <w:r w:rsidRPr="001F1BB1">
        <w:rPr>
          <w:i/>
          <w:color w:val="000000"/>
          <w:sz w:val="22"/>
          <w:szCs w:val="21"/>
        </w:rPr>
        <w:t>WCS Reconsideration Order</w:t>
      </w:r>
      <w:r w:rsidRPr="001F1BB1">
        <w:rPr>
          <w:color w:val="000000"/>
          <w:sz w:val="22"/>
          <w:szCs w:val="21"/>
        </w:rPr>
        <w:t xml:space="preserve">, FCC 12-130 (released October 17, 2012).  </w:t>
      </w:r>
    </w:p>
    <w:p w:rsidR="00EC6C66" w:rsidRPr="001F1BB1" w:rsidRDefault="00EC6C66">
      <w:pPr>
        <w:rPr>
          <w:sz w:val="22"/>
          <w:u w:val="single"/>
        </w:rPr>
      </w:pPr>
      <w:r w:rsidRPr="001F1BB1">
        <w:rPr>
          <w:sz w:val="22"/>
          <w:u w:val="single"/>
        </w:rPr>
        <w:br w:type="page"/>
      </w:r>
    </w:p>
    <w:p w:rsidR="008B22B8" w:rsidRPr="001F1BB1" w:rsidRDefault="008B22B8" w:rsidP="005472B0">
      <w:pPr>
        <w:ind w:left="360" w:hanging="360"/>
        <w:rPr>
          <w:sz w:val="22"/>
          <w:u w:val="single"/>
        </w:rPr>
      </w:pPr>
      <w:r w:rsidRPr="001F1BB1">
        <w:rPr>
          <w:sz w:val="22"/>
          <w:u w:val="single"/>
        </w:rPr>
        <w:lastRenderedPageBreak/>
        <w:t>Germany</w:t>
      </w:r>
    </w:p>
    <w:p w:rsidR="008B22B8" w:rsidRPr="001F1BB1" w:rsidRDefault="008B22B8" w:rsidP="005472B0">
      <w:pPr>
        <w:ind w:left="360" w:hanging="360"/>
        <w:rPr>
          <w:b/>
          <w:sz w:val="22"/>
          <w:u w:val="single"/>
        </w:rPr>
      </w:pPr>
    </w:p>
    <w:p w:rsidR="008B22B8" w:rsidRPr="001F1BB1" w:rsidRDefault="008B22B8" w:rsidP="005472B0">
      <w:pPr>
        <w:ind w:left="720" w:hanging="720"/>
        <w:rPr>
          <w:sz w:val="22"/>
        </w:rPr>
      </w:pPr>
      <w:r w:rsidRPr="001F1BB1">
        <w:rPr>
          <w:sz w:val="22"/>
        </w:rPr>
        <w:t>G1.</w:t>
      </w:r>
      <w:r w:rsidRPr="001F1BB1">
        <w:rPr>
          <w:sz w:val="22"/>
        </w:rPr>
        <w:tab/>
        <w:t xml:space="preserve">832-862 </w:t>
      </w:r>
      <w:r w:rsidRPr="004E0BB7">
        <w:rPr>
          <w:color w:val="000000"/>
          <w:kern w:val="24"/>
          <w:sz w:val="22"/>
          <w:szCs w:val="18"/>
        </w:rPr>
        <w:t>&amp;</w:t>
      </w:r>
      <w:r w:rsidRPr="001F1BB1">
        <w:rPr>
          <w:sz w:val="22"/>
        </w:rPr>
        <w:t xml:space="preserve"> 791-821 MHz: Germany auctioned Digital Dividend spectrum in May 2010</w:t>
      </w:r>
    </w:p>
    <w:p w:rsidR="008B22B8" w:rsidRPr="001F1BB1" w:rsidRDefault="008B22B8" w:rsidP="005472B0">
      <w:pPr>
        <w:ind w:left="720" w:hanging="720"/>
        <w:rPr>
          <w:sz w:val="22"/>
        </w:rPr>
      </w:pPr>
      <w:r w:rsidRPr="001F1BB1">
        <w:rPr>
          <w:sz w:val="22"/>
        </w:rPr>
        <w:t>G2.</w:t>
      </w:r>
      <w:r w:rsidRPr="001F1BB1">
        <w:rPr>
          <w:sz w:val="22"/>
        </w:rPr>
        <w:tab/>
        <w:t xml:space="preserve">880-915 </w:t>
      </w:r>
      <w:r w:rsidRPr="004E0BB7">
        <w:rPr>
          <w:color w:val="000000"/>
          <w:kern w:val="24"/>
          <w:sz w:val="22"/>
          <w:szCs w:val="18"/>
        </w:rPr>
        <w:t>&amp;</w:t>
      </w:r>
      <w:r w:rsidRPr="001F1BB1">
        <w:rPr>
          <w:sz w:val="22"/>
        </w:rPr>
        <w:t xml:space="preserve"> 925-960 MHz:  First band available for mobile use; legacy GSM is predominant use but is being refarmed for 3G.</w:t>
      </w:r>
    </w:p>
    <w:p w:rsidR="008B22B8" w:rsidRPr="001F1BB1" w:rsidRDefault="008B22B8" w:rsidP="005472B0">
      <w:pPr>
        <w:ind w:left="720" w:hanging="720"/>
        <w:rPr>
          <w:sz w:val="22"/>
        </w:rPr>
      </w:pPr>
      <w:r w:rsidRPr="001F1BB1">
        <w:rPr>
          <w:sz w:val="22"/>
        </w:rPr>
        <w:t>G3.</w:t>
      </w:r>
      <w:r w:rsidRPr="001F1BB1">
        <w:rPr>
          <w:sz w:val="22"/>
        </w:rPr>
        <w:tab/>
        <w:t xml:space="preserve">1710-1780 &amp; 1805-1875 MHz:  Germany now uses all but the upper 5+5 megahertz of the second band available for mobile.  The May 2010 auction included 50 </w:t>
      </w:r>
      <w:r w:rsidR="00EA5F7B" w:rsidRPr="001F1BB1">
        <w:rPr>
          <w:sz w:val="22"/>
        </w:rPr>
        <w:t xml:space="preserve">megahertz </w:t>
      </w:r>
      <w:r w:rsidRPr="001F1BB1">
        <w:rPr>
          <w:sz w:val="22"/>
        </w:rPr>
        <w:t xml:space="preserve">of this band:  15+15 </w:t>
      </w:r>
      <w:r w:rsidR="00EA5F7B" w:rsidRPr="001F1BB1">
        <w:rPr>
          <w:sz w:val="22"/>
        </w:rPr>
        <w:t xml:space="preserve">megahertz </w:t>
      </w:r>
      <w:r w:rsidRPr="001F1BB1">
        <w:rPr>
          <w:sz w:val="22"/>
        </w:rPr>
        <w:t>that had been recently cleared and two 5+5 megahertz blocks that an operator had previously traded for 900 MHz expansion spectrum.</w:t>
      </w:r>
    </w:p>
    <w:p w:rsidR="008B22B8" w:rsidRPr="001F1BB1" w:rsidRDefault="008B22B8" w:rsidP="005472B0">
      <w:pPr>
        <w:ind w:left="720" w:hanging="720"/>
        <w:rPr>
          <w:sz w:val="22"/>
        </w:rPr>
      </w:pPr>
      <w:r w:rsidRPr="001F1BB1">
        <w:rPr>
          <w:sz w:val="22"/>
        </w:rPr>
        <w:t>G4.</w:t>
      </w:r>
      <w:r w:rsidRPr="001F1BB1">
        <w:rPr>
          <w:sz w:val="22"/>
        </w:rPr>
        <w:tab/>
        <w:t xml:space="preserve">Unpaired 1900-1920 MHz and unpaired 2010-2015 MHz:  Neither band is deployed in Germany; </w:t>
      </w:r>
      <w:r w:rsidR="00BD52A3" w:rsidRPr="001F1BB1">
        <w:rPr>
          <w:sz w:val="22"/>
        </w:rPr>
        <w:t xml:space="preserve">the </w:t>
      </w:r>
      <w:r w:rsidRPr="001F1BB1">
        <w:rPr>
          <w:sz w:val="22"/>
        </w:rPr>
        <w:t xml:space="preserve">2010-2015 MHz </w:t>
      </w:r>
      <w:r w:rsidR="00BD52A3" w:rsidRPr="001F1BB1">
        <w:rPr>
          <w:sz w:val="22"/>
        </w:rPr>
        <w:t xml:space="preserve">band </w:t>
      </w:r>
      <w:r w:rsidRPr="001F1BB1">
        <w:rPr>
          <w:sz w:val="22"/>
        </w:rPr>
        <w:t xml:space="preserve">was sold </w:t>
      </w:r>
      <w:r w:rsidR="00BD52A3" w:rsidRPr="001F1BB1">
        <w:rPr>
          <w:sz w:val="22"/>
        </w:rPr>
        <w:t xml:space="preserve">to a single bidder </w:t>
      </w:r>
      <w:r w:rsidRPr="001F1BB1">
        <w:rPr>
          <w:sz w:val="22"/>
        </w:rPr>
        <w:t>at the reserve price in the May 2010 auction.</w:t>
      </w:r>
    </w:p>
    <w:p w:rsidR="008B22B8" w:rsidRPr="001F1BB1" w:rsidRDefault="008B22B8" w:rsidP="005472B0">
      <w:pPr>
        <w:ind w:left="720" w:hanging="720"/>
        <w:rPr>
          <w:sz w:val="22"/>
        </w:rPr>
      </w:pPr>
      <w:r w:rsidRPr="001F1BB1">
        <w:rPr>
          <w:sz w:val="22"/>
        </w:rPr>
        <w:t>G5.</w:t>
      </w:r>
      <w:r w:rsidRPr="001F1BB1">
        <w:rPr>
          <w:sz w:val="22"/>
        </w:rPr>
        <w:tab/>
        <w:t xml:space="preserve">1920-1980 </w:t>
      </w:r>
      <w:r w:rsidRPr="004E0BB7">
        <w:rPr>
          <w:color w:val="000000"/>
          <w:kern w:val="24"/>
          <w:sz w:val="22"/>
          <w:szCs w:val="18"/>
        </w:rPr>
        <w:t>&amp;</w:t>
      </w:r>
      <w:r w:rsidRPr="001F1BB1">
        <w:rPr>
          <w:sz w:val="22"/>
        </w:rPr>
        <w:t xml:space="preserve"> 2110-2170 MHz:  Six bidders won 10+10 megahertz in Germany’s 3G auction in 2000, but two later defaulted.  Thus, the May 2010 auction included the re-auction of this 40 </w:t>
      </w:r>
      <w:r w:rsidR="00EA5F7B" w:rsidRPr="001F1BB1">
        <w:rPr>
          <w:sz w:val="22"/>
        </w:rPr>
        <w:t>megahertz</w:t>
      </w:r>
      <w:r w:rsidRPr="001F1BB1">
        <w:rPr>
          <w:sz w:val="22"/>
        </w:rPr>
        <w:t>.</w:t>
      </w:r>
    </w:p>
    <w:p w:rsidR="008B22B8" w:rsidRPr="001F1BB1" w:rsidRDefault="008B22B8" w:rsidP="005472B0">
      <w:pPr>
        <w:ind w:left="720" w:hanging="720"/>
        <w:rPr>
          <w:sz w:val="22"/>
        </w:rPr>
      </w:pPr>
      <w:r w:rsidRPr="001F1BB1">
        <w:rPr>
          <w:sz w:val="22"/>
        </w:rPr>
        <w:t>G6.</w:t>
      </w:r>
      <w:r w:rsidRPr="001F1BB1">
        <w:rPr>
          <w:sz w:val="22"/>
        </w:rPr>
        <w:tab/>
        <w:t xml:space="preserve">2500-2570 </w:t>
      </w:r>
      <w:r w:rsidRPr="004E0BB7">
        <w:rPr>
          <w:color w:val="000000"/>
          <w:kern w:val="24"/>
          <w:sz w:val="22"/>
          <w:szCs w:val="18"/>
        </w:rPr>
        <w:t>&amp;</w:t>
      </w:r>
      <w:r w:rsidRPr="001F1BB1">
        <w:rPr>
          <w:sz w:val="22"/>
        </w:rPr>
        <w:t xml:space="preserve"> 2620-2690 MHz FDD and 2570-2620 MHz TDD:  Auctioned in May 2010.</w:t>
      </w:r>
    </w:p>
    <w:p w:rsidR="008B22B8" w:rsidRPr="001F1BB1" w:rsidRDefault="008B22B8" w:rsidP="004827E2">
      <w:pPr>
        <w:ind w:left="720" w:hanging="720"/>
        <w:rPr>
          <w:sz w:val="22"/>
        </w:rPr>
      </w:pPr>
      <w:r w:rsidRPr="001F1BB1">
        <w:rPr>
          <w:sz w:val="22"/>
        </w:rPr>
        <w:t>G7.</w:t>
      </w:r>
      <w:r w:rsidRPr="001F1BB1">
        <w:rPr>
          <w:sz w:val="22"/>
        </w:rPr>
        <w:tab/>
      </w:r>
      <w:r w:rsidR="00BD52A3" w:rsidRPr="001F1BB1">
        <w:rPr>
          <w:sz w:val="22"/>
        </w:rPr>
        <w:t xml:space="preserve">Although our table shows that Germany has no pipeline spectrum, </w:t>
      </w:r>
      <w:r w:rsidRPr="001F1BB1">
        <w:rPr>
          <w:sz w:val="22"/>
        </w:rPr>
        <w:t xml:space="preserve">1780-1785 </w:t>
      </w:r>
      <w:r w:rsidRPr="004E0BB7">
        <w:rPr>
          <w:color w:val="000000"/>
          <w:kern w:val="24"/>
          <w:sz w:val="22"/>
          <w:szCs w:val="18"/>
        </w:rPr>
        <w:t>&amp;</w:t>
      </w:r>
      <w:r w:rsidRPr="001F1BB1">
        <w:rPr>
          <w:sz w:val="22"/>
        </w:rPr>
        <w:t xml:space="preserve"> 1875-1880 MHz may potentially become available.  Germany has not allocated this last part of the 1800 MHz band for broadband, but it is possible that it may be cleared, allocated, and deployed in the future. </w:t>
      </w:r>
    </w:p>
    <w:p w:rsidR="008B22B8" w:rsidRPr="001F1BB1" w:rsidRDefault="008B22B8" w:rsidP="005472B0">
      <w:pPr>
        <w:ind w:left="720" w:hanging="720"/>
        <w:rPr>
          <w:sz w:val="22"/>
        </w:rPr>
      </w:pPr>
    </w:p>
    <w:p w:rsidR="008B22B8" w:rsidRPr="001F1BB1" w:rsidRDefault="008B22B8" w:rsidP="005472B0">
      <w:pPr>
        <w:ind w:left="720" w:hanging="720"/>
        <w:rPr>
          <w:sz w:val="22"/>
          <w:u w:val="single"/>
        </w:rPr>
      </w:pPr>
      <w:r w:rsidRPr="001F1BB1">
        <w:rPr>
          <w:sz w:val="22"/>
          <w:u w:val="single"/>
        </w:rPr>
        <w:t>Spain</w:t>
      </w:r>
    </w:p>
    <w:p w:rsidR="008B22B8" w:rsidRPr="004E0BB7" w:rsidRDefault="008B22B8" w:rsidP="005472B0">
      <w:pPr>
        <w:ind w:left="720" w:hanging="720"/>
        <w:rPr>
          <w:color w:val="000000"/>
          <w:kern w:val="24"/>
          <w:sz w:val="22"/>
          <w:szCs w:val="18"/>
        </w:rPr>
      </w:pPr>
    </w:p>
    <w:p w:rsidR="008B22B8" w:rsidRPr="004E0BB7" w:rsidRDefault="008B22B8" w:rsidP="005472B0">
      <w:pPr>
        <w:ind w:left="720" w:hanging="720"/>
        <w:rPr>
          <w:color w:val="000000"/>
          <w:kern w:val="24"/>
          <w:sz w:val="22"/>
          <w:szCs w:val="18"/>
        </w:rPr>
      </w:pPr>
      <w:r w:rsidRPr="004E0BB7">
        <w:rPr>
          <w:color w:val="000000"/>
          <w:kern w:val="24"/>
          <w:sz w:val="22"/>
          <w:szCs w:val="18"/>
        </w:rPr>
        <w:t>S1.</w:t>
      </w:r>
      <w:r w:rsidRPr="004E0BB7">
        <w:rPr>
          <w:color w:val="000000"/>
          <w:kern w:val="24"/>
          <w:sz w:val="22"/>
          <w:szCs w:val="18"/>
        </w:rPr>
        <w:tab/>
        <w:t xml:space="preserve">880-915 &amp; 925-960 MHz:  First band available for mobile use; legacy GSM is predominant use but recent auctions in July and October 2011 </w:t>
      </w:r>
      <w:r w:rsidR="00EC6C66" w:rsidRPr="004E0BB7">
        <w:rPr>
          <w:color w:val="000000"/>
          <w:kern w:val="24"/>
          <w:sz w:val="22"/>
          <w:szCs w:val="18"/>
        </w:rPr>
        <w:t xml:space="preserve">included the </w:t>
      </w:r>
      <w:r w:rsidRPr="004E0BB7">
        <w:rPr>
          <w:color w:val="000000"/>
          <w:kern w:val="24"/>
          <w:sz w:val="22"/>
          <w:szCs w:val="18"/>
        </w:rPr>
        <w:t>re-auction</w:t>
      </w:r>
      <w:r w:rsidR="00EC6C66" w:rsidRPr="004E0BB7">
        <w:rPr>
          <w:color w:val="000000"/>
          <w:kern w:val="24"/>
          <w:sz w:val="22"/>
          <w:szCs w:val="18"/>
        </w:rPr>
        <w:t xml:space="preserve"> of</w:t>
      </w:r>
      <w:r w:rsidRPr="004E0BB7">
        <w:rPr>
          <w:color w:val="000000"/>
          <w:kern w:val="24"/>
          <w:sz w:val="22"/>
          <w:szCs w:val="18"/>
        </w:rPr>
        <w:t xml:space="preserve"> two expiring 5+5 megahertz GSM licenses </w:t>
      </w:r>
      <w:r w:rsidR="00EC6C66" w:rsidRPr="004E0BB7">
        <w:rPr>
          <w:color w:val="000000"/>
          <w:kern w:val="24"/>
          <w:sz w:val="22"/>
          <w:szCs w:val="18"/>
        </w:rPr>
        <w:t xml:space="preserve">for </w:t>
      </w:r>
      <w:r w:rsidRPr="004E0BB7">
        <w:rPr>
          <w:color w:val="000000"/>
          <w:kern w:val="24"/>
          <w:sz w:val="22"/>
          <w:szCs w:val="18"/>
        </w:rPr>
        <w:t xml:space="preserve">licenses </w:t>
      </w:r>
      <w:r w:rsidR="00EC6C66" w:rsidRPr="004E0BB7">
        <w:rPr>
          <w:color w:val="000000"/>
          <w:kern w:val="24"/>
          <w:sz w:val="22"/>
          <w:szCs w:val="18"/>
        </w:rPr>
        <w:t xml:space="preserve">that </w:t>
      </w:r>
      <w:r w:rsidRPr="004E0BB7">
        <w:rPr>
          <w:color w:val="000000"/>
          <w:kern w:val="24"/>
          <w:sz w:val="22"/>
          <w:szCs w:val="18"/>
        </w:rPr>
        <w:t>includ</w:t>
      </w:r>
      <w:r w:rsidR="00EC6C66" w:rsidRPr="004E0BB7">
        <w:rPr>
          <w:color w:val="000000"/>
          <w:kern w:val="24"/>
          <w:sz w:val="22"/>
          <w:szCs w:val="18"/>
        </w:rPr>
        <w:t>e</w:t>
      </w:r>
      <w:r w:rsidRPr="004E0BB7">
        <w:rPr>
          <w:color w:val="000000"/>
          <w:kern w:val="24"/>
          <w:sz w:val="22"/>
          <w:szCs w:val="18"/>
        </w:rPr>
        <w:t xml:space="preserve"> flexible use rights.</w:t>
      </w:r>
    </w:p>
    <w:p w:rsidR="008B22B8" w:rsidRPr="004E0BB7" w:rsidRDefault="008B22B8" w:rsidP="005472B0">
      <w:pPr>
        <w:ind w:left="720" w:hanging="720"/>
        <w:rPr>
          <w:color w:val="000000"/>
          <w:kern w:val="24"/>
          <w:sz w:val="22"/>
          <w:szCs w:val="18"/>
        </w:rPr>
      </w:pPr>
      <w:r w:rsidRPr="004E0BB7">
        <w:rPr>
          <w:color w:val="000000"/>
          <w:kern w:val="24"/>
          <w:sz w:val="22"/>
          <w:szCs w:val="18"/>
        </w:rPr>
        <w:t>S2.</w:t>
      </w:r>
      <w:r w:rsidRPr="004E0BB7">
        <w:rPr>
          <w:color w:val="000000"/>
          <w:kern w:val="24"/>
          <w:sz w:val="22"/>
          <w:szCs w:val="18"/>
        </w:rPr>
        <w:tab/>
        <w:t>1710-1785 &amp; 1805-1880 MHz:  Second band available for mobile use in Spain; still used for GSM</w:t>
      </w:r>
    </w:p>
    <w:p w:rsidR="008B22B8" w:rsidRPr="004E0BB7" w:rsidRDefault="008B22B8" w:rsidP="005472B0">
      <w:pPr>
        <w:ind w:left="720" w:hanging="720"/>
        <w:rPr>
          <w:color w:val="000000"/>
          <w:kern w:val="24"/>
          <w:sz w:val="22"/>
          <w:szCs w:val="18"/>
        </w:rPr>
      </w:pPr>
      <w:r w:rsidRPr="004E0BB7">
        <w:rPr>
          <w:color w:val="000000"/>
          <w:kern w:val="24"/>
          <w:sz w:val="22"/>
          <w:szCs w:val="18"/>
        </w:rPr>
        <w:t>S3.</w:t>
      </w:r>
      <w:r w:rsidRPr="004E0BB7">
        <w:rPr>
          <w:color w:val="000000"/>
          <w:kern w:val="24"/>
          <w:sz w:val="22"/>
          <w:szCs w:val="18"/>
        </w:rPr>
        <w:tab/>
        <w:t>Unpaired 1900-1920 MHz:  Not deployed in Spain.</w:t>
      </w:r>
    </w:p>
    <w:p w:rsidR="008B22B8" w:rsidRPr="004E0BB7" w:rsidRDefault="008B22B8" w:rsidP="005472B0">
      <w:pPr>
        <w:ind w:left="720" w:hanging="720"/>
        <w:rPr>
          <w:color w:val="000000"/>
          <w:kern w:val="24"/>
          <w:sz w:val="22"/>
          <w:szCs w:val="18"/>
        </w:rPr>
      </w:pPr>
      <w:r w:rsidRPr="004E0BB7">
        <w:rPr>
          <w:color w:val="000000"/>
          <w:kern w:val="24"/>
          <w:sz w:val="22"/>
          <w:szCs w:val="18"/>
        </w:rPr>
        <w:t>S4.</w:t>
      </w:r>
      <w:r w:rsidRPr="004E0BB7">
        <w:rPr>
          <w:color w:val="000000"/>
          <w:kern w:val="24"/>
          <w:sz w:val="22"/>
          <w:szCs w:val="18"/>
        </w:rPr>
        <w:tab/>
        <w:t>1920-1980 &amp; 2110-2170 MHz:  Used for 3G (UMTS/HSPA).</w:t>
      </w:r>
    </w:p>
    <w:p w:rsidR="008B22B8" w:rsidRPr="004E0BB7" w:rsidRDefault="008B22B8" w:rsidP="005472B0">
      <w:pPr>
        <w:ind w:left="720" w:hanging="720"/>
        <w:rPr>
          <w:color w:val="000000"/>
          <w:kern w:val="24"/>
          <w:sz w:val="22"/>
          <w:szCs w:val="18"/>
        </w:rPr>
      </w:pPr>
      <w:r w:rsidRPr="004E0BB7">
        <w:rPr>
          <w:color w:val="000000"/>
          <w:kern w:val="24"/>
          <w:sz w:val="22"/>
          <w:szCs w:val="18"/>
        </w:rPr>
        <w:t>S5.</w:t>
      </w:r>
      <w:r w:rsidRPr="004E0BB7">
        <w:rPr>
          <w:color w:val="000000"/>
          <w:kern w:val="24"/>
          <w:sz w:val="22"/>
          <w:szCs w:val="18"/>
        </w:rPr>
        <w:tab/>
        <w:t xml:space="preserve">2500-2570 &amp; 2620-2690 MHz FDD and 2575-2615 MHz TDD:  Auctioned in July 2011, but 50 megahertz of TDD </w:t>
      </w:r>
      <w:r w:rsidR="00622BD3" w:rsidRPr="004E0BB7">
        <w:rPr>
          <w:color w:val="000000"/>
          <w:kern w:val="24"/>
          <w:sz w:val="22"/>
          <w:szCs w:val="18"/>
        </w:rPr>
        <w:t xml:space="preserve">spectrum </w:t>
      </w:r>
      <w:r w:rsidRPr="004E0BB7">
        <w:rPr>
          <w:color w:val="000000"/>
          <w:kern w:val="24"/>
          <w:sz w:val="22"/>
          <w:szCs w:val="18"/>
        </w:rPr>
        <w:t>received no bids.  The re-auction in October 2011 included only 40 megahertz of TDD spectrum</w:t>
      </w:r>
      <w:r w:rsidR="00622BD3" w:rsidRPr="004E0BB7">
        <w:rPr>
          <w:color w:val="000000"/>
          <w:kern w:val="24"/>
          <w:sz w:val="22"/>
          <w:szCs w:val="18"/>
        </w:rPr>
        <w:t>, which</w:t>
      </w:r>
      <w:r w:rsidRPr="004E0BB7">
        <w:rPr>
          <w:color w:val="000000"/>
          <w:kern w:val="24"/>
          <w:sz w:val="22"/>
          <w:szCs w:val="18"/>
        </w:rPr>
        <w:t xml:space="preserve"> was successfully sold to two nationwide operators and several regional licensees.  Our assumption is that the remaining 10 megahertz will be used as guard band between TDD and FDD services.</w:t>
      </w:r>
    </w:p>
    <w:p w:rsidR="008B22B8" w:rsidRPr="004E0BB7" w:rsidRDefault="008B22B8" w:rsidP="005472B0">
      <w:pPr>
        <w:ind w:left="720" w:hanging="720"/>
        <w:rPr>
          <w:color w:val="000000"/>
          <w:kern w:val="24"/>
          <w:sz w:val="22"/>
          <w:szCs w:val="18"/>
        </w:rPr>
      </w:pPr>
      <w:r w:rsidRPr="004E0BB7">
        <w:rPr>
          <w:color w:val="000000"/>
          <w:kern w:val="24"/>
          <w:sz w:val="22"/>
          <w:szCs w:val="18"/>
        </w:rPr>
        <w:t>S6.</w:t>
      </w:r>
      <w:r w:rsidRPr="004E0BB7">
        <w:rPr>
          <w:color w:val="000000"/>
          <w:kern w:val="24"/>
          <w:sz w:val="22"/>
          <w:szCs w:val="18"/>
        </w:rPr>
        <w:tab/>
        <w:t>832-862 &amp; 791-821 MHz: Spain successfully auctioned Digital Dividend spectrum in July 2011, but it is not available for deployment until the end of 2014 due to incumbent users.</w:t>
      </w:r>
    </w:p>
    <w:p w:rsidR="008B22B8" w:rsidRPr="004E0BB7" w:rsidRDefault="008B22B8" w:rsidP="004827E2">
      <w:pPr>
        <w:ind w:left="720" w:hanging="720"/>
        <w:rPr>
          <w:color w:val="000000"/>
          <w:kern w:val="24"/>
          <w:sz w:val="22"/>
          <w:szCs w:val="18"/>
        </w:rPr>
      </w:pPr>
      <w:r w:rsidRPr="004E0BB7">
        <w:rPr>
          <w:color w:val="000000"/>
          <w:kern w:val="24"/>
          <w:sz w:val="22"/>
          <w:szCs w:val="18"/>
        </w:rPr>
        <w:t>S7.</w:t>
      </w:r>
      <w:r w:rsidRPr="004E0BB7">
        <w:rPr>
          <w:color w:val="000000"/>
          <w:kern w:val="24"/>
          <w:sz w:val="22"/>
          <w:szCs w:val="18"/>
        </w:rPr>
        <w:tab/>
      </w:r>
      <w:r w:rsidR="00BD52A3" w:rsidRPr="004E0BB7">
        <w:rPr>
          <w:color w:val="000000"/>
          <w:kern w:val="24"/>
          <w:sz w:val="22"/>
          <w:szCs w:val="18"/>
        </w:rPr>
        <w:t>In addition to the 60 megahertz at 800 MHz, u</w:t>
      </w:r>
      <w:r w:rsidRPr="004E0BB7">
        <w:rPr>
          <w:color w:val="000000"/>
          <w:kern w:val="24"/>
          <w:sz w:val="22"/>
          <w:szCs w:val="18"/>
        </w:rPr>
        <w:t xml:space="preserve">npaired 2010-2025 MHz may potentially become available in Spain.  This spectrum has lain fallow in several European countries for years, including Spain.  The </w:t>
      </w:r>
      <w:r w:rsidR="00622BD3" w:rsidRPr="004E0BB7">
        <w:rPr>
          <w:color w:val="000000"/>
          <w:kern w:val="24"/>
          <w:sz w:val="22"/>
          <w:szCs w:val="18"/>
        </w:rPr>
        <w:t xml:space="preserve">EEC </w:t>
      </w:r>
      <w:r w:rsidRPr="004E0BB7">
        <w:rPr>
          <w:color w:val="000000"/>
          <w:kern w:val="24"/>
          <w:sz w:val="22"/>
          <w:szCs w:val="18"/>
        </w:rPr>
        <w:t xml:space="preserve">is currently trying to determine the best use for the band with the intent of harmonizing the spectrum throughout Europe.  As this is an ongoing process with an uncertain end, this spectrum is not listed as “pipeline.” </w:t>
      </w:r>
    </w:p>
    <w:p w:rsidR="008B22B8" w:rsidRPr="004E0BB7" w:rsidRDefault="008B22B8" w:rsidP="005472B0">
      <w:pPr>
        <w:rPr>
          <w:color w:val="000000"/>
          <w:kern w:val="24"/>
          <w:sz w:val="22"/>
          <w:szCs w:val="18"/>
        </w:rPr>
      </w:pPr>
    </w:p>
    <w:p w:rsidR="008B22B8" w:rsidRPr="004E0BB7" w:rsidRDefault="008B22B8" w:rsidP="005472B0">
      <w:pPr>
        <w:ind w:left="720" w:hanging="720"/>
        <w:rPr>
          <w:color w:val="000000"/>
          <w:kern w:val="24"/>
          <w:sz w:val="22"/>
          <w:szCs w:val="18"/>
          <w:u w:val="single"/>
        </w:rPr>
      </w:pPr>
      <w:r w:rsidRPr="004E0BB7">
        <w:rPr>
          <w:color w:val="000000"/>
          <w:kern w:val="24"/>
          <w:sz w:val="22"/>
          <w:szCs w:val="18"/>
          <w:u w:val="single"/>
        </w:rPr>
        <w:t>France</w:t>
      </w:r>
    </w:p>
    <w:p w:rsidR="008B22B8" w:rsidRPr="004E0BB7" w:rsidRDefault="008B22B8" w:rsidP="005472B0">
      <w:pPr>
        <w:ind w:left="720" w:hanging="720"/>
        <w:rPr>
          <w:color w:val="000000"/>
          <w:kern w:val="24"/>
          <w:sz w:val="22"/>
          <w:szCs w:val="18"/>
        </w:rPr>
      </w:pPr>
    </w:p>
    <w:p w:rsidR="008B22B8" w:rsidRPr="004E0BB7" w:rsidRDefault="008B22B8" w:rsidP="005472B0">
      <w:pPr>
        <w:ind w:left="720" w:hanging="720"/>
        <w:rPr>
          <w:color w:val="000000"/>
          <w:kern w:val="24"/>
          <w:sz w:val="22"/>
          <w:szCs w:val="18"/>
        </w:rPr>
      </w:pPr>
      <w:r w:rsidRPr="00517F24">
        <w:rPr>
          <w:color w:val="000000"/>
          <w:kern w:val="24"/>
          <w:sz w:val="22"/>
          <w:szCs w:val="18"/>
        </w:rPr>
        <w:t>F1.</w:t>
      </w:r>
      <w:r w:rsidRPr="00517F24">
        <w:rPr>
          <w:color w:val="000000"/>
          <w:kern w:val="24"/>
          <w:sz w:val="22"/>
          <w:szCs w:val="18"/>
        </w:rPr>
        <w:tab/>
      </w:r>
      <w:r w:rsidRPr="004E0BB7">
        <w:rPr>
          <w:color w:val="000000"/>
          <w:kern w:val="24"/>
          <w:sz w:val="22"/>
          <w:szCs w:val="18"/>
        </w:rPr>
        <w:t>832-862 &amp; 791-821 MHz: France auctioned Digital Dividend spectrum in December 2011</w:t>
      </w:r>
    </w:p>
    <w:p w:rsidR="008B22B8" w:rsidRPr="004E0BB7" w:rsidRDefault="008B22B8" w:rsidP="005472B0">
      <w:pPr>
        <w:ind w:left="720" w:hanging="720"/>
        <w:rPr>
          <w:color w:val="000000"/>
          <w:kern w:val="24"/>
          <w:sz w:val="22"/>
          <w:szCs w:val="18"/>
        </w:rPr>
      </w:pPr>
      <w:r w:rsidRPr="004E0BB7">
        <w:rPr>
          <w:color w:val="000000"/>
          <w:kern w:val="24"/>
          <w:sz w:val="22"/>
          <w:szCs w:val="18"/>
        </w:rPr>
        <w:t>F2.</w:t>
      </w:r>
      <w:r w:rsidRPr="004E0BB7">
        <w:rPr>
          <w:color w:val="000000"/>
          <w:kern w:val="24"/>
          <w:sz w:val="22"/>
          <w:szCs w:val="18"/>
        </w:rPr>
        <w:tab/>
        <w:t xml:space="preserve">880-915 &amp; 925-960 MHz:  First band available for mobile use; legacy GSM is predominant use but rebanding effort is ongoing, scheduled to complete January 2013. </w:t>
      </w:r>
    </w:p>
    <w:p w:rsidR="008B22B8" w:rsidRPr="004E0BB7" w:rsidRDefault="008B22B8" w:rsidP="005472B0">
      <w:pPr>
        <w:ind w:left="720" w:hanging="720"/>
        <w:rPr>
          <w:color w:val="000000"/>
          <w:kern w:val="24"/>
          <w:sz w:val="22"/>
          <w:szCs w:val="18"/>
        </w:rPr>
      </w:pPr>
      <w:r w:rsidRPr="004E0BB7">
        <w:rPr>
          <w:color w:val="000000"/>
          <w:kern w:val="24"/>
          <w:sz w:val="22"/>
          <w:szCs w:val="18"/>
        </w:rPr>
        <w:t>F3.</w:t>
      </w:r>
      <w:r w:rsidRPr="004E0BB7">
        <w:rPr>
          <w:color w:val="000000"/>
          <w:kern w:val="24"/>
          <w:sz w:val="22"/>
          <w:szCs w:val="18"/>
        </w:rPr>
        <w:tab/>
        <w:t>1710-1785 &amp; 1805-1880:  Second band available for mobile in France; still used for GSM.</w:t>
      </w:r>
    </w:p>
    <w:p w:rsidR="008B22B8" w:rsidRPr="004E0BB7" w:rsidRDefault="008B22B8" w:rsidP="005472B0">
      <w:pPr>
        <w:ind w:left="720" w:hanging="720"/>
        <w:rPr>
          <w:color w:val="000000"/>
          <w:kern w:val="24"/>
          <w:sz w:val="22"/>
          <w:szCs w:val="18"/>
        </w:rPr>
      </w:pPr>
      <w:r w:rsidRPr="004E0BB7">
        <w:rPr>
          <w:color w:val="000000"/>
          <w:kern w:val="24"/>
          <w:sz w:val="22"/>
          <w:szCs w:val="18"/>
        </w:rPr>
        <w:t>F4.</w:t>
      </w:r>
      <w:r w:rsidRPr="004E0BB7">
        <w:rPr>
          <w:color w:val="000000"/>
          <w:kern w:val="24"/>
          <w:sz w:val="22"/>
          <w:szCs w:val="18"/>
        </w:rPr>
        <w:tab/>
        <w:t>Unpaired 1900-1920 but excluding 1905-1910 MHz:  Not deployed in France.</w:t>
      </w:r>
    </w:p>
    <w:p w:rsidR="008B22B8" w:rsidRPr="004E0BB7" w:rsidRDefault="008B22B8" w:rsidP="005472B0">
      <w:pPr>
        <w:ind w:left="720" w:hanging="720"/>
        <w:rPr>
          <w:color w:val="000000"/>
          <w:kern w:val="24"/>
          <w:sz w:val="22"/>
          <w:szCs w:val="18"/>
        </w:rPr>
      </w:pPr>
      <w:r w:rsidRPr="004E0BB7">
        <w:rPr>
          <w:color w:val="000000"/>
          <w:kern w:val="24"/>
          <w:sz w:val="22"/>
          <w:szCs w:val="18"/>
        </w:rPr>
        <w:t>F5.</w:t>
      </w:r>
      <w:r w:rsidRPr="004E0BB7">
        <w:rPr>
          <w:color w:val="000000"/>
          <w:kern w:val="24"/>
          <w:sz w:val="22"/>
          <w:szCs w:val="18"/>
        </w:rPr>
        <w:tab/>
        <w:t>1920-1980 &amp; 2110-2170 MHz:  Used for 3G (UMTS/HSPA).</w:t>
      </w:r>
    </w:p>
    <w:p w:rsidR="008B22B8" w:rsidRPr="004E0BB7" w:rsidRDefault="008B22B8" w:rsidP="005472B0">
      <w:pPr>
        <w:ind w:left="720" w:hanging="720"/>
        <w:rPr>
          <w:color w:val="000000"/>
          <w:kern w:val="24"/>
          <w:sz w:val="22"/>
          <w:szCs w:val="18"/>
        </w:rPr>
      </w:pPr>
      <w:r w:rsidRPr="004E0BB7">
        <w:rPr>
          <w:color w:val="000000"/>
          <w:kern w:val="24"/>
          <w:sz w:val="22"/>
          <w:szCs w:val="18"/>
        </w:rPr>
        <w:t>F6.</w:t>
      </w:r>
      <w:r w:rsidRPr="004E0BB7">
        <w:rPr>
          <w:color w:val="000000"/>
          <w:kern w:val="24"/>
          <w:sz w:val="22"/>
          <w:szCs w:val="18"/>
        </w:rPr>
        <w:tab/>
        <w:t>2500-2570 &amp; 2620-2690 MHz FDD:  Auctioned in September 2011.</w:t>
      </w:r>
    </w:p>
    <w:p w:rsidR="008B22B8" w:rsidRPr="004E0BB7" w:rsidRDefault="008B22B8" w:rsidP="005472B0">
      <w:pPr>
        <w:ind w:left="720" w:hanging="720"/>
        <w:rPr>
          <w:color w:val="000000"/>
          <w:kern w:val="24"/>
          <w:sz w:val="22"/>
          <w:szCs w:val="18"/>
        </w:rPr>
      </w:pPr>
      <w:r w:rsidRPr="004E0BB7">
        <w:rPr>
          <w:color w:val="000000"/>
          <w:kern w:val="24"/>
          <w:sz w:val="22"/>
          <w:szCs w:val="18"/>
        </w:rPr>
        <w:lastRenderedPageBreak/>
        <w:t>F7.</w:t>
      </w:r>
      <w:r w:rsidRPr="004E0BB7">
        <w:rPr>
          <w:color w:val="000000"/>
          <w:kern w:val="24"/>
          <w:sz w:val="22"/>
          <w:szCs w:val="18"/>
        </w:rPr>
        <w:tab/>
        <w:t>Unpaired 2570-2620 MHz:  France’s plan for the TDD spectrum in this band is unclear, but we have assumed action is imminent.</w:t>
      </w:r>
    </w:p>
    <w:p w:rsidR="008B22B8" w:rsidRPr="004E0BB7" w:rsidRDefault="008B22B8" w:rsidP="004827E2">
      <w:pPr>
        <w:ind w:left="720" w:hanging="720"/>
        <w:rPr>
          <w:color w:val="000000"/>
          <w:kern w:val="24"/>
          <w:sz w:val="22"/>
          <w:szCs w:val="18"/>
        </w:rPr>
      </w:pPr>
      <w:r w:rsidRPr="004E0BB7">
        <w:rPr>
          <w:color w:val="000000"/>
          <w:kern w:val="24"/>
          <w:sz w:val="22"/>
          <w:szCs w:val="18"/>
        </w:rPr>
        <w:t>F8.</w:t>
      </w:r>
      <w:r w:rsidRPr="004E0BB7">
        <w:rPr>
          <w:color w:val="000000"/>
          <w:kern w:val="24"/>
          <w:sz w:val="22"/>
          <w:szCs w:val="18"/>
        </w:rPr>
        <w:tab/>
      </w:r>
      <w:r w:rsidR="00BD52A3" w:rsidRPr="004E0BB7">
        <w:rPr>
          <w:color w:val="000000"/>
          <w:kern w:val="24"/>
          <w:sz w:val="22"/>
          <w:szCs w:val="18"/>
        </w:rPr>
        <w:t xml:space="preserve">In addition to the 50 megahertz </w:t>
      </w:r>
      <w:r w:rsidR="00622BD3" w:rsidRPr="004E0BB7">
        <w:rPr>
          <w:color w:val="000000"/>
          <w:kern w:val="24"/>
          <w:sz w:val="22"/>
          <w:szCs w:val="18"/>
        </w:rPr>
        <w:t xml:space="preserve">at </w:t>
      </w:r>
      <w:r w:rsidR="00BD52A3" w:rsidRPr="004E0BB7">
        <w:rPr>
          <w:color w:val="000000"/>
          <w:kern w:val="24"/>
          <w:sz w:val="22"/>
          <w:szCs w:val="18"/>
        </w:rPr>
        <w:t>2.6 GHz, u</w:t>
      </w:r>
      <w:r w:rsidRPr="004E0BB7">
        <w:rPr>
          <w:color w:val="000000"/>
          <w:kern w:val="24"/>
          <w:sz w:val="22"/>
          <w:szCs w:val="18"/>
        </w:rPr>
        <w:t>npaired 1905-1910 MHz and unpaired 2010-2025 MHz may potentially become available in France.  France’s plans for the 5 megahertz in 1900-1920 are unclear, and as described in S7, Europe is in the process of determining the best use for the 2010-2025 MHz band.</w:t>
      </w:r>
    </w:p>
    <w:p w:rsidR="008B22B8" w:rsidRPr="004E0BB7" w:rsidRDefault="008B22B8" w:rsidP="005472B0">
      <w:pPr>
        <w:rPr>
          <w:color w:val="000000"/>
          <w:kern w:val="24"/>
          <w:sz w:val="22"/>
          <w:szCs w:val="18"/>
        </w:rPr>
      </w:pPr>
    </w:p>
    <w:p w:rsidR="008B22B8" w:rsidRPr="004E0BB7" w:rsidRDefault="008B22B8" w:rsidP="005472B0">
      <w:pPr>
        <w:ind w:left="720" w:hanging="720"/>
        <w:rPr>
          <w:color w:val="000000"/>
          <w:kern w:val="24"/>
          <w:sz w:val="22"/>
          <w:szCs w:val="18"/>
          <w:u w:val="single"/>
        </w:rPr>
      </w:pPr>
      <w:r w:rsidRPr="004E0BB7">
        <w:rPr>
          <w:color w:val="000000"/>
          <w:kern w:val="24"/>
          <w:sz w:val="22"/>
          <w:szCs w:val="18"/>
          <w:u w:val="single"/>
        </w:rPr>
        <w:t>Italy</w:t>
      </w:r>
    </w:p>
    <w:p w:rsidR="008B22B8" w:rsidRPr="004E0BB7" w:rsidRDefault="008B22B8" w:rsidP="005472B0">
      <w:pPr>
        <w:ind w:left="720" w:hanging="720"/>
        <w:rPr>
          <w:color w:val="000000"/>
          <w:kern w:val="24"/>
          <w:sz w:val="22"/>
          <w:szCs w:val="18"/>
        </w:rPr>
      </w:pPr>
    </w:p>
    <w:p w:rsidR="00CE35D3" w:rsidRPr="00F30FCB" w:rsidRDefault="008B22B8" w:rsidP="005472B0">
      <w:pPr>
        <w:ind w:left="720" w:hanging="720"/>
        <w:rPr>
          <w:color w:val="000000"/>
          <w:kern w:val="24"/>
          <w:sz w:val="22"/>
          <w:szCs w:val="18"/>
        </w:rPr>
      </w:pPr>
      <w:r w:rsidRPr="00517F24">
        <w:rPr>
          <w:color w:val="000000"/>
          <w:kern w:val="24"/>
          <w:sz w:val="22"/>
          <w:szCs w:val="18"/>
        </w:rPr>
        <w:t>I1.</w:t>
      </w:r>
      <w:r w:rsidRPr="00517F24">
        <w:rPr>
          <w:color w:val="000000"/>
          <w:kern w:val="24"/>
          <w:sz w:val="22"/>
          <w:szCs w:val="18"/>
        </w:rPr>
        <w:tab/>
      </w:r>
      <w:r w:rsidR="00CE35D3" w:rsidRPr="00517F24">
        <w:rPr>
          <w:color w:val="000000"/>
          <w:kern w:val="24"/>
          <w:sz w:val="22"/>
          <w:szCs w:val="18"/>
        </w:rPr>
        <w:t xml:space="preserve">832-862 &amp; 791-821 MHz: Italy auctioned Digital Dividend spectrum in September 2011, and </w:t>
      </w:r>
      <w:r w:rsidR="00566408" w:rsidRPr="00A31115">
        <w:rPr>
          <w:color w:val="000000"/>
          <w:kern w:val="24"/>
          <w:sz w:val="22"/>
          <w:szCs w:val="18"/>
        </w:rPr>
        <w:t xml:space="preserve">our understanding is that </w:t>
      </w:r>
      <w:r w:rsidR="00CE35D3" w:rsidRPr="00590B77">
        <w:rPr>
          <w:color w:val="000000"/>
          <w:kern w:val="24"/>
          <w:sz w:val="22"/>
          <w:szCs w:val="18"/>
        </w:rPr>
        <w:t xml:space="preserve">this spectrum became available for mobile broadband </w:t>
      </w:r>
      <w:r w:rsidR="00566408" w:rsidRPr="008B2B2D">
        <w:rPr>
          <w:color w:val="000000"/>
          <w:kern w:val="24"/>
          <w:sz w:val="22"/>
          <w:szCs w:val="18"/>
        </w:rPr>
        <w:t>o</w:t>
      </w:r>
      <w:r w:rsidR="00A52F9B" w:rsidRPr="00C36F95">
        <w:rPr>
          <w:color w:val="000000"/>
          <w:kern w:val="24"/>
          <w:sz w:val="22"/>
          <w:szCs w:val="18"/>
        </w:rPr>
        <w:t xml:space="preserve">n </w:t>
      </w:r>
      <w:r w:rsidR="00566408" w:rsidRPr="00042A0D">
        <w:rPr>
          <w:color w:val="000000"/>
          <w:kern w:val="24"/>
          <w:sz w:val="22"/>
          <w:szCs w:val="18"/>
        </w:rPr>
        <w:t xml:space="preserve">January 1, </w:t>
      </w:r>
      <w:r w:rsidR="00CE35D3" w:rsidRPr="00AF3B36">
        <w:rPr>
          <w:color w:val="000000"/>
          <w:kern w:val="24"/>
          <w:sz w:val="22"/>
          <w:szCs w:val="18"/>
        </w:rPr>
        <w:t>201</w:t>
      </w:r>
      <w:r w:rsidR="00566408" w:rsidRPr="00F30FCB">
        <w:rPr>
          <w:color w:val="000000"/>
          <w:kern w:val="24"/>
          <w:sz w:val="22"/>
          <w:szCs w:val="18"/>
        </w:rPr>
        <w:t>3.</w:t>
      </w:r>
    </w:p>
    <w:p w:rsidR="008B22B8" w:rsidRPr="00F30FCB" w:rsidRDefault="00CE35D3" w:rsidP="005472B0">
      <w:pPr>
        <w:ind w:left="720" w:hanging="720"/>
        <w:rPr>
          <w:color w:val="000000"/>
          <w:kern w:val="24"/>
          <w:sz w:val="22"/>
          <w:szCs w:val="18"/>
        </w:rPr>
      </w:pPr>
      <w:r w:rsidRPr="00F30FCB">
        <w:rPr>
          <w:color w:val="000000"/>
          <w:kern w:val="24"/>
          <w:sz w:val="22"/>
          <w:szCs w:val="18"/>
        </w:rPr>
        <w:t>I2.</w:t>
      </w:r>
      <w:r w:rsidRPr="00F30FCB">
        <w:rPr>
          <w:color w:val="000000"/>
          <w:kern w:val="24"/>
          <w:sz w:val="22"/>
          <w:szCs w:val="18"/>
        </w:rPr>
        <w:tab/>
      </w:r>
      <w:r w:rsidR="008B22B8" w:rsidRPr="00F30FCB">
        <w:rPr>
          <w:color w:val="000000"/>
          <w:kern w:val="24"/>
          <w:sz w:val="22"/>
          <w:szCs w:val="18"/>
        </w:rPr>
        <w:t xml:space="preserve">880-915 &amp; 925-960 MHz:  First band available for mobile use; legacy GSM is predominant use but is being refarmed and rationalized for 3G.  Refarming will also create a 5+5 megahertz block for a fourth operator in the band.  Scheduled completion is November 2013.  </w:t>
      </w:r>
    </w:p>
    <w:p w:rsidR="008B22B8" w:rsidRPr="00F30FCB" w:rsidRDefault="00CE35D3" w:rsidP="005472B0">
      <w:pPr>
        <w:ind w:left="720" w:hanging="720"/>
        <w:rPr>
          <w:color w:val="000000"/>
          <w:kern w:val="24"/>
          <w:sz w:val="22"/>
          <w:szCs w:val="18"/>
        </w:rPr>
      </w:pPr>
      <w:r w:rsidRPr="00F30FCB">
        <w:rPr>
          <w:color w:val="000000"/>
          <w:kern w:val="24"/>
          <w:sz w:val="22"/>
          <w:szCs w:val="18"/>
        </w:rPr>
        <w:t>I3</w:t>
      </w:r>
      <w:r w:rsidR="008B22B8" w:rsidRPr="00F30FCB">
        <w:rPr>
          <w:color w:val="000000"/>
          <w:kern w:val="24"/>
          <w:sz w:val="22"/>
          <w:szCs w:val="18"/>
        </w:rPr>
        <w:t>.</w:t>
      </w:r>
      <w:r w:rsidR="008B22B8" w:rsidRPr="00F30FCB">
        <w:rPr>
          <w:color w:val="000000"/>
          <w:kern w:val="24"/>
          <w:sz w:val="22"/>
          <w:szCs w:val="18"/>
        </w:rPr>
        <w:tab/>
        <w:t>1725-1785 &amp; 1820-1880</w:t>
      </w:r>
      <w:r w:rsidR="00EA5F7B" w:rsidRPr="00F30FCB">
        <w:rPr>
          <w:color w:val="000000"/>
          <w:kern w:val="24"/>
          <w:sz w:val="22"/>
          <w:szCs w:val="18"/>
        </w:rPr>
        <w:t xml:space="preserve"> MHz</w:t>
      </w:r>
      <w:r w:rsidR="008B22B8" w:rsidRPr="00F30FCB">
        <w:rPr>
          <w:color w:val="000000"/>
          <w:kern w:val="24"/>
          <w:sz w:val="22"/>
          <w:szCs w:val="18"/>
        </w:rPr>
        <w:t>:  The September 2011 auction included 30 megahertz of previously unused spectrum in this band.  Minor rationalization was needed to ensure contiguity of spectrum holdings.</w:t>
      </w:r>
    </w:p>
    <w:p w:rsidR="008B22B8" w:rsidRPr="00F30FCB" w:rsidRDefault="00CE35D3" w:rsidP="005472B0">
      <w:pPr>
        <w:ind w:left="720" w:hanging="720"/>
        <w:rPr>
          <w:color w:val="000000"/>
          <w:kern w:val="24"/>
          <w:sz w:val="22"/>
          <w:szCs w:val="18"/>
        </w:rPr>
      </w:pPr>
      <w:r w:rsidRPr="00F30FCB">
        <w:rPr>
          <w:color w:val="000000"/>
          <w:kern w:val="24"/>
          <w:sz w:val="22"/>
          <w:szCs w:val="18"/>
        </w:rPr>
        <w:t>I4</w:t>
      </w:r>
      <w:r w:rsidR="008B22B8" w:rsidRPr="00F30FCB">
        <w:rPr>
          <w:color w:val="000000"/>
          <w:kern w:val="24"/>
          <w:sz w:val="22"/>
          <w:szCs w:val="18"/>
        </w:rPr>
        <w:t>.</w:t>
      </w:r>
      <w:r w:rsidR="008B22B8" w:rsidRPr="00F30FCB">
        <w:rPr>
          <w:color w:val="000000"/>
          <w:kern w:val="24"/>
          <w:sz w:val="22"/>
          <w:szCs w:val="18"/>
        </w:rPr>
        <w:tab/>
        <w:t>Unpaired 1900-1920</w:t>
      </w:r>
      <w:r w:rsidR="00EA5F7B" w:rsidRPr="00F30FCB">
        <w:rPr>
          <w:color w:val="000000"/>
          <w:kern w:val="24"/>
          <w:sz w:val="22"/>
          <w:szCs w:val="18"/>
        </w:rPr>
        <w:t xml:space="preserve"> MHz</w:t>
      </w:r>
      <w:r w:rsidR="008B22B8" w:rsidRPr="00F30FCB">
        <w:rPr>
          <w:color w:val="000000"/>
          <w:kern w:val="24"/>
          <w:sz w:val="22"/>
          <w:szCs w:val="18"/>
        </w:rPr>
        <w:t>:  Not deployed in Italy.</w:t>
      </w:r>
    </w:p>
    <w:p w:rsidR="008B22B8" w:rsidRPr="00F30FCB" w:rsidRDefault="00CE35D3" w:rsidP="005472B0">
      <w:pPr>
        <w:ind w:left="720" w:hanging="720"/>
        <w:rPr>
          <w:color w:val="000000"/>
          <w:kern w:val="24"/>
          <w:sz w:val="22"/>
          <w:szCs w:val="18"/>
        </w:rPr>
      </w:pPr>
      <w:r w:rsidRPr="00F30FCB">
        <w:rPr>
          <w:color w:val="000000"/>
          <w:kern w:val="24"/>
          <w:sz w:val="22"/>
          <w:szCs w:val="18"/>
        </w:rPr>
        <w:t>I5</w:t>
      </w:r>
      <w:r w:rsidR="008B22B8" w:rsidRPr="00F30FCB">
        <w:rPr>
          <w:color w:val="000000"/>
          <w:kern w:val="24"/>
          <w:sz w:val="22"/>
          <w:szCs w:val="18"/>
        </w:rPr>
        <w:t>.</w:t>
      </w:r>
      <w:r w:rsidR="008B22B8" w:rsidRPr="00F30FCB">
        <w:rPr>
          <w:color w:val="000000"/>
          <w:kern w:val="24"/>
          <w:sz w:val="22"/>
          <w:szCs w:val="18"/>
        </w:rPr>
        <w:tab/>
        <w:t>1920-1980 &amp; 2110-2170 MHz:  Used for 3G (UMTS/HSPA).</w:t>
      </w:r>
    </w:p>
    <w:p w:rsidR="008B22B8" w:rsidRPr="00F30FCB" w:rsidRDefault="00CE35D3" w:rsidP="0009609A">
      <w:pPr>
        <w:ind w:left="720" w:hanging="720"/>
        <w:rPr>
          <w:color w:val="000000"/>
          <w:kern w:val="24"/>
          <w:sz w:val="22"/>
          <w:szCs w:val="18"/>
        </w:rPr>
      </w:pPr>
      <w:r w:rsidRPr="00F30FCB">
        <w:rPr>
          <w:color w:val="000000"/>
          <w:kern w:val="24"/>
          <w:sz w:val="22"/>
          <w:szCs w:val="18"/>
        </w:rPr>
        <w:t>I6</w:t>
      </w:r>
      <w:r w:rsidR="008B22B8" w:rsidRPr="00F30FCB">
        <w:rPr>
          <w:color w:val="000000"/>
          <w:kern w:val="24"/>
          <w:sz w:val="22"/>
          <w:szCs w:val="18"/>
        </w:rPr>
        <w:t>.</w:t>
      </w:r>
      <w:r w:rsidR="008B22B8" w:rsidRPr="00F30FCB">
        <w:rPr>
          <w:color w:val="000000"/>
          <w:kern w:val="24"/>
          <w:sz w:val="22"/>
          <w:szCs w:val="18"/>
        </w:rPr>
        <w:tab/>
        <w:t>2510-2570 &amp; 2630-2690 MHz FDD band and 2570-2600 MHz TDD band:  Auctioned in September 2011.</w:t>
      </w:r>
    </w:p>
    <w:p w:rsidR="008B22B8" w:rsidRPr="00F30FCB" w:rsidRDefault="008B22B8" w:rsidP="005472B0">
      <w:pPr>
        <w:ind w:left="720" w:hanging="720"/>
        <w:rPr>
          <w:color w:val="000000"/>
          <w:kern w:val="24"/>
          <w:sz w:val="22"/>
          <w:szCs w:val="18"/>
        </w:rPr>
      </w:pPr>
      <w:r w:rsidRPr="00F30FCB">
        <w:rPr>
          <w:color w:val="000000"/>
          <w:kern w:val="24"/>
          <w:sz w:val="22"/>
          <w:szCs w:val="18"/>
        </w:rPr>
        <w:t>I7.</w:t>
      </w:r>
      <w:r w:rsidRPr="00F30FCB">
        <w:rPr>
          <w:color w:val="000000"/>
          <w:kern w:val="24"/>
          <w:sz w:val="22"/>
          <w:szCs w:val="18"/>
        </w:rPr>
        <w:tab/>
        <w:t xml:space="preserve">H3G (3 Italia) qualified for an option to obtain an additional 10+10 megahertz of 1800 MHz spectrum (1715-1725 &amp; 1810-1820 MHz).  They have until early 2013 to exercise the option. </w:t>
      </w:r>
    </w:p>
    <w:p w:rsidR="008B22B8" w:rsidRPr="00F30FCB" w:rsidRDefault="008B22B8" w:rsidP="005472B0">
      <w:pPr>
        <w:ind w:left="720" w:hanging="720"/>
        <w:rPr>
          <w:color w:val="000000"/>
          <w:kern w:val="24"/>
          <w:sz w:val="22"/>
          <w:szCs w:val="18"/>
        </w:rPr>
      </w:pPr>
      <w:r w:rsidRPr="00F30FCB">
        <w:rPr>
          <w:color w:val="000000"/>
          <w:kern w:val="24"/>
          <w:sz w:val="22"/>
          <w:szCs w:val="18"/>
        </w:rPr>
        <w:t>I8.</w:t>
      </w:r>
      <w:r w:rsidRPr="00F30FCB">
        <w:rPr>
          <w:color w:val="000000"/>
          <w:kern w:val="24"/>
          <w:sz w:val="22"/>
          <w:szCs w:val="18"/>
        </w:rPr>
        <w:tab/>
      </w:r>
      <w:r w:rsidR="00BD52A3" w:rsidRPr="00F30FCB">
        <w:rPr>
          <w:color w:val="000000"/>
          <w:kern w:val="24"/>
          <w:sz w:val="22"/>
          <w:szCs w:val="18"/>
        </w:rPr>
        <w:t>In addition to the 20 megahertz at 1800 MHz, s</w:t>
      </w:r>
      <w:r w:rsidRPr="00F30FCB">
        <w:rPr>
          <w:color w:val="000000"/>
          <w:kern w:val="24"/>
          <w:sz w:val="22"/>
          <w:szCs w:val="18"/>
        </w:rPr>
        <w:t xml:space="preserve">everal additional bands may potentially become available in Italy: 1710-1715 &amp; 1805-1810 MHz is used by the Ministry of Defense, but there is potential to clear this block for mobile broadband in the future.  Unpaired 2010-2025 MHz was offered in the September 2011 auction but received no bids.  As described in S7, this band is part of a broad European ongoing proceeding.  Lastly, 2500-2510 &amp; 2620-2630 MHz in the 2.6 GHz FDD allocation and 2600-2620 MHz in the TDD allocation have been reserved for the Ministry of Defense.  </w:t>
      </w:r>
      <w:r w:rsidR="00BD52A3" w:rsidRPr="00F30FCB">
        <w:rPr>
          <w:color w:val="000000"/>
          <w:kern w:val="24"/>
          <w:sz w:val="22"/>
          <w:szCs w:val="18"/>
        </w:rPr>
        <w:t>We assume t</w:t>
      </w:r>
      <w:r w:rsidRPr="00F30FCB">
        <w:rPr>
          <w:color w:val="000000"/>
          <w:kern w:val="24"/>
          <w:sz w:val="22"/>
          <w:szCs w:val="18"/>
        </w:rPr>
        <w:t>here is the potential, however, for these blocks to be cleared in the future.</w:t>
      </w:r>
    </w:p>
    <w:p w:rsidR="008B22B8" w:rsidRPr="00F30FCB" w:rsidRDefault="008B22B8" w:rsidP="005472B0">
      <w:pPr>
        <w:ind w:left="720" w:hanging="720"/>
        <w:rPr>
          <w:color w:val="000000"/>
          <w:kern w:val="24"/>
          <w:sz w:val="22"/>
          <w:szCs w:val="18"/>
          <w:u w:val="single"/>
        </w:rPr>
      </w:pPr>
    </w:p>
    <w:p w:rsidR="008B22B8" w:rsidRPr="00F30FCB" w:rsidRDefault="008B22B8" w:rsidP="005472B0">
      <w:pPr>
        <w:ind w:left="720" w:hanging="720"/>
        <w:rPr>
          <w:bCs/>
          <w:iCs/>
          <w:color w:val="000000"/>
          <w:kern w:val="24"/>
          <w:sz w:val="22"/>
          <w:szCs w:val="18"/>
          <w:u w:val="single"/>
        </w:rPr>
      </w:pPr>
      <w:r w:rsidRPr="00F30FCB">
        <w:rPr>
          <w:bCs/>
          <w:iCs/>
          <w:color w:val="000000"/>
          <w:kern w:val="24"/>
          <w:sz w:val="22"/>
          <w:szCs w:val="18"/>
          <w:u w:val="single"/>
        </w:rPr>
        <w:t>U.K.</w:t>
      </w:r>
    </w:p>
    <w:p w:rsidR="008B22B8" w:rsidRPr="00F30FCB" w:rsidRDefault="008B22B8" w:rsidP="005472B0">
      <w:pPr>
        <w:ind w:left="720" w:hanging="720"/>
        <w:rPr>
          <w:b/>
          <w:color w:val="000000"/>
          <w:kern w:val="24"/>
          <w:sz w:val="22"/>
          <w:szCs w:val="18"/>
          <w:u w:val="single"/>
        </w:rPr>
      </w:pPr>
    </w:p>
    <w:p w:rsidR="008B22B8" w:rsidRPr="00F30FCB" w:rsidRDefault="008B22B8" w:rsidP="005472B0">
      <w:pPr>
        <w:ind w:left="720" w:hanging="720"/>
        <w:rPr>
          <w:color w:val="000000"/>
          <w:kern w:val="24"/>
          <w:sz w:val="22"/>
          <w:szCs w:val="18"/>
        </w:rPr>
      </w:pPr>
      <w:r w:rsidRPr="00F30FCB">
        <w:rPr>
          <w:color w:val="000000"/>
          <w:kern w:val="24"/>
          <w:sz w:val="22"/>
          <w:szCs w:val="18"/>
        </w:rPr>
        <w:t>U1.</w:t>
      </w:r>
      <w:r w:rsidRPr="00F30FCB">
        <w:rPr>
          <w:color w:val="000000"/>
          <w:kern w:val="24"/>
          <w:sz w:val="22"/>
          <w:szCs w:val="18"/>
        </w:rPr>
        <w:tab/>
        <w:t xml:space="preserve">880-915 &amp; 925-960 MHz:  Used for legacy GSM and UMTS/HSPA. </w:t>
      </w:r>
    </w:p>
    <w:p w:rsidR="008B22B8" w:rsidRPr="00F30FCB" w:rsidRDefault="008B22B8" w:rsidP="005472B0">
      <w:pPr>
        <w:ind w:left="720" w:hanging="720"/>
        <w:rPr>
          <w:color w:val="000000"/>
          <w:kern w:val="24"/>
          <w:sz w:val="22"/>
          <w:szCs w:val="18"/>
        </w:rPr>
      </w:pPr>
      <w:r w:rsidRPr="00F30FCB">
        <w:rPr>
          <w:color w:val="000000"/>
          <w:kern w:val="24"/>
          <w:sz w:val="22"/>
          <w:szCs w:val="18"/>
        </w:rPr>
        <w:t>U2.</w:t>
      </w:r>
      <w:r w:rsidRPr="00F30FCB">
        <w:rPr>
          <w:color w:val="000000"/>
          <w:kern w:val="24"/>
          <w:sz w:val="22"/>
          <w:szCs w:val="18"/>
        </w:rPr>
        <w:tab/>
        <w:t xml:space="preserve">1710-1781.7 &amp; 1805-1876.7:  Used for GSM, UMTS and recently one operator announced plans to launch LTE.  The upper 3.3+3.3 </w:t>
      </w:r>
      <w:r w:rsidR="00EA5F7B" w:rsidRPr="00F30FCB">
        <w:rPr>
          <w:color w:val="000000"/>
          <w:kern w:val="24"/>
          <w:sz w:val="22"/>
          <w:szCs w:val="18"/>
        </w:rPr>
        <w:t xml:space="preserve">megahertz </w:t>
      </w:r>
      <w:r w:rsidRPr="00F30FCB">
        <w:rPr>
          <w:color w:val="000000"/>
          <w:kern w:val="24"/>
          <w:sz w:val="22"/>
          <w:szCs w:val="18"/>
        </w:rPr>
        <w:t>(</w:t>
      </w:r>
      <w:r w:rsidR="00622BD3" w:rsidRPr="00F30FCB">
        <w:rPr>
          <w:color w:val="000000"/>
          <w:kern w:val="24"/>
          <w:sz w:val="22"/>
          <w:szCs w:val="18"/>
        </w:rPr>
        <w:t xml:space="preserve">aka </w:t>
      </w:r>
      <w:r w:rsidRPr="00F30FCB">
        <w:rPr>
          <w:color w:val="000000"/>
          <w:kern w:val="24"/>
          <w:sz w:val="22"/>
          <w:szCs w:val="18"/>
        </w:rPr>
        <w:t xml:space="preserve">the DECT guard band) was auctioned in 2006 to 12 licensees for low power use, but so far has not been deployed.  </w:t>
      </w:r>
      <w:r w:rsidR="00622BD3" w:rsidRPr="00F30FCB">
        <w:rPr>
          <w:color w:val="000000"/>
          <w:kern w:val="24"/>
          <w:sz w:val="22"/>
          <w:szCs w:val="18"/>
        </w:rPr>
        <w:t>W</w:t>
      </w:r>
      <w:r w:rsidRPr="00F30FCB">
        <w:rPr>
          <w:color w:val="000000"/>
          <w:kern w:val="24"/>
          <w:sz w:val="22"/>
          <w:szCs w:val="18"/>
        </w:rPr>
        <w:t>e have assumed that this part of the band will not become available for full power mobile broadband use.</w:t>
      </w:r>
    </w:p>
    <w:p w:rsidR="008B22B8" w:rsidRPr="00F30FCB" w:rsidRDefault="008B22B8" w:rsidP="005472B0">
      <w:pPr>
        <w:ind w:left="720" w:hanging="720"/>
        <w:rPr>
          <w:color w:val="000000"/>
          <w:kern w:val="24"/>
          <w:sz w:val="22"/>
          <w:szCs w:val="18"/>
        </w:rPr>
      </w:pPr>
      <w:r w:rsidRPr="00F30FCB">
        <w:rPr>
          <w:color w:val="000000"/>
          <w:kern w:val="24"/>
          <w:sz w:val="22"/>
          <w:szCs w:val="18"/>
        </w:rPr>
        <w:t>U3.</w:t>
      </w:r>
      <w:r w:rsidRPr="00F30FCB">
        <w:rPr>
          <w:color w:val="000000"/>
          <w:kern w:val="24"/>
          <w:sz w:val="22"/>
          <w:szCs w:val="18"/>
        </w:rPr>
        <w:tab/>
        <w:t>Unpaired 1900-1920</w:t>
      </w:r>
      <w:r w:rsidR="00EA5F7B" w:rsidRPr="00F30FCB">
        <w:rPr>
          <w:color w:val="000000"/>
          <w:kern w:val="24"/>
          <w:sz w:val="22"/>
          <w:szCs w:val="18"/>
        </w:rPr>
        <w:t xml:space="preserve"> MHz</w:t>
      </w:r>
      <w:r w:rsidRPr="00F30FCB">
        <w:rPr>
          <w:color w:val="000000"/>
          <w:kern w:val="24"/>
          <w:sz w:val="22"/>
          <w:szCs w:val="18"/>
        </w:rPr>
        <w:t>:  Not deployed in the UK.</w:t>
      </w:r>
    </w:p>
    <w:p w:rsidR="008B22B8" w:rsidRPr="00F30FCB" w:rsidRDefault="008B22B8" w:rsidP="005472B0">
      <w:pPr>
        <w:ind w:left="720" w:hanging="720"/>
        <w:rPr>
          <w:color w:val="000000"/>
          <w:kern w:val="24"/>
          <w:sz w:val="22"/>
          <w:szCs w:val="18"/>
        </w:rPr>
      </w:pPr>
      <w:r w:rsidRPr="00F30FCB">
        <w:rPr>
          <w:color w:val="000000"/>
          <w:kern w:val="24"/>
          <w:sz w:val="22"/>
          <w:szCs w:val="18"/>
        </w:rPr>
        <w:t>U4.</w:t>
      </w:r>
      <w:r w:rsidRPr="00F30FCB">
        <w:rPr>
          <w:color w:val="000000"/>
          <w:kern w:val="24"/>
          <w:sz w:val="22"/>
          <w:szCs w:val="18"/>
        </w:rPr>
        <w:tab/>
        <w:t>1920-1980 &amp; 2110-2170 MHz:  Used for 3G (UMTS/HSPA).</w:t>
      </w:r>
    </w:p>
    <w:p w:rsidR="008B22B8" w:rsidRPr="00F30FCB" w:rsidRDefault="008B22B8" w:rsidP="005472B0">
      <w:pPr>
        <w:ind w:left="720" w:hanging="720"/>
        <w:rPr>
          <w:color w:val="000000"/>
          <w:kern w:val="24"/>
          <w:sz w:val="22"/>
          <w:szCs w:val="18"/>
        </w:rPr>
      </w:pPr>
      <w:r w:rsidRPr="00F30FCB">
        <w:rPr>
          <w:color w:val="000000"/>
          <w:kern w:val="24"/>
          <w:sz w:val="22"/>
          <w:szCs w:val="18"/>
        </w:rPr>
        <w:t>U5.</w:t>
      </w:r>
      <w:r w:rsidRPr="00F30FCB">
        <w:rPr>
          <w:color w:val="000000"/>
          <w:kern w:val="24"/>
          <w:sz w:val="22"/>
          <w:szCs w:val="18"/>
        </w:rPr>
        <w:tab/>
        <w:t xml:space="preserve">832-862 &amp; 791-821 MHz:  </w:t>
      </w:r>
      <w:r w:rsidR="00252BD1">
        <w:rPr>
          <w:color w:val="000000"/>
          <w:kern w:val="24"/>
          <w:sz w:val="22"/>
          <w:szCs w:val="18"/>
        </w:rPr>
        <w:t>On February 20, 2013, Ofcom announced the winners in an auction for this spectrum and the 2.6 GHz spectrum.  Once licensing is complete, this spectrum will be currently available for provision of mobile broadband.</w:t>
      </w:r>
    </w:p>
    <w:p w:rsidR="008B22B8" w:rsidRPr="00F30FCB" w:rsidRDefault="008B22B8" w:rsidP="005472B0">
      <w:pPr>
        <w:ind w:left="720" w:hanging="720"/>
        <w:rPr>
          <w:color w:val="000000"/>
          <w:kern w:val="24"/>
          <w:sz w:val="22"/>
          <w:szCs w:val="18"/>
        </w:rPr>
      </w:pPr>
      <w:r w:rsidRPr="00F30FCB">
        <w:rPr>
          <w:color w:val="000000"/>
          <w:kern w:val="24"/>
          <w:sz w:val="22"/>
          <w:szCs w:val="18"/>
        </w:rPr>
        <w:t>U6.</w:t>
      </w:r>
      <w:r w:rsidRPr="00F30FCB">
        <w:rPr>
          <w:color w:val="000000"/>
          <w:kern w:val="24"/>
          <w:sz w:val="22"/>
          <w:szCs w:val="18"/>
        </w:rPr>
        <w:tab/>
        <w:t>Unpaired 2010-2025 MHz:  This was used on a temporary basis during the 2012 London Olympic Games and Ofcom announced plans to auction it after the games.  Since the UK has made more progress with this band than most other countries, we have characterized here as “pipeline.”</w:t>
      </w:r>
    </w:p>
    <w:p w:rsidR="008B22B8" w:rsidRDefault="008B22B8" w:rsidP="005472B0">
      <w:pPr>
        <w:ind w:left="720" w:hanging="720"/>
        <w:rPr>
          <w:color w:val="000000"/>
          <w:kern w:val="24"/>
          <w:sz w:val="22"/>
          <w:szCs w:val="18"/>
        </w:rPr>
      </w:pPr>
      <w:r w:rsidRPr="00F30FCB">
        <w:rPr>
          <w:color w:val="000000"/>
          <w:kern w:val="24"/>
          <w:sz w:val="22"/>
          <w:szCs w:val="18"/>
        </w:rPr>
        <w:t>U7.</w:t>
      </w:r>
      <w:r w:rsidRPr="00F30FCB">
        <w:rPr>
          <w:color w:val="000000"/>
          <w:kern w:val="24"/>
          <w:sz w:val="22"/>
          <w:szCs w:val="18"/>
        </w:rPr>
        <w:tab/>
        <w:t xml:space="preserve">2500-2570 &amp; 2620-2690 MHz FDD and Unpaired 2570-2620 MHz TDD:  </w:t>
      </w:r>
      <w:r w:rsidR="00252BD1" w:rsidRPr="00252BD1">
        <w:rPr>
          <w:color w:val="000000"/>
          <w:kern w:val="24"/>
          <w:sz w:val="22"/>
          <w:szCs w:val="18"/>
        </w:rPr>
        <w:t xml:space="preserve">On February 20, 2013, Ofcom announced the winners in an auction for this spectrum and the 800 MHz spectrum.  Once </w:t>
      </w:r>
      <w:r w:rsidR="00252BD1" w:rsidRPr="00252BD1">
        <w:rPr>
          <w:color w:val="000000"/>
          <w:kern w:val="24"/>
          <w:sz w:val="22"/>
          <w:szCs w:val="18"/>
        </w:rPr>
        <w:lastRenderedPageBreak/>
        <w:t>licensing is complete, this spectrum will be currently available for provision of mobile broadband.</w:t>
      </w:r>
    </w:p>
    <w:p w:rsidR="00DE7A0E" w:rsidRPr="00F30FCB" w:rsidRDefault="00DE7A0E" w:rsidP="005472B0">
      <w:pPr>
        <w:ind w:left="720" w:hanging="720"/>
        <w:rPr>
          <w:color w:val="000000"/>
          <w:kern w:val="24"/>
          <w:sz w:val="22"/>
          <w:szCs w:val="18"/>
        </w:rPr>
      </w:pPr>
    </w:p>
    <w:p w:rsidR="008B22B8" w:rsidRPr="00F30FCB" w:rsidRDefault="008B22B8" w:rsidP="005472B0">
      <w:pPr>
        <w:ind w:left="720" w:hanging="720"/>
        <w:rPr>
          <w:color w:val="000000"/>
          <w:kern w:val="24"/>
          <w:sz w:val="22"/>
          <w:szCs w:val="18"/>
          <w:u w:val="single"/>
        </w:rPr>
      </w:pPr>
      <w:r w:rsidRPr="00F30FCB">
        <w:rPr>
          <w:color w:val="000000"/>
          <w:kern w:val="24"/>
          <w:sz w:val="22"/>
          <w:szCs w:val="18"/>
          <w:u w:val="single"/>
        </w:rPr>
        <w:t>Australia</w:t>
      </w:r>
    </w:p>
    <w:p w:rsidR="008B22B8" w:rsidRPr="00F30FCB" w:rsidRDefault="008B22B8" w:rsidP="005472B0">
      <w:pPr>
        <w:ind w:left="720" w:hanging="720"/>
        <w:rPr>
          <w:color w:val="000000"/>
          <w:kern w:val="24"/>
          <w:sz w:val="22"/>
          <w:szCs w:val="18"/>
        </w:rPr>
      </w:pPr>
    </w:p>
    <w:p w:rsidR="008B22B8" w:rsidRPr="00F30FCB" w:rsidRDefault="008B22B8" w:rsidP="005472B0">
      <w:pPr>
        <w:ind w:left="720" w:hanging="720"/>
        <w:rPr>
          <w:color w:val="000000"/>
          <w:kern w:val="24"/>
          <w:sz w:val="22"/>
          <w:szCs w:val="18"/>
        </w:rPr>
      </w:pPr>
      <w:r w:rsidRPr="00F30FCB">
        <w:rPr>
          <w:color w:val="000000"/>
          <w:kern w:val="24"/>
          <w:sz w:val="22"/>
          <w:szCs w:val="18"/>
        </w:rPr>
        <w:t>AU1.</w:t>
      </w:r>
      <w:r w:rsidRPr="00F30FCB">
        <w:rPr>
          <w:color w:val="000000"/>
          <w:kern w:val="24"/>
          <w:sz w:val="22"/>
          <w:szCs w:val="18"/>
        </w:rPr>
        <w:tab/>
        <w:t>825-845 &amp; 870-890 MHz:  Aligns with the US cellular band.  Used for UMTS/HSPA.</w:t>
      </w:r>
    </w:p>
    <w:p w:rsidR="008B22B8" w:rsidRPr="00F30FCB" w:rsidRDefault="008B22B8" w:rsidP="005472B0">
      <w:pPr>
        <w:ind w:left="720" w:hanging="720"/>
        <w:rPr>
          <w:color w:val="000000"/>
          <w:kern w:val="24"/>
          <w:sz w:val="22"/>
          <w:szCs w:val="18"/>
        </w:rPr>
      </w:pPr>
      <w:r w:rsidRPr="00F30FCB">
        <w:rPr>
          <w:color w:val="000000"/>
          <w:kern w:val="24"/>
          <w:sz w:val="22"/>
          <w:szCs w:val="18"/>
        </w:rPr>
        <w:t>AU2.</w:t>
      </w:r>
      <w:r w:rsidRPr="00F30FCB">
        <w:rPr>
          <w:color w:val="000000"/>
          <w:kern w:val="24"/>
          <w:sz w:val="22"/>
          <w:szCs w:val="18"/>
        </w:rPr>
        <w:tab/>
        <w:t>890-915 &amp; 935-960 MHz:  Aligns with European GSM band.  Used for both 2G GSM and 3G UMTS/HSPA services.</w:t>
      </w:r>
    </w:p>
    <w:p w:rsidR="008B22B8" w:rsidRPr="00F30FCB" w:rsidRDefault="008B22B8" w:rsidP="005472B0">
      <w:pPr>
        <w:ind w:left="720" w:hanging="720"/>
        <w:rPr>
          <w:color w:val="000000"/>
          <w:kern w:val="24"/>
          <w:sz w:val="22"/>
          <w:szCs w:val="18"/>
        </w:rPr>
      </w:pPr>
      <w:r w:rsidRPr="00F30FCB">
        <w:rPr>
          <w:color w:val="000000"/>
          <w:kern w:val="24"/>
          <w:sz w:val="22"/>
          <w:szCs w:val="18"/>
        </w:rPr>
        <w:t>AU3.</w:t>
      </w:r>
      <w:r w:rsidRPr="00F30FCB">
        <w:rPr>
          <w:color w:val="000000"/>
          <w:kern w:val="24"/>
          <w:sz w:val="22"/>
          <w:szCs w:val="18"/>
        </w:rPr>
        <w:tab/>
        <w:t xml:space="preserve">1710-1785 &amp; 1805-1880 MHz:  Full </w:t>
      </w:r>
      <w:r w:rsidR="002E1B0B">
        <w:rPr>
          <w:color w:val="000000"/>
          <w:kern w:val="24"/>
          <w:sz w:val="22"/>
          <w:szCs w:val="18"/>
        </w:rPr>
        <w:t>150 megahertz</w:t>
      </w:r>
      <w:r w:rsidR="002E1B0B" w:rsidRPr="00F30FCB">
        <w:rPr>
          <w:color w:val="000000"/>
          <w:kern w:val="24"/>
          <w:sz w:val="22"/>
          <w:szCs w:val="18"/>
        </w:rPr>
        <w:t xml:space="preserve"> </w:t>
      </w:r>
      <w:r w:rsidRPr="00F30FCB">
        <w:rPr>
          <w:color w:val="000000"/>
          <w:kern w:val="24"/>
          <w:sz w:val="22"/>
          <w:szCs w:val="18"/>
        </w:rPr>
        <w:t>is not available nationwide</w:t>
      </w:r>
      <w:r w:rsidR="00832D14">
        <w:rPr>
          <w:color w:val="000000"/>
          <w:kern w:val="24"/>
          <w:sz w:val="22"/>
          <w:szCs w:val="18"/>
        </w:rPr>
        <w:t xml:space="preserve">, only in Adelaide, Brisbane, Melbourne, Perth and Sydney.  </w:t>
      </w:r>
      <w:r w:rsidR="002E1B0B">
        <w:rPr>
          <w:color w:val="000000"/>
          <w:kern w:val="24"/>
          <w:sz w:val="22"/>
          <w:szCs w:val="18"/>
        </w:rPr>
        <w:t>90 megahertz (</w:t>
      </w:r>
      <w:r w:rsidR="00832D14">
        <w:rPr>
          <w:color w:val="000000"/>
          <w:kern w:val="24"/>
          <w:sz w:val="22"/>
          <w:szCs w:val="18"/>
        </w:rPr>
        <w:t xml:space="preserve">1710-1755 &amp; 1805-1850 </w:t>
      </w:r>
      <w:r w:rsidR="00C07688">
        <w:rPr>
          <w:color w:val="000000"/>
          <w:kern w:val="24"/>
          <w:sz w:val="22"/>
          <w:szCs w:val="18"/>
        </w:rPr>
        <w:t>MHz</w:t>
      </w:r>
      <w:r w:rsidR="002E1B0B">
        <w:rPr>
          <w:color w:val="000000"/>
          <w:kern w:val="24"/>
          <w:sz w:val="22"/>
          <w:szCs w:val="18"/>
        </w:rPr>
        <w:t>) is available</w:t>
      </w:r>
      <w:r w:rsidR="00C07688">
        <w:rPr>
          <w:color w:val="000000"/>
          <w:kern w:val="24"/>
          <w:sz w:val="22"/>
          <w:szCs w:val="18"/>
        </w:rPr>
        <w:t xml:space="preserve"> </w:t>
      </w:r>
      <w:r w:rsidR="00832D14">
        <w:rPr>
          <w:color w:val="000000"/>
          <w:kern w:val="24"/>
          <w:sz w:val="22"/>
          <w:szCs w:val="18"/>
        </w:rPr>
        <w:t>in the next five largest population centers</w:t>
      </w:r>
      <w:r w:rsidR="002E1B0B">
        <w:rPr>
          <w:color w:val="000000"/>
          <w:kern w:val="24"/>
          <w:sz w:val="22"/>
          <w:szCs w:val="18"/>
        </w:rPr>
        <w:t>,</w:t>
      </w:r>
      <w:r w:rsidR="00832D14">
        <w:rPr>
          <w:color w:val="000000"/>
          <w:kern w:val="24"/>
          <w:sz w:val="22"/>
          <w:szCs w:val="18"/>
        </w:rPr>
        <w:t xml:space="preserve"> and </w:t>
      </w:r>
      <w:r w:rsidR="002E1B0B">
        <w:rPr>
          <w:color w:val="000000"/>
          <w:kern w:val="24"/>
          <w:sz w:val="22"/>
          <w:szCs w:val="18"/>
        </w:rPr>
        <w:t>30 megahertz (</w:t>
      </w:r>
      <w:r w:rsidRPr="00F30FCB">
        <w:rPr>
          <w:color w:val="000000"/>
          <w:kern w:val="24"/>
          <w:sz w:val="22"/>
          <w:szCs w:val="18"/>
        </w:rPr>
        <w:t>1710-1725 &amp; 1805-1820 MHz</w:t>
      </w:r>
      <w:r w:rsidR="002E1B0B">
        <w:rPr>
          <w:color w:val="000000"/>
          <w:kern w:val="24"/>
          <w:sz w:val="22"/>
          <w:szCs w:val="18"/>
        </w:rPr>
        <w:t>) is available</w:t>
      </w:r>
      <w:r w:rsidRPr="00F30FCB">
        <w:rPr>
          <w:color w:val="000000"/>
          <w:kern w:val="24"/>
          <w:sz w:val="22"/>
          <w:szCs w:val="18"/>
        </w:rPr>
        <w:t xml:space="preserve"> </w:t>
      </w:r>
      <w:r w:rsidR="00832D14">
        <w:rPr>
          <w:color w:val="000000"/>
          <w:kern w:val="24"/>
          <w:sz w:val="22"/>
          <w:szCs w:val="18"/>
        </w:rPr>
        <w:t>elsewhere</w:t>
      </w:r>
      <w:r w:rsidRPr="00F30FCB">
        <w:rPr>
          <w:color w:val="000000"/>
          <w:kern w:val="24"/>
          <w:sz w:val="22"/>
          <w:szCs w:val="18"/>
        </w:rPr>
        <w:t>.</w:t>
      </w:r>
    </w:p>
    <w:p w:rsidR="008B22B8" w:rsidRPr="00F30FCB" w:rsidRDefault="008B22B8" w:rsidP="005472B0">
      <w:pPr>
        <w:ind w:left="720" w:hanging="720"/>
        <w:rPr>
          <w:color w:val="000000"/>
          <w:kern w:val="24"/>
          <w:sz w:val="22"/>
          <w:szCs w:val="18"/>
        </w:rPr>
      </w:pPr>
      <w:r w:rsidRPr="00F30FCB">
        <w:rPr>
          <w:color w:val="000000"/>
          <w:kern w:val="24"/>
          <w:sz w:val="22"/>
          <w:szCs w:val="18"/>
        </w:rPr>
        <w:t>AU4.</w:t>
      </w:r>
      <w:r w:rsidRPr="00F30FCB">
        <w:rPr>
          <w:color w:val="000000"/>
          <w:kern w:val="24"/>
          <w:sz w:val="22"/>
          <w:szCs w:val="18"/>
        </w:rPr>
        <w:tab/>
        <w:t>Unpaired 1900-1920:  Spectrum licensed in capital cities only.  As in Europe, there is little demand for this band and ACMA removed the buildout requirements.</w:t>
      </w:r>
    </w:p>
    <w:p w:rsidR="008B22B8" w:rsidRPr="00F30FCB" w:rsidRDefault="008B22B8" w:rsidP="005472B0">
      <w:pPr>
        <w:ind w:left="720" w:hanging="720"/>
        <w:rPr>
          <w:color w:val="000000"/>
          <w:kern w:val="24"/>
          <w:sz w:val="22"/>
          <w:szCs w:val="18"/>
        </w:rPr>
      </w:pPr>
      <w:r w:rsidRPr="00F30FCB">
        <w:rPr>
          <w:color w:val="000000"/>
          <w:kern w:val="24"/>
          <w:sz w:val="22"/>
          <w:szCs w:val="18"/>
        </w:rPr>
        <w:t>AU5.</w:t>
      </w:r>
      <w:r w:rsidRPr="00F30FCB">
        <w:rPr>
          <w:color w:val="000000"/>
          <w:kern w:val="24"/>
          <w:sz w:val="22"/>
          <w:szCs w:val="18"/>
        </w:rPr>
        <w:tab/>
        <w:t xml:space="preserve">1920-1980 &amp; 2110-2170 MHz:  European IMT band used for 3G.  Full </w:t>
      </w:r>
      <w:r w:rsidR="00807BE4">
        <w:rPr>
          <w:color w:val="000000"/>
          <w:kern w:val="24"/>
          <w:sz w:val="22"/>
          <w:szCs w:val="18"/>
        </w:rPr>
        <w:t xml:space="preserve">120 megahertz </w:t>
      </w:r>
      <w:r w:rsidRPr="00F30FCB">
        <w:rPr>
          <w:color w:val="000000"/>
          <w:kern w:val="24"/>
          <w:sz w:val="22"/>
          <w:szCs w:val="18"/>
        </w:rPr>
        <w:t xml:space="preserve">is </w:t>
      </w:r>
      <w:r w:rsidR="00807BE4">
        <w:rPr>
          <w:color w:val="000000"/>
          <w:kern w:val="24"/>
          <w:sz w:val="22"/>
          <w:szCs w:val="18"/>
        </w:rPr>
        <w:t>available</w:t>
      </w:r>
      <w:r w:rsidR="00832D14">
        <w:rPr>
          <w:color w:val="000000"/>
          <w:kern w:val="24"/>
          <w:sz w:val="22"/>
          <w:szCs w:val="18"/>
        </w:rPr>
        <w:t xml:space="preserve"> only in Melbourne and Sydney</w:t>
      </w:r>
      <w:r w:rsidRPr="00F30FCB">
        <w:rPr>
          <w:color w:val="000000"/>
          <w:kern w:val="24"/>
          <w:sz w:val="22"/>
          <w:szCs w:val="18"/>
        </w:rPr>
        <w:t>.</w:t>
      </w:r>
      <w:r w:rsidR="00C07688">
        <w:rPr>
          <w:color w:val="000000"/>
          <w:kern w:val="24"/>
          <w:sz w:val="22"/>
          <w:szCs w:val="18"/>
        </w:rPr>
        <w:t xml:space="preserve">  </w:t>
      </w:r>
      <w:r w:rsidR="00807BE4">
        <w:rPr>
          <w:color w:val="000000"/>
          <w:kern w:val="24"/>
          <w:sz w:val="22"/>
          <w:szCs w:val="18"/>
        </w:rPr>
        <w:t xml:space="preserve">110 megahertz (all except </w:t>
      </w:r>
      <w:r w:rsidR="00F80FC6">
        <w:rPr>
          <w:color w:val="000000"/>
          <w:kern w:val="24"/>
          <w:sz w:val="22"/>
          <w:szCs w:val="18"/>
        </w:rPr>
        <w:t>1930-1935 &amp; 2120-2125 MHz)</w:t>
      </w:r>
      <w:r w:rsidR="00807BE4">
        <w:rPr>
          <w:color w:val="000000"/>
          <w:kern w:val="24"/>
          <w:sz w:val="22"/>
          <w:szCs w:val="18"/>
        </w:rPr>
        <w:t xml:space="preserve"> </w:t>
      </w:r>
      <w:r w:rsidR="00C07688">
        <w:rPr>
          <w:color w:val="000000"/>
          <w:kern w:val="24"/>
          <w:sz w:val="22"/>
          <w:szCs w:val="18"/>
        </w:rPr>
        <w:t>is available in Ad</w:t>
      </w:r>
      <w:r w:rsidR="002E1B0B">
        <w:rPr>
          <w:color w:val="000000"/>
          <w:kern w:val="24"/>
          <w:sz w:val="22"/>
          <w:szCs w:val="18"/>
        </w:rPr>
        <w:t>e</w:t>
      </w:r>
      <w:r w:rsidR="00C07688">
        <w:rPr>
          <w:color w:val="000000"/>
          <w:kern w:val="24"/>
          <w:sz w:val="22"/>
          <w:szCs w:val="18"/>
        </w:rPr>
        <w:t xml:space="preserve">laide, Brisbane and Perth; </w:t>
      </w:r>
      <w:r w:rsidR="00807BE4">
        <w:rPr>
          <w:color w:val="000000"/>
          <w:kern w:val="24"/>
          <w:sz w:val="22"/>
          <w:szCs w:val="18"/>
        </w:rPr>
        <w:t xml:space="preserve">and </w:t>
      </w:r>
      <w:r w:rsidR="00F80FC6">
        <w:rPr>
          <w:color w:val="000000"/>
          <w:kern w:val="24"/>
          <w:sz w:val="22"/>
          <w:szCs w:val="18"/>
        </w:rPr>
        <w:t>9</w:t>
      </w:r>
      <w:r w:rsidR="002E1B0B">
        <w:rPr>
          <w:color w:val="000000"/>
          <w:kern w:val="24"/>
          <w:sz w:val="22"/>
          <w:szCs w:val="18"/>
        </w:rPr>
        <w:t>0 megahertz (</w:t>
      </w:r>
      <w:r w:rsidR="00C07688">
        <w:rPr>
          <w:color w:val="000000"/>
          <w:kern w:val="24"/>
          <w:sz w:val="22"/>
          <w:szCs w:val="18"/>
        </w:rPr>
        <w:t>1935-1980 &amp; 2125-2170 MHz</w:t>
      </w:r>
      <w:r w:rsidR="002E1B0B">
        <w:rPr>
          <w:color w:val="000000"/>
          <w:kern w:val="24"/>
          <w:sz w:val="22"/>
          <w:szCs w:val="18"/>
        </w:rPr>
        <w:t>) is available</w:t>
      </w:r>
      <w:r w:rsidR="00C07688">
        <w:rPr>
          <w:color w:val="000000"/>
          <w:kern w:val="24"/>
          <w:sz w:val="22"/>
          <w:szCs w:val="18"/>
        </w:rPr>
        <w:t xml:space="preserve"> in Canberra, Darwin and Hobart</w:t>
      </w:r>
      <w:r w:rsidR="00807BE4">
        <w:rPr>
          <w:color w:val="000000"/>
          <w:kern w:val="24"/>
          <w:sz w:val="22"/>
          <w:szCs w:val="18"/>
        </w:rPr>
        <w:t>.  In the rest of the country,</w:t>
      </w:r>
      <w:r w:rsidR="00C07688">
        <w:rPr>
          <w:color w:val="000000"/>
          <w:kern w:val="24"/>
          <w:sz w:val="22"/>
          <w:szCs w:val="18"/>
        </w:rPr>
        <w:t xml:space="preserve"> </w:t>
      </w:r>
      <w:r w:rsidR="002E1B0B">
        <w:rPr>
          <w:color w:val="000000"/>
          <w:kern w:val="24"/>
          <w:sz w:val="22"/>
          <w:szCs w:val="18"/>
        </w:rPr>
        <w:t>40 megahertz (</w:t>
      </w:r>
      <w:r w:rsidR="00C07688">
        <w:rPr>
          <w:color w:val="000000"/>
          <w:kern w:val="24"/>
          <w:sz w:val="22"/>
          <w:szCs w:val="18"/>
        </w:rPr>
        <w:t>1960-1980 &amp; 2150-2170 MHz</w:t>
      </w:r>
      <w:r w:rsidR="002E1B0B">
        <w:rPr>
          <w:color w:val="000000"/>
          <w:kern w:val="24"/>
          <w:sz w:val="22"/>
          <w:szCs w:val="18"/>
        </w:rPr>
        <w:t>)</w:t>
      </w:r>
      <w:r w:rsidR="00C07688">
        <w:rPr>
          <w:color w:val="000000"/>
          <w:kern w:val="24"/>
          <w:sz w:val="22"/>
          <w:szCs w:val="18"/>
        </w:rPr>
        <w:t xml:space="preserve"> </w:t>
      </w:r>
      <w:r w:rsidR="002E1B0B">
        <w:rPr>
          <w:color w:val="000000"/>
          <w:kern w:val="24"/>
          <w:sz w:val="22"/>
          <w:szCs w:val="18"/>
        </w:rPr>
        <w:t>is available</w:t>
      </w:r>
      <w:r w:rsidR="00C07688">
        <w:rPr>
          <w:color w:val="000000"/>
          <w:kern w:val="24"/>
          <w:sz w:val="22"/>
          <w:szCs w:val="18"/>
        </w:rPr>
        <w:t>.</w:t>
      </w:r>
    </w:p>
    <w:p w:rsidR="008B22B8" w:rsidRPr="00F30FCB" w:rsidRDefault="008B22B8" w:rsidP="005472B0">
      <w:pPr>
        <w:ind w:left="720" w:hanging="720"/>
        <w:rPr>
          <w:color w:val="000000"/>
          <w:kern w:val="24"/>
          <w:sz w:val="22"/>
          <w:szCs w:val="18"/>
        </w:rPr>
      </w:pPr>
      <w:r w:rsidRPr="00F30FCB">
        <w:rPr>
          <w:color w:val="000000"/>
          <w:kern w:val="24"/>
          <w:sz w:val="22"/>
          <w:szCs w:val="18"/>
        </w:rPr>
        <w:t>AU6.</w:t>
      </w:r>
      <w:r w:rsidRPr="00F30FCB">
        <w:rPr>
          <w:color w:val="000000"/>
          <w:kern w:val="24"/>
          <w:sz w:val="22"/>
          <w:szCs w:val="18"/>
        </w:rPr>
        <w:tab/>
        <w:t>Unpaired 2302-2400 MHz:  Used for TDD.</w:t>
      </w:r>
    </w:p>
    <w:p w:rsidR="008B22B8" w:rsidRPr="00F30FCB" w:rsidRDefault="008B22B8" w:rsidP="005472B0">
      <w:pPr>
        <w:ind w:left="720" w:hanging="720"/>
        <w:rPr>
          <w:color w:val="000000"/>
          <w:kern w:val="24"/>
          <w:sz w:val="22"/>
          <w:szCs w:val="18"/>
        </w:rPr>
      </w:pPr>
      <w:r w:rsidRPr="00F30FCB">
        <w:rPr>
          <w:color w:val="000000"/>
          <w:kern w:val="24"/>
          <w:sz w:val="22"/>
          <w:szCs w:val="18"/>
        </w:rPr>
        <w:t>AU7.</w:t>
      </w:r>
      <w:r w:rsidRPr="00F30FCB">
        <w:rPr>
          <w:color w:val="000000"/>
          <w:kern w:val="24"/>
          <w:sz w:val="22"/>
          <w:szCs w:val="18"/>
        </w:rPr>
        <w:tab/>
        <w:t>703-748 &amp; 758-803 MHz:  Australia was among the first countries to commit to the APT band plan for 700 MHz.  An auction is planned for early 2013.</w:t>
      </w:r>
    </w:p>
    <w:p w:rsidR="008B22B8" w:rsidRPr="00F30FCB" w:rsidRDefault="008B22B8" w:rsidP="005472B0">
      <w:pPr>
        <w:ind w:left="720" w:hanging="720"/>
        <w:rPr>
          <w:color w:val="000000"/>
          <w:kern w:val="24"/>
          <w:sz w:val="22"/>
          <w:szCs w:val="18"/>
        </w:rPr>
      </w:pPr>
      <w:r w:rsidRPr="00F30FCB">
        <w:rPr>
          <w:color w:val="000000"/>
          <w:kern w:val="24"/>
          <w:sz w:val="22"/>
          <w:szCs w:val="18"/>
        </w:rPr>
        <w:t>AU8.</w:t>
      </w:r>
      <w:r w:rsidRPr="00F30FCB">
        <w:rPr>
          <w:color w:val="000000"/>
          <w:kern w:val="24"/>
          <w:sz w:val="22"/>
          <w:szCs w:val="18"/>
        </w:rPr>
        <w:tab/>
        <w:t>2500-2570 &amp; 2620-2680 MHz:  The FDD portion of the European 2.6 GHz band will also be auctioned in early 2013.</w:t>
      </w:r>
    </w:p>
    <w:p w:rsidR="008B22B8" w:rsidRPr="00F30FCB" w:rsidRDefault="008B22B8" w:rsidP="005472B0">
      <w:pPr>
        <w:ind w:left="720" w:hanging="720"/>
        <w:rPr>
          <w:color w:val="000000"/>
          <w:kern w:val="24"/>
          <w:sz w:val="22"/>
          <w:szCs w:val="18"/>
        </w:rPr>
      </w:pPr>
      <w:r w:rsidRPr="00F30FCB">
        <w:rPr>
          <w:color w:val="000000"/>
          <w:kern w:val="24"/>
          <w:sz w:val="22"/>
          <w:szCs w:val="18"/>
        </w:rPr>
        <w:t>AU9.</w:t>
      </w:r>
      <w:r w:rsidRPr="00F30FCB">
        <w:rPr>
          <w:color w:val="000000"/>
          <w:kern w:val="24"/>
          <w:sz w:val="22"/>
          <w:szCs w:val="18"/>
        </w:rPr>
        <w:tab/>
      </w:r>
      <w:r w:rsidR="00BD52A3" w:rsidRPr="00F30FCB">
        <w:rPr>
          <w:color w:val="000000"/>
          <w:kern w:val="24"/>
          <w:sz w:val="22"/>
          <w:szCs w:val="18"/>
        </w:rPr>
        <w:t>In addition to the 230 megahertz shown</w:t>
      </w:r>
      <w:r w:rsidR="00BF06A9" w:rsidRPr="00F30FCB">
        <w:rPr>
          <w:color w:val="000000"/>
          <w:kern w:val="24"/>
          <w:sz w:val="22"/>
          <w:szCs w:val="18"/>
        </w:rPr>
        <w:t xml:space="preserve"> in the table</w:t>
      </w:r>
      <w:r w:rsidR="00BD52A3" w:rsidRPr="00F30FCB">
        <w:rPr>
          <w:color w:val="000000"/>
          <w:kern w:val="24"/>
          <w:sz w:val="22"/>
          <w:szCs w:val="18"/>
        </w:rPr>
        <w:t>, s</w:t>
      </w:r>
      <w:r w:rsidRPr="00F30FCB">
        <w:rPr>
          <w:color w:val="000000"/>
          <w:kern w:val="24"/>
          <w:sz w:val="22"/>
          <w:szCs w:val="18"/>
        </w:rPr>
        <w:t xml:space="preserve">everal other bands may potentially become available in Australia:  All or part of 805-825 &amp; 850-870 MHz is being considered by ACMA via consultation to be converted to mobile broadband expansion spectrum.  In addition, Australia is watching progress of the unpaired 2010-2025 MHz band in the rest of the world but is also considering it for Electronic News Gathering in urban areas.  Finally, the unpaired 2570-2620 MHz band is currently used for ENG, but Australia has proposed designating the 2.5 GHz mid-band gap for spectrum licensing and is in the process of determining whether this is in public interest. </w:t>
      </w:r>
    </w:p>
    <w:p w:rsidR="008B22B8" w:rsidRPr="00F30FCB" w:rsidRDefault="008B22B8" w:rsidP="005472B0">
      <w:pPr>
        <w:rPr>
          <w:color w:val="000000"/>
          <w:kern w:val="24"/>
          <w:sz w:val="22"/>
          <w:szCs w:val="18"/>
        </w:rPr>
      </w:pPr>
    </w:p>
    <w:p w:rsidR="008B22B8" w:rsidRPr="00F30FCB" w:rsidRDefault="008B22B8" w:rsidP="005472B0">
      <w:pPr>
        <w:ind w:left="720" w:hanging="720"/>
        <w:rPr>
          <w:color w:val="000000"/>
          <w:kern w:val="24"/>
          <w:sz w:val="22"/>
          <w:szCs w:val="18"/>
          <w:u w:val="single"/>
        </w:rPr>
      </w:pPr>
      <w:r w:rsidRPr="00F30FCB">
        <w:rPr>
          <w:color w:val="000000"/>
          <w:kern w:val="24"/>
          <w:sz w:val="22"/>
          <w:szCs w:val="18"/>
          <w:u w:val="single"/>
        </w:rPr>
        <w:t>Brazil</w:t>
      </w:r>
    </w:p>
    <w:p w:rsidR="008B22B8" w:rsidRPr="00F30FCB" w:rsidRDefault="008B22B8" w:rsidP="005472B0">
      <w:pPr>
        <w:ind w:left="720" w:hanging="720"/>
        <w:rPr>
          <w:color w:val="000000"/>
          <w:kern w:val="24"/>
          <w:sz w:val="22"/>
          <w:szCs w:val="18"/>
          <w:u w:val="single"/>
        </w:rPr>
      </w:pPr>
    </w:p>
    <w:p w:rsidR="008B22B8" w:rsidRPr="00F30FCB" w:rsidRDefault="008B22B8" w:rsidP="005472B0">
      <w:pPr>
        <w:ind w:left="720" w:hanging="720"/>
        <w:rPr>
          <w:color w:val="000000"/>
          <w:kern w:val="24"/>
          <w:sz w:val="22"/>
          <w:szCs w:val="18"/>
        </w:rPr>
      </w:pPr>
      <w:r w:rsidRPr="00F30FCB">
        <w:rPr>
          <w:color w:val="000000"/>
          <w:kern w:val="24"/>
          <w:sz w:val="22"/>
          <w:szCs w:val="18"/>
        </w:rPr>
        <w:t>B1.</w:t>
      </w:r>
      <w:r w:rsidRPr="00F30FCB">
        <w:rPr>
          <w:color w:val="000000"/>
          <w:kern w:val="24"/>
          <w:sz w:val="22"/>
          <w:szCs w:val="18"/>
        </w:rPr>
        <w:tab/>
        <w:t>451-458 &amp; 461-468 MHz:  Brazil’s recent auction of 2.5 GHz spectrum included this band for the purpose of expanding wireless voice and data services to Brazil’s rural population of 30M.  The band received no bids, but the auction included a provision that allocated the full band to winners of 2.5 GHz in different geographic areas.  The band has extensive coverage obligations</w:t>
      </w:r>
      <w:r w:rsidR="00163F12" w:rsidRPr="00F30FCB">
        <w:rPr>
          <w:color w:val="000000"/>
          <w:kern w:val="24"/>
          <w:sz w:val="22"/>
          <w:szCs w:val="18"/>
        </w:rPr>
        <w:t xml:space="preserve"> and standardization of the band for LTE was recently initiated in 3GPP</w:t>
      </w:r>
      <w:r w:rsidRPr="00F30FCB">
        <w:rPr>
          <w:color w:val="000000"/>
          <w:kern w:val="24"/>
          <w:sz w:val="22"/>
          <w:szCs w:val="18"/>
        </w:rPr>
        <w:t>.</w:t>
      </w:r>
    </w:p>
    <w:p w:rsidR="008B22B8" w:rsidRPr="00F30FCB" w:rsidRDefault="008B22B8" w:rsidP="005472B0">
      <w:pPr>
        <w:ind w:left="720" w:hanging="720"/>
        <w:rPr>
          <w:color w:val="000000"/>
          <w:kern w:val="24"/>
          <w:sz w:val="22"/>
          <w:szCs w:val="18"/>
        </w:rPr>
      </w:pPr>
      <w:r w:rsidRPr="00F30FCB">
        <w:rPr>
          <w:color w:val="000000"/>
          <w:kern w:val="24"/>
          <w:sz w:val="22"/>
          <w:szCs w:val="18"/>
        </w:rPr>
        <w:t>B2.</w:t>
      </w:r>
      <w:r w:rsidRPr="00F30FCB">
        <w:rPr>
          <w:color w:val="000000"/>
          <w:kern w:val="24"/>
          <w:sz w:val="22"/>
          <w:szCs w:val="18"/>
        </w:rPr>
        <w:tab/>
        <w:t xml:space="preserve">824-849 &amp; 869-894 MHz and 806-813.5 &amp; 851-858.5 MHz:  Brazil follows the </w:t>
      </w:r>
      <w:r w:rsidR="00981DE3">
        <w:rPr>
          <w:color w:val="000000"/>
          <w:kern w:val="24"/>
          <w:sz w:val="22"/>
          <w:szCs w:val="18"/>
        </w:rPr>
        <w:t>US</w:t>
      </w:r>
      <w:r w:rsidRPr="00F30FCB">
        <w:rPr>
          <w:color w:val="000000"/>
          <w:kern w:val="24"/>
          <w:sz w:val="22"/>
          <w:szCs w:val="18"/>
        </w:rPr>
        <w:t xml:space="preserve"> cellular plan and </w:t>
      </w:r>
      <w:r w:rsidR="00163F12" w:rsidRPr="00F30FCB">
        <w:rPr>
          <w:color w:val="000000"/>
          <w:kern w:val="24"/>
          <w:sz w:val="22"/>
          <w:szCs w:val="18"/>
        </w:rPr>
        <w:t xml:space="preserve">also </w:t>
      </w:r>
      <w:r w:rsidRPr="00F30FCB">
        <w:rPr>
          <w:color w:val="000000"/>
          <w:kern w:val="24"/>
          <w:sz w:val="22"/>
          <w:szCs w:val="18"/>
        </w:rPr>
        <w:t>uses part of the SMR band for commercial services.</w:t>
      </w:r>
    </w:p>
    <w:p w:rsidR="008B22B8" w:rsidRPr="00F30FCB" w:rsidRDefault="008B22B8" w:rsidP="005472B0">
      <w:pPr>
        <w:ind w:left="720" w:hanging="720"/>
        <w:rPr>
          <w:color w:val="000000"/>
          <w:kern w:val="24"/>
          <w:sz w:val="22"/>
          <w:szCs w:val="18"/>
        </w:rPr>
      </w:pPr>
      <w:r w:rsidRPr="00F30FCB">
        <w:rPr>
          <w:color w:val="000000"/>
          <w:kern w:val="24"/>
          <w:sz w:val="22"/>
          <w:szCs w:val="18"/>
        </w:rPr>
        <w:t>B3.</w:t>
      </w:r>
      <w:r w:rsidRPr="00F30FCB">
        <w:rPr>
          <w:color w:val="000000"/>
          <w:kern w:val="24"/>
          <w:sz w:val="22"/>
          <w:szCs w:val="18"/>
        </w:rPr>
        <w:tab/>
        <w:t>898.5-901 &amp; 943.5-946 MHz and 907.5-915 &amp; 952.5-960 MHz:  Brazil uses part of the European 900 MHz band as “extension bands” and blocks of 900 MHz are co-licensed with 1800 MHz licenses (</w:t>
      </w:r>
      <w:r w:rsidRPr="00F30FCB">
        <w:rPr>
          <w:i/>
          <w:color w:val="000000"/>
          <w:kern w:val="24"/>
          <w:sz w:val="22"/>
          <w:szCs w:val="18"/>
        </w:rPr>
        <w:t>i.e</w:t>
      </w:r>
      <w:r w:rsidRPr="00F30FCB">
        <w:rPr>
          <w:color w:val="000000"/>
          <w:kern w:val="24"/>
          <w:sz w:val="22"/>
          <w:szCs w:val="18"/>
        </w:rPr>
        <w:t>., the “D” and “E” blocks).  The band is currently used for GSM.</w:t>
      </w:r>
    </w:p>
    <w:p w:rsidR="008B22B8" w:rsidRPr="00F30FCB" w:rsidRDefault="008B22B8" w:rsidP="005472B0">
      <w:pPr>
        <w:ind w:left="720" w:hanging="720"/>
        <w:rPr>
          <w:color w:val="000000"/>
          <w:kern w:val="24"/>
          <w:sz w:val="22"/>
          <w:szCs w:val="18"/>
        </w:rPr>
      </w:pPr>
      <w:r w:rsidRPr="00F30FCB">
        <w:rPr>
          <w:color w:val="000000"/>
          <w:kern w:val="24"/>
          <w:sz w:val="22"/>
          <w:szCs w:val="18"/>
        </w:rPr>
        <w:t>B4.</w:t>
      </w:r>
      <w:r w:rsidRPr="00F30FCB">
        <w:rPr>
          <w:color w:val="000000"/>
          <w:kern w:val="24"/>
          <w:sz w:val="22"/>
          <w:szCs w:val="18"/>
        </w:rPr>
        <w:tab/>
        <w:t>1710-1785 &amp; 1805-1880 MHz:  Brazil uses the entire European 1800 MHz band for both 2G GSM and 3G UMTS/HSPA  services.</w:t>
      </w:r>
    </w:p>
    <w:p w:rsidR="008B22B8" w:rsidRPr="00F30FCB" w:rsidRDefault="008B22B8" w:rsidP="005472B0">
      <w:pPr>
        <w:ind w:left="720" w:hanging="720"/>
        <w:rPr>
          <w:color w:val="000000"/>
          <w:kern w:val="24"/>
          <w:sz w:val="22"/>
          <w:szCs w:val="18"/>
        </w:rPr>
      </w:pPr>
      <w:r w:rsidRPr="00F30FCB">
        <w:rPr>
          <w:color w:val="000000"/>
          <w:kern w:val="24"/>
          <w:sz w:val="22"/>
          <w:szCs w:val="18"/>
        </w:rPr>
        <w:t>B5.</w:t>
      </w:r>
      <w:r w:rsidRPr="00F30FCB">
        <w:rPr>
          <w:color w:val="000000"/>
          <w:kern w:val="24"/>
          <w:sz w:val="22"/>
          <w:szCs w:val="18"/>
        </w:rPr>
        <w:tab/>
        <w:t xml:space="preserve">Unpaired 1885-1895 MHz and paired 1895-1900 &amp; 1975-1980:  We have characterized this spectrum as “current” despite </w:t>
      </w:r>
      <w:r w:rsidR="00163F12" w:rsidRPr="00F30FCB">
        <w:rPr>
          <w:color w:val="000000"/>
          <w:kern w:val="24"/>
          <w:sz w:val="22"/>
          <w:szCs w:val="18"/>
        </w:rPr>
        <w:t xml:space="preserve">lack of </w:t>
      </w:r>
      <w:r w:rsidRPr="00F30FCB">
        <w:rPr>
          <w:color w:val="000000"/>
          <w:kern w:val="24"/>
          <w:sz w:val="22"/>
          <w:szCs w:val="18"/>
        </w:rPr>
        <w:t xml:space="preserve">evidence that it is auctioned and/or used.  The unpaired band is shown in Anatel documents as “extension” TDD spectrum, and the paired portion is Brazil’s “L” block that aligns with the US PCS band.  However, there are potential interference </w:t>
      </w:r>
      <w:r w:rsidRPr="00F30FCB">
        <w:rPr>
          <w:color w:val="000000"/>
          <w:kern w:val="24"/>
          <w:sz w:val="22"/>
          <w:szCs w:val="18"/>
        </w:rPr>
        <w:lastRenderedPageBreak/>
        <w:t>issues in both segments given the TDD/FDD adjacency at 1895 MHz and the uplink/ downlink adjacency at 1975 MHz, so practical use of these bands is questionable.</w:t>
      </w:r>
    </w:p>
    <w:p w:rsidR="008B22B8" w:rsidRPr="00F30FCB" w:rsidRDefault="008B22B8" w:rsidP="005472B0">
      <w:pPr>
        <w:ind w:left="720" w:hanging="720"/>
        <w:rPr>
          <w:color w:val="000000"/>
          <w:kern w:val="24"/>
          <w:sz w:val="22"/>
          <w:szCs w:val="18"/>
        </w:rPr>
      </w:pPr>
      <w:r w:rsidRPr="00F30FCB">
        <w:rPr>
          <w:color w:val="000000"/>
          <w:kern w:val="24"/>
          <w:sz w:val="22"/>
          <w:szCs w:val="18"/>
        </w:rPr>
        <w:t>B6.</w:t>
      </w:r>
      <w:r w:rsidRPr="00F30FCB">
        <w:rPr>
          <w:color w:val="000000"/>
          <w:kern w:val="24"/>
          <w:sz w:val="22"/>
          <w:szCs w:val="18"/>
        </w:rPr>
        <w:tab/>
        <w:t>1920-1975 &amp; 2110-2165 MHz: Brazil uses all but 5+5 megahertz of the European 3G IMT band for UMTS/HSPA service.</w:t>
      </w:r>
    </w:p>
    <w:p w:rsidR="008B22B8" w:rsidRPr="004E0BB7" w:rsidRDefault="008B22B8" w:rsidP="005472B0">
      <w:pPr>
        <w:ind w:left="720" w:hanging="720"/>
        <w:rPr>
          <w:color w:val="000000"/>
          <w:kern w:val="24"/>
          <w:sz w:val="22"/>
          <w:szCs w:val="18"/>
        </w:rPr>
      </w:pPr>
      <w:r w:rsidRPr="00F30FCB">
        <w:rPr>
          <w:color w:val="000000"/>
          <w:kern w:val="24"/>
          <w:sz w:val="22"/>
          <w:szCs w:val="18"/>
        </w:rPr>
        <w:t>B7.</w:t>
      </w:r>
      <w:r w:rsidRPr="00F30FCB">
        <w:rPr>
          <w:color w:val="000000"/>
          <w:kern w:val="24"/>
          <w:sz w:val="22"/>
          <w:szCs w:val="18"/>
        </w:rPr>
        <w:tab/>
      </w:r>
      <w:r w:rsidRPr="001F1BB1">
        <w:rPr>
          <w:color w:val="000000"/>
          <w:sz w:val="22"/>
          <w:szCs w:val="21"/>
        </w:rPr>
        <w:t>2500-2570 &amp; 2620-2690 MHz FDD and unpaired 2585-2620 MHz TDD:  Anatel completed an auction of these frequencies in June 2012.  While most of the FDD licenses are nationwide (</w:t>
      </w:r>
      <w:r w:rsidRPr="001F1BB1">
        <w:rPr>
          <w:i/>
          <w:color w:val="000000"/>
          <w:sz w:val="22"/>
          <w:szCs w:val="21"/>
        </w:rPr>
        <w:t>i.e</w:t>
      </w:r>
      <w:r w:rsidRPr="001F1BB1">
        <w:rPr>
          <w:color w:val="000000"/>
          <w:sz w:val="22"/>
          <w:szCs w:val="21"/>
        </w:rPr>
        <w:t>., 60+60 megahertz of the 70+70 megahertz total FDD</w:t>
      </w:r>
      <w:r w:rsidR="00163F12" w:rsidRPr="001F1BB1">
        <w:rPr>
          <w:color w:val="000000"/>
          <w:sz w:val="22"/>
          <w:szCs w:val="21"/>
        </w:rPr>
        <w:t xml:space="preserve"> are nationwide licenses</w:t>
      </w:r>
      <w:r w:rsidRPr="001F1BB1">
        <w:rPr>
          <w:color w:val="000000"/>
          <w:sz w:val="22"/>
          <w:szCs w:val="21"/>
        </w:rPr>
        <w:t>), the TDD license</w:t>
      </w:r>
      <w:r w:rsidR="00163F12" w:rsidRPr="001F1BB1">
        <w:rPr>
          <w:color w:val="000000"/>
          <w:sz w:val="22"/>
          <w:szCs w:val="21"/>
        </w:rPr>
        <w:t>s</w:t>
      </w:r>
      <w:r w:rsidRPr="001F1BB1">
        <w:rPr>
          <w:color w:val="000000"/>
          <w:sz w:val="22"/>
          <w:szCs w:val="21"/>
        </w:rPr>
        <w:t xml:space="preserve"> were offered regionally</w:t>
      </w:r>
      <w:r w:rsidR="00163F12" w:rsidRPr="001F1BB1">
        <w:rPr>
          <w:color w:val="000000"/>
          <w:sz w:val="22"/>
          <w:szCs w:val="21"/>
        </w:rPr>
        <w:t>, presumably because</w:t>
      </w:r>
      <w:r w:rsidRPr="001F1BB1">
        <w:rPr>
          <w:color w:val="000000"/>
          <w:sz w:val="22"/>
          <w:szCs w:val="21"/>
        </w:rPr>
        <w:t xml:space="preserve"> th</w:t>
      </w:r>
      <w:r w:rsidR="00163F12" w:rsidRPr="001F1BB1">
        <w:rPr>
          <w:color w:val="000000"/>
          <w:sz w:val="22"/>
          <w:szCs w:val="21"/>
        </w:rPr>
        <w:t xml:space="preserve">is </w:t>
      </w:r>
      <w:r w:rsidRPr="001F1BB1">
        <w:rPr>
          <w:color w:val="000000"/>
          <w:sz w:val="22"/>
          <w:szCs w:val="21"/>
        </w:rPr>
        <w:t xml:space="preserve">part of the band is heavily encumbered by MMDS and government use.  Because of </w:t>
      </w:r>
      <w:r w:rsidR="00163F12" w:rsidRPr="001F1BB1">
        <w:rPr>
          <w:color w:val="000000"/>
          <w:sz w:val="22"/>
          <w:szCs w:val="21"/>
        </w:rPr>
        <w:t>these encumbrances</w:t>
      </w:r>
      <w:r w:rsidRPr="001F1BB1">
        <w:rPr>
          <w:color w:val="000000"/>
          <w:sz w:val="22"/>
          <w:szCs w:val="21"/>
        </w:rPr>
        <w:t xml:space="preserve">, TDD licenses in major cities generally excluded the major population centers.  Thus the </w:t>
      </w:r>
      <w:r w:rsidR="00BF06A9" w:rsidRPr="001F1BB1">
        <w:rPr>
          <w:color w:val="000000"/>
          <w:sz w:val="22"/>
          <w:szCs w:val="21"/>
        </w:rPr>
        <w:t xml:space="preserve">TDD </w:t>
      </w:r>
      <w:r w:rsidRPr="001F1BB1">
        <w:rPr>
          <w:color w:val="000000"/>
          <w:sz w:val="22"/>
          <w:szCs w:val="21"/>
        </w:rPr>
        <w:t xml:space="preserve">“U” block licenses that sold cover only about 11% of the population.  Regardless, the 35 megahertz “U” block is considered “current” spectrum in Brazil for our purposes.  Similarly, the 10+10 megahertz </w:t>
      </w:r>
      <w:r w:rsidR="00163F12" w:rsidRPr="001F1BB1">
        <w:rPr>
          <w:color w:val="000000"/>
          <w:sz w:val="22"/>
          <w:szCs w:val="21"/>
        </w:rPr>
        <w:t xml:space="preserve">FDD </w:t>
      </w:r>
      <w:r w:rsidRPr="001F1BB1">
        <w:rPr>
          <w:color w:val="000000"/>
          <w:sz w:val="22"/>
          <w:szCs w:val="21"/>
        </w:rPr>
        <w:t>“P” block (2500-2510 &amp; 2620-2630 MHz) was offered regionally and the licenses that sold cover about 30% of the population.</w:t>
      </w:r>
      <w:r w:rsidR="00DA2700" w:rsidRPr="001F1BB1">
        <w:rPr>
          <w:color w:val="000000"/>
          <w:sz w:val="22"/>
          <w:szCs w:val="21"/>
        </w:rPr>
        <w:t xml:space="preserve">  Again, for our purposes we consider the “P” block “current” spectrum.</w:t>
      </w:r>
      <w:r w:rsidRPr="004E0BB7">
        <w:rPr>
          <w:color w:val="000000"/>
          <w:kern w:val="24"/>
          <w:sz w:val="22"/>
          <w:szCs w:val="18"/>
        </w:rPr>
        <w:t xml:space="preserve"> </w:t>
      </w:r>
    </w:p>
    <w:p w:rsidR="008B22B8" w:rsidRPr="00F30FCB" w:rsidRDefault="008B22B8" w:rsidP="005472B0">
      <w:pPr>
        <w:ind w:left="720" w:hanging="720"/>
        <w:rPr>
          <w:color w:val="000000"/>
          <w:kern w:val="24"/>
          <w:sz w:val="22"/>
          <w:szCs w:val="18"/>
        </w:rPr>
      </w:pPr>
      <w:r w:rsidRPr="004E0BB7">
        <w:rPr>
          <w:color w:val="000000"/>
          <w:kern w:val="24"/>
          <w:sz w:val="22"/>
          <w:szCs w:val="18"/>
        </w:rPr>
        <w:t>B8.</w:t>
      </w:r>
      <w:r w:rsidRPr="004E0BB7">
        <w:rPr>
          <w:color w:val="000000"/>
          <w:kern w:val="24"/>
          <w:sz w:val="22"/>
          <w:szCs w:val="18"/>
        </w:rPr>
        <w:tab/>
        <w:t xml:space="preserve">Although we have listed no “pipeline” spectrum for Brazil, there are several bands that may potentially become available:  For example, Brazil’s DTV transition is not scheduled to </w:t>
      </w:r>
      <w:r w:rsidR="00297202">
        <w:rPr>
          <w:color w:val="000000"/>
          <w:kern w:val="24"/>
          <w:sz w:val="22"/>
          <w:szCs w:val="18"/>
        </w:rPr>
        <w:t xml:space="preserve">be </w:t>
      </w:r>
      <w:r w:rsidRPr="004E0BB7">
        <w:rPr>
          <w:color w:val="000000"/>
          <w:kern w:val="24"/>
          <w:sz w:val="22"/>
          <w:szCs w:val="18"/>
        </w:rPr>
        <w:t>complete</w:t>
      </w:r>
      <w:r w:rsidR="00297202">
        <w:rPr>
          <w:color w:val="000000"/>
          <w:kern w:val="24"/>
          <w:sz w:val="22"/>
          <w:szCs w:val="18"/>
        </w:rPr>
        <w:t>d</w:t>
      </w:r>
      <w:r w:rsidRPr="004E0BB7">
        <w:rPr>
          <w:color w:val="000000"/>
          <w:kern w:val="24"/>
          <w:sz w:val="22"/>
          <w:szCs w:val="18"/>
        </w:rPr>
        <w:t xml:space="preserve"> until June 2016, so 703-748 &amp; 758-803 MHz should become available just outside the three-year window we defined for “pipeline” spectrum.  We expect that Brazil will adopt the APT band plan for FDD at 700 MHz.  Also, 901-907.5 &amp; 946-952.5 represents a gap in Brazil’s 900 MHz band and it is possible that Anatel will eventually clear this gap.  If it is not cleared, broadband deployments in this band will be very limited in the f</w:t>
      </w:r>
      <w:r w:rsidRPr="00517F24">
        <w:rPr>
          <w:color w:val="000000"/>
          <w:kern w:val="24"/>
          <w:sz w:val="22"/>
          <w:szCs w:val="18"/>
        </w:rPr>
        <w:t>uture.  Lastly,</w:t>
      </w:r>
      <w:r w:rsidR="00BF06A9" w:rsidRPr="00517F24">
        <w:rPr>
          <w:color w:val="000000"/>
          <w:kern w:val="24"/>
          <w:sz w:val="22"/>
          <w:szCs w:val="18"/>
        </w:rPr>
        <w:t xml:space="preserve"> we note</w:t>
      </w:r>
      <w:r w:rsidRPr="00A31115">
        <w:rPr>
          <w:color w:val="000000"/>
          <w:kern w:val="24"/>
          <w:sz w:val="22"/>
          <w:szCs w:val="18"/>
        </w:rPr>
        <w:t xml:space="preserve"> the unpaired 2570-2585 MHz band</w:t>
      </w:r>
      <w:r w:rsidR="00BF06A9" w:rsidRPr="00590B77">
        <w:rPr>
          <w:color w:val="000000"/>
          <w:kern w:val="24"/>
          <w:sz w:val="22"/>
          <w:szCs w:val="18"/>
        </w:rPr>
        <w:t>, which received no bids in the June 2012 auction</w:t>
      </w:r>
      <w:r w:rsidRPr="008B2B2D">
        <w:rPr>
          <w:color w:val="000000"/>
          <w:kern w:val="24"/>
          <w:sz w:val="22"/>
          <w:szCs w:val="18"/>
        </w:rPr>
        <w:t xml:space="preserve"> </w:t>
      </w:r>
      <w:r w:rsidR="00BF06A9" w:rsidRPr="00C36F95">
        <w:rPr>
          <w:color w:val="000000"/>
          <w:kern w:val="24"/>
          <w:sz w:val="22"/>
          <w:szCs w:val="18"/>
        </w:rPr>
        <w:t xml:space="preserve">where it was offered as a TDD </w:t>
      </w:r>
      <w:r w:rsidRPr="00042A0D">
        <w:rPr>
          <w:color w:val="000000"/>
          <w:kern w:val="24"/>
          <w:sz w:val="22"/>
          <w:szCs w:val="18"/>
        </w:rPr>
        <w:t xml:space="preserve">“T” block </w:t>
      </w:r>
      <w:r w:rsidR="00BF06A9" w:rsidRPr="00AF3B36">
        <w:rPr>
          <w:color w:val="000000"/>
          <w:kern w:val="24"/>
          <w:sz w:val="22"/>
          <w:szCs w:val="18"/>
        </w:rPr>
        <w:t xml:space="preserve">license but </w:t>
      </w:r>
      <w:r w:rsidRPr="00F30FCB">
        <w:rPr>
          <w:color w:val="000000"/>
          <w:kern w:val="24"/>
          <w:sz w:val="22"/>
          <w:szCs w:val="18"/>
        </w:rPr>
        <w:t>only in combination with the adjacent “U” block.  As stated above, the band is heavily encumbered with incumbent users, but it is possible that this block will eventually be cleared and/or successfully re-auctioned.</w:t>
      </w:r>
    </w:p>
    <w:p w:rsidR="008B22B8" w:rsidRPr="00F30FCB" w:rsidRDefault="008B22B8" w:rsidP="005472B0">
      <w:pPr>
        <w:ind w:left="720" w:hanging="720"/>
        <w:rPr>
          <w:color w:val="000000"/>
          <w:kern w:val="24"/>
          <w:sz w:val="22"/>
          <w:szCs w:val="18"/>
          <w:u w:val="single"/>
        </w:rPr>
      </w:pPr>
    </w:p>
    <w:p w:rsidR="008B22B8" w:rsidRPr="00F30FCB" w:rsidRDefault="008B22B8" w:rsidP="005472B0">
      <w:pPr>
        <w:ind w:left="720" w:hanging="720"/>
        <w:rPr>
          <w:color w:val="000000"/>
          <w:kern w:val="24"/>
          <w:sz w:val="22"/>
          <w:szCs w:val="18"/>
          <w:u w:val="single"/>
        </w:rPr>
      </w:pPr>
      <w:r w:rsidRPr="00F30FCB">
        <w:rPr>
          <w:color w:val="000000"/>
          <w:kern w:val="24"/>
          <w:sz w:val="22"/>
          <w:szCs w:val="18"/>
          <w:u w:val="single"/>
        </w:rPr>
        <w:t>China</w:t>
      </w:r>
    </w:p>
    <w:p w:rsidR="008B22B8" w:rsidRPr="001F1BB1" w:rsidRDefault="008B22B8" w:rsidP="005472B0">
      <w:pPr>
        <w:ind w:left="360" w:hanging="360"/>
        <w:rPr>
          <w:sz w:val="22"/>
        </w:rPr>
      </w:pPr>
    </w:p>
    <w:p w:rsidR="008B22B8" w:rsidRPr="001F1BB1" w:rsidRDefault="008B22B8" w:rsidP="005472B0">
      <w:pPr>
        <w:ind w:left="720" w:hanging="720"/>
        <w:rPr>
          <w:sz w:val="22"/>
        </w:rPr>
      </w:pPr>
      <w:r w:rsidRPr="001F1BB1">
        <w:rPr>
          <w:sz w:val="22"/>
        </w:rPr>
        <w:t>C1.</w:t>
      </w:r>
      <w:r w:rsidRPr="001F1BB1">
        <w:rPr>
          <w:sz w:val="22"/>
        </w:rPr>
        <w:tab/>
        <w:t>825-835 &amp; 870-880 MHz:  Aligns with the US cellular band.  Used for CDMA.</w:t>
      </w:r>
    </w:p>
    <w:p w:rsidR="008B22B8" w:rsidRPr="001F1BB1" w:rsidRDefault="008B22B8" w:rsidP="005472B0">
      <w:pPr>
        <w:ind w:left="720" w:hanging="720"/>
        <w:rPr>
          <w:sz w:val="22"/>
        </w:rPr>
      </w:pPr>
      <w:r w:rsidRPr="001F1BB1">
        <w:rPr>
          <w:sz w:val="22"/>
        </w:rPr>
        <w:t>C2.</w:t>
      </w:r>
      <w:r w:rsidRPr="001F1BB1">
        <w:rPr>
          <w:sz w:val="22"/>
        </w:rPr>
        <w:tab/>
        <w:t>889-915 &amp; 934-960 MHz:  Aligns with the European 900 MHz band.  Used for GSM.</w:t>
      </w:r>
    </w:p>
    <w:p w:rsidR="008B22B8" w:rsidRPr="001F1BB1" w:rsidRDefault="008B22B8" w:rsidP="005472B0">
      <w:pPr>
        <w:ind w:left="720" w:hanging="720"/>
        <w:rPr>
          <w:sz w:val="22"/>
        </w:rPr>
      </w:pPr>
      <w:r w:rsidRPr="001F1BB1">
        <w:rPr>
          <w:sz w:val="22"/>
        </w:rPr>
        <w:t>C3.</w:t>
      </w:r>
      <w:r w:rsidRPr="001F1BB1">
        <w:rPr>
          <w:sz w:val="22"/>
        </w:rPr>
        <w:tab/>
        <w:t>1710-1755 &amp; 1805-1850:  Aligns with the European 1800 MHz band.  Used for GSM.</w:t>
      </w:r>
    </w:p>
    <w:p w:rsidR="008B22B8" w:rsidRPr="001F1BB1" w:rsidRDefault="008B22B8" w:rsidP="005472B0">
      <w:pPr>
        <w:ind w:left="720" w:hanging="720"/>
        <w:rPr>
          <w:sz w:val="22"/>
        </w:rPr>
      </w:pPr>
      <w:r w:rsidRPr="001F1BB1">
        <w:rPr>
          <w:sz w:val="22"/>
        </w:rPr>
        <w:t>C4.</w:t>
      </w:r>
      <w:r w:rsidRPr="001F1BB1">
        <w:rPr>
          <w:sz w:val="22"/>
        </w:rPr>
        <w:tab/>
        <w:t>Unpaired 1880-1900 MHz and unpaired 2010-2025 MHz:  Both are TDD bands used by the same operator for TD-SCDMA services.</w:t>
      </w:r>
    </w:p>
    <w:p w:rsidR="008B22B8" w:rsidRPr="001F1BB1" w:rsidRDefault="008B22B8">
      <w:pPr>
        <w:ind w:left="720" w:hanging="720"/>
        <w:rPr>
          <w:sz w:val="22"/>
        </w:rPr>
      </w:pPr>
      <w:r w:rsidRPr="001F1BB1">
        <w:rPr>
          <w:sz w:val="22"/>
        </w:rPr>
        <w:t>C5.</w:t>
      </w:r>
      <w:r w:rsidRPr="001F1BB1">
        <w:rPr>
          <w:sz w:val="22"/>
        </w:rPr>
        <w:tab/>
        <w:t>1940-1955 &amp; 2130-2145 MHz:  Aligns with the European 2.1 GHz IMT band.  Used for 3G (UMTS/HSPA).</w:t>
      </w:r>
    </w:p>
    <w:p w:rsidR="008B22B8" w:rsidRPr="001F1BB1" w:rsidRDefault="009D6BB6" w:rsidP="005472B0">
      <w:pPr>
        <w:ind w:left="720" w:hanging="720"/>
        <w:rPr>
          <w:sz w:val="22"/>
        </w:rPr>
      </w:pPr>
      <w:r w:rsidRPr="001F1BB1">
        <w:rPr>
          <w:sz w:val="22"/>
        </w:rPr>
        <w:t>C</w:t>
      </w:r>
      <w:r>
        <w:rPr>
          <w:sz w:val="22"/>
        </w:rPr>
        <w:t>6</w:t>
      </w:r>
      <w:r w:rsidR="008B22B8" w:rsidRPr="001F1BB1">
        <w:rPr>
          <w:sz w:val="22"/>
        </w:rPr>
        <w:t>.</w:t>
      </w:r>
      <w:r w:rsidR="008B22B8" w:rsidRPr="001F1BB1">
        <w:rPr>
          <w:sz w:val="22"/>
        </w:rPr>
        <w:tab/>
        <w:t>1755-1785 &amp; 1850-1880 MHz:  This is the remainder of the European 1800 MHz band that MIIT plans to make available soon.</w:t>
      </w:r>
    </w:p>
    <w:p w:rsidR="008B22B8" w:rsidRPr="001F1BB1" w:rsidRDefault="009D6BB6" w:rsidP="005472B0">
      <w:pPr>
        <w:ind w:left="720" w:hanging="720"/>
        <w:rPr>
          <w:sz w:val="22"/>
        </w:rPr>
      </w:pPr>
      <w:r w:rsidRPr="001F1BB1">
        <w:rPr>
          <w:sz w:val="22"/>
        </w:rPr>
        <w:t>C</w:t>
      </w:r>
      <w:r>
        <w:rPr>
          <w:sz w:val="22"/>
        </w:rPr>
        <w:t>7</w:t>
      </w:r>
      <w:r w:rsidR="008B22B8" w:rsidRPr="001F1BB1">
        <w:rPr>
          <w:sz w:val="22"/>
        </w:rPr>
        <w:t>.</w:t>
      </w:r>
      <w:r w:rsidR="008B22B8" w:rsidRPr="001F1BB1">
        <w:rPr>
          <w:sz w:val="22"/>
        </w:rPr>
        <w:tab/>
        <w:t>Unpaired 1900-1920 MHz:  So far this part of the TDD band is not used in China, but use is planned.</w:t>
      </w:r>
    </w:p>
    <w:p w:rsidR="008B22B8" w:rsidRPr="001F1BB1" w:rsidRDefault="009D6BB6">
      <w:pPr>
        <w:ind w:left="720" w:hanging="720"/>
        <w:rPr>
          <w:sz w:val="22"/>
        </w:rPr>
      </w:pPr>
      <w:r w:rsidRPr="001F1BB1">
        <w:rPr>
          <w:sz w:val="22"/>
        </w:rPr>
        <w:t>C</w:t>
      </w:r>
      <w:r>
        <w:rPr>
          <w:sz w:val="22"/>
        </w:rPr>
        <w:t>8</w:t>
      </w:r>
      <w:r w:rsidR="008B22B8" w:rsidRPr="001F1BB1">
        <w:rPr>
          <w:sz w:val="22"/>
        </w:rPr>
        <w:t>.</w:t>
      </w:r>
      <w:r w:rsidR="008B22B8" w:rsidRPr="001F1BB1">
        <w:rPr>
          <w:sz w:val="22"/>
        </w:rPr>
        <w:tab/>
        <w:t>1920-1940 &amp; 2210-2130 MHz and 1955-1980 &amp; 2145-2170 MHz:  This is the remainder of the European 2.1 GHz IMT band that MIIT plans to make available soon.</w:t>
      </w:r>
    </w:p>
    <w:p w:rsidR="008B22B8" w:rsidRPr="001F1BB1" w:rsidRDefault="009D6BB6" w:rsidP="005472B0">
      <w:pPr>
        <w:ind w:left="720" w:hanging="720"/>
        <w:rPr>
          <w:sz w:val="22"/>
        </w:rPr>
      </w:pPr>
      <w:r w:rsidRPr="001F1BB1">
        <w:rPr>
          <w:sz w:val="22"/>
        </w:rPr>
        <w:t>C</w:t>
      </w:r>
      <w:r>
        <w:rPr>
          <w:sz w:val="22"/>
        </w:rPr>
        <w:t>9</w:t>
      </w:r>
      <w:r w:rsidR="008B22B8" w:rsidRPr="001F1BB1">
        <w:rPr>
          <w:sz w:val="22"/>
        </w:rPr>
        <w:t>.</w:t>
      </w:r>
      <w:r w:rsidR="008B22B8" w:rsidRPr="001F1BB1">
        <w:rPr>
          <w:sz w:val="22"/>
        </w:rPr>
        <w:tab/>
        <w:t xml:space="preserve">Unpaired 2500-2690 MHz:  50 </w:t>
      </w:r>
      <w:r w:rsidR="00EA5F7B" w:rsidRPr="001F1BB1">
        <w:rPr>
          <w:sz w:val="22"/>
        </w:rPr>
        <w:t xml:space="preserve">megahertz </w:t>
      </w:r>
      <w:r w:rsidR="008B22B8" w:rsidRPr="001F1BB1">
        <w:rPr>
          <w:sz w:val="22"/>
        </w:rPr>
        <w:t>of this band is currently used for a multi-city trial of TD-LTE technology (2570-2620 MHz), but the service has not yet been offered commercially.  Conversion of this network to commercial use is imminent.  With respect to the remainder of the band (2500-2570 &amp; 2620-2690 MHz), MIIT recently announced plans to use this spectrum for TDD.</w:t>
      </w:r>
    </w:p>
    <w:p w:rsidR="008B22B8" w:rsidRPr="001F1BB1" w:rsidRDefault="009D6BB6" w:rsidP="003F0E6D">
      <w:pPr>
        <w:ind w:left="720" w:hanging="720"/>
        <w:rPr>
          <w:sz w:val="22"/>
        </w:rPr>
      </w:pPr>
      <w:r w:rsidRPr="001F1BB1">
        <w:rPr>
          <w:sz w:val="22"/>
        </w:rPr>
        <w:t>C1</w:t>
      </w:r>
      <w:r>
        <w:rPr>
          <w:sz w:val="22"/>
        </w:rPr>
        <w:t>0</w:t>
      </w:r>
      <w:r w:rsidR="008B22B8" w:rsidRPr="001F1BB1">
        <w:rPr>
          <w:sz w:val="22"/>
        </w:rPr>
        <w:t>.</w:t>
      </w:r>
      <w:r w:rsidR="008B22B8" w:rsidRPr="001F1BB1">
        <w:rPr>
          <w:sz w:val="22"/>
        </w:rPr>
        <w:tab/>
      </w:r>
      <w:r w:rsidR="00DA2700" w:rsidRPr="001F1BB1">
        <w:rPr>
          <w:sz w:val="22"/>
        </w:rPr>
        <w:t xml:space="preserve">In addition to the </w:t>
      </w:r>
      <w:r w:rsidR="006970AB">
        <w:rPr>
          <w:sz w:val="22"/>
        </w:rPr>
        <w:t>36</w:t>
      </w:r>
      <w:r w:rsidR="006970AB" w:rsidRPr="001F1BB1">
        <w:rPr>
          <w:sz w:val="22"/>
        </w:rPr>
        <w:t xml:space="preserve">0 </w:t>
      </w:r>
      <w:r w:rsidR="00DA2700" w:rsidRPr="001F1BB1">
        <w:rPr>
          <w:sz w:val="22"/>
        </w:rPr>
        <w:t>megahertz shown</w:t>
      </w:r>
      <w:r w:rsidR="00BF06A9" w:rsidRPr="001F1BB1">
        <w:rPr>
          <w:sz w:val="22"/>
        </w:rPr>
        <w:t xml:space="preserve"> in the table</w:t>
      </w:r>
      <w:r w:rsidR="00DA2700" w:rsidRPr="001F1BB1">
        <w:rPr>
          <w:sz w:val="22"/>
        </w:rPr>
        <w:t>, u</w:t>
      </w:r>
      <w:r w:rsidR="008B22B8" w:rsidRPr="001F1BB1">
        <w:rPr>
          <w:sz w:val="22"/>
        </w:rPr>
        <w:t>npaired 703-803 MHz may also potentially become available in China.  China’s DTV transition is several years away, but when the spectrum is cleared, most anticipate that the band will be used for TDD rather than FDD services.</w:t>
      </w:r>
      <w:r w:rsidR="006970AB">
        <w:rPr>
          <w:sz w:val="22"/>
        </w:rPr>
        <w:t xml:space="preserve">  </w:t>
      </w:r>
      <w:r>
        <w:rPr>
          <w:sz w:val="22"/>
        </w:rPr>
        <w:t>Also, u</w:t>
      </w:r>
      <w:r w:rsidR="006970AB" w:rsidRPr="001F1BB1">
        <w:rPr>
          <w:sz w:val="22"/>
        </w:rPr>
        <w:t>npaired 2320-2370 MHz</w:t>
      </w:r>
      <w:r w:rsidR="006970AB">
        <w:rPr>
          <w:sz w:val="22"/>
        </w:rPr>
        <w:t xml:space="preserve"> is</w:t>
      </w:r>
      <w:r w:rsidR="006970AB" w:rsidRPr="001F1BB1">
        <w:rPr>
          <w:sz w:val="22"/>
        </w:rPr>
        <w:t xml:space="preserve"> </w:t>
      </w:r>
      <w:r w:rsidR="006970AB">
        <w:rPr>
          <w:sz w:val="22"/>
        </w:rPr>
        <w:t>u</w:t>
      </w:r>
      <w:r w:rsidR="006970AB" w:rsidRPr="001F1BB1">
        <w:rPr>
          <w:sz w:val="22"/>
        </w:rPr>
        <w:t>sed for TD-SCDMA, but in m</w:t>
      </w:r>
      <w:r w:rsidR="006970AB">
        <w:rPr>
          <w:sz w:val="22"/>
        </w:rPr>
        <w:t>ost</w:t>
      </w:r>
      <w:r w:rsidR="006970AB" w:rsidRPr="001F1BB1">
        <w:rPr>
          <w:sz w:val="22"/>
        </w:rPr>
        <w:t xml:space="preserve"> areas use is restricted to indoors due to interference to/from radar</w:t>
      </w:r>
      <w:r w:rsidR="006970AB">
        <w:rPr>
          <w:sz w:val="22"/>
        </w:rPr>
        <w:t xml:space="preserve">, </w:t>
      </w:r>
      <w:r w:rsidR="002E1B0B">
        <w:rPr>
          <w:sz w:val="22"/>
        </w:rPr>
        <w:t xml:space="preserve">so </w:t>
      </w:r>
      <w:r w:rsidR="006970AB">
        <w:rPr>
          <w:sz w:val="22"/>
        </w:rPr>
        <w:t xml:space="preserve">we do not consider this spectrum currently available for </w:t>
      </w:r>
      <w:r w:rsidR="006970AB">
        <w:rPr>
          <w:sz w:val="22"/>
        </w:rPr>
        <w:lastRenderedPageBreak/>
        <w:t>mobile broadband</w:t>
      </w:r>
      <w:r w:rsidR="006970AB" w:rsidRPr="001F1BB1">
        <w:rPr>
          <w:sz w:val="22"/>
        </w:rPr>
        <w:t>.</w:t>
      </w:r>
      <w:r w:rsidR="006970AB">
        <w:rPr>
          <w:sz w:val="22"/>
        </w:rPr>
        <w:t xml:space="preserve">  </w:t>
      </w:r>
      <w:r w:rsidR="002E1B0B">
        <w:rPr>
          <w:sz w:val="22"/>
        </w:rPr>
        <w:t>Finally</w:t>
      </w:r>
      <w:r w:rsidR="006970AB">
        <w:rPr>
          <w:sz w:val="22"/>
        </w:rPr>
        <w:t xml:space="preserve">, </w:t>
      </w:r>
      <w:r w:rsidR="00695BB7">
        <w:rPr>
          <w:sz w:val="22"/>
        </w:rPr>
        <w:t xml:space="preserve">TDD use is planned for </w:t>
      </w:r>
      <w:r w:rsidR="006970AB">
        <w:rPr>
          <w:sz w:val="22"/>
        </w:rPr>
        <w:t>t</w:t>
      </w:r>
      <w:r w:rsidR="006970AB" w:rsidRPr="001F1BB1">
        <w:rPr>
          <w:sz w:val="22"/>
        </w:rPr>
        <w:t xml:space="preserve">he remainder of the 2.3 GHz band </w:t>
      </w:r>
      <w:r w:rsidR="002E1B0B">
        <w:rPr>
          <w:sz w:val="22"/>
        </w:rPr>
        <w:t>(</w:t>
      </w:r>
      <w:r w:rsidR="006970AB" w:rsidRPr="001F1BB1">
        <w:rPr>
          <w:sz w:val="22"/>
        </w:rPr>
        <w:t>2300-2320 MHz and 2370-2400 MHz</w:t>
      </w:r>
      <w:r w:rsidR="002E1B0B">
        <w:rPr>
          <w:sz w:val="22"/>
        </w:rPr>
        <w:t>)</w:t>
      </w:r>
      <w:r w:rsidR="00695BB7">
        <w:rPr>
          <w:sz w:val="22"/>
        </w:rPr>
        <w:t>, but</w:t>
      </w:r>
      <w:r w:rsidR="006970AB" w:rsidRPr="001F1BB1">
        <w:rPr>
          <w:sz w:val="22"/>
        </w:rPr>
        <w:t xml:space="preserve"> </w:t>
      </w:r>
      <w:r w:rsidR="00695BB7">
        <w:rPr>
          <w:sz w:val="22"/>
        </w:rPr>
        <w:t xml:space="preserve">it </w:t>
      </w:r>
      <w:r w:rsidR="006970AB" w:rsidRPr="001F1BB1">
        <w:rPr>
          <w:sz w:val="22"/>
        </w:rPr>
        <w:t>has not yet been allotted in China</w:t>
      </w:r>
      <w:r w:rsidR="00695BB7">
        <w:rPr>
          <w:sz w:val="22"/>
        </w:rPr>
        <w:t xml:space="preserve"> and is likely </w:t>
      </w:r>
      <w:r w:rsidR="006970AB">
        <w:rPr>
          <w:sz w:val="22"/>
        </w:rPr>
        <w:t xml:space="preserve">to be subject to the same indoor restriction </w:t>
      </w:r>
      <w:r w:rsidR="00695BB7">
        <w:rPr>
          <w:sz w:val="22"/>
        </w:rPr>
        <w:t>as the unpaired TD-SCDMA.  T</w:t>
      </w:r>
      <w:r w:rsidR="006970AB">
        <w:rPr>
          <w:sz w:val="22"/>
        </w:rPr>
        <w:t>herefore</w:t>
      </w:r>
      <w:r w:rsidR="00695BB7">
        <w:rPr>
          <w:sz w:val="22"/>
        </w:rPr>
        <w:t>,</w:t>
      </w:r>
      <w:r w:rsidR="006970AB">
        <w:rPr>
          <w:sz w:val="22"/>
        </w:rPr>
        <w:t xml:space="preserve"> we </w:t>
      </w:r>
      <w:r>
        <w:rPr>
          <w:sz w:val="22"/>
        </w:rPr>
        <w:t>do</w:t>
      </w:r>
      <w:r w:rsidR="006970AB">
        <w:rPr>
          <w:sz w:val="22"/>
        </w:rPr>
        <w:t xml:space="preserve"> no</w:t>
      </w:r>
      <w:r>
        <w:rPr>
          <w:sz w:val="22"/>
        </w:rPr>
        <w:t>t consider this as pipeline spectrum.</w:t>
      </w:r>
    </w:p>
    <w:p w:rsidR="008B22B8" w:rsidRPr="001F1BB1" w:rsidRDefault="008B22B8" w:rsidP="005472B0">
      <w:pPr>
        <w:rPr>
          <w:sz w:val="22"/>
        </w:rPr>
      </w:pPr>
    </w:p>
    <w:p w:rsidR="008B22B8" w:rsidRPr="004E0BB7" w:rsidRDefault="008B22B8" w:rsidP="005472B0">
      <w:pPr>
        <w:ind w:left="720" w:hanging="720"/>
        <w:rPr>
          <w:color w:val="000000"/>
          <w:kern w:val="24"/>
          <w:sz w:val="22"/>
          <w:szCs w:val="18"/>
          <w:u w:val="single"/>
        </w:rPr>
      </w:pPr>
      <w:r w:rsidRPr="004E0BB7">
        <w:rPr>
          <w:color w:val="000000"/>
          <w:kern w:val="24"/>
          <w:sz w:val="22"/>
          <w:szCs w:val="18"/>
          <w:u w:val="single"/>
        </w:rPr>
        <w:t>Japan</w:t>
      </w:r>
    </w:p>
    <w:p w:rsidR="008B22B8" w:rsidRPr="004E0BB7" w:rsidRDefault="008B22B8" w:rsidP="005472B0">
      <w:pPr>
        <w:ind w:left="720" w:hanging="720"/>
        <w:rPr>
          <w:color w:val="000000"/>
          <w:kern w:val="24"/>
          <w:sz w:val="22"/>
          <w:szCs w:val="18"/>
        </w:rPr>
      </w:pPr>
    </w:p>
    <w:p w:rsidR="003067EB" w:rsidRDefault="008B22B8" w:rsidP="005472B0">
      <w:pPr>
        <w:ind w:left="720" w:hanging="720"/>
        <w:rPr>
          <w:color w:val="000000"/>
          <w:kern w:val="24"/>
          <w:sz w:val="22"/>
          <w:szCs w:val="18"/>
        </w:rPr>
      </w:pPr>
      <w:r w:rsidRPr="004E0BB7">
        <w:rPr>
          <w:color w:val="000000"/>
          <w:kern w:val="24"/>
          <w:sz w:val="22"/>
          <w:szCs w:val="18"/>
        </w:rPr>
        <w:t>J1.</w:t>
      </w:r>
      <w:r w:rsidRPr="004E0BB7">
        <w:rPr>
          <w:color w:val="000000"/>
          <w:kern w:val="24"/>
          <w:sz w:val="22"/>
          <w:szCs w:val="18"/>
        </w:rPr>
        <w:tab/>
      </w:r>
      <w:r w:rsidR="00E71BF0">
        <w:rPr>
          <w:color w:val="000000"/>
          <w:kern w:val="24"/>
          <w:sz w:val="22"/>
          <w:szCs w:val="18"/>
        </w:rPr>
        <w:t xml:space="preserve">Japan’s spectrum management is fundamentally </w:t>
      </w:r>
      <w:r w:rsidR="00067B81">
        <w:rPr>
          <w:color w:val="000000"/>
          <w:kern w:val="24"/>
          <w:sz w:val="22"/>
          <w:szCs w:val="18"/>
        </w:rPr>
        <w:t>different from</w:t>
      </w:r>
      <w:r w:rsidR="00E71BF0">
        <w:rPr>
          <w:color w:val="000000"/>
          <w:kern w:val="24"/>
          <w:sz w:val="22"/>
          <w:szCs w:val="18"/>
        </w:rPr>
        <w:t xml:space="preserve"> other countries considered in this analysis.  MIC allocates spectrum to specific uses</w:t>
      </w:r>
      <w:r w:rsidR="002538BC">
        <w:rPr>
          <w:color w:val="000000"/>
          <w:kern w:val="24"/>
          <w:sz w:val="22"/>
          <w:szCs w:val="18"/>
        </w:rPr>
        <w:t xml:space="preserve">, finalizes rules and parameters through a </w:t>
      </w:r>
      <w:r w:rsidR="00067B81">
        <w:rPr>
          <w:color w:val="000000"/>
          <w:kern w:val="24"/>
          <w:sz w:val="22"/>
          <w:szCs w:val="18"/>
        </w:rPr>
        <w:t xml:space="preserve">lengthy </w:t>
      </w:r>
      <w:r w:rsidR="002538BC">
        <w:rPr>
          <w:color w:val="000000"/>
          <w:kern w:val="24"/>
          <w:sz w:val="22"/>
          <w:szCs w:val="18"/>
        </w:rPr>
        <w:t>public consultation process,</w:t>
      </w:r>
      <w:r w:rsidR="00E71BF0">
        <w:rPr>
          <w:color w:val="000000"/>
          <w:kern w:val="24"/>
          <w:sz w:val="22"/>
          <w:szCs w:val="18"/>
        </w:rPr>
        <w:t xml:space="preserve"> and then assigns it to qualified companies.  In this context, our definition of “current” is spectrum that MIC has </w:t>
      </w:r>
      <w:r w:rsidR="002538BC">
        <w:rPr>
          <w:color w:val="000000"/>
          <w:kern w:val="24"/>
          <w:sz w:val="22"/>
          <w:szCs w:val="18"/>
        </w:rPr>
        <w:t xml:space="preserve">previously </w:t>
      </w:r>
      <w:r w:rsidR="00E71BF0">
        <w:rPr>
          <w:color w:val="000000"/>
          <w:kern w:val="24"/>
          <w:sz w:val="22"/>
          <w:szCs w:val="18"/>
        </w:rPr>
        <w:t>assigned to providers of mobile broadband services, and our definition of “pipeline” is spectrum that MIC has allocated to mobile broadband</w:t>
      </w:r>
      <w:r w:rsidR="002538BC">
        <w:rPr>
          <w:color w:val="000000"/>
          <w:kern w:val="24"/>
          <w:sz w:val="22"/>
          <w:szCs w:val="18"/>
        </w:rPr>
        <w:t>, finalized the rules and parameters,</w:t>
      </w:r>
      <w:r w:rsidR="00E71BF0">
        <w:rPr>
          <w:color w:val="000000"/>
          <w:kern w:val="24"/>
          <w:sz w:val="22"/>
          <w:szCs w:val="18"/>
        </w:rPr>
        <w:t xml:space="preserve"> and publicly announced imminent assignment</w:t>
      </w:r>
      <w:r w:rsidR="002538BC">
        <w:rPr>
          <w:color w:val="000000"/>
          <w:kern w:val="24"/>
          <w:sz w:val="22"/>
          <w:szCs w:val="18"/>
        </w:rPr>
        <w:t>.</w:t>
      </w:r>
    </w:p>
    <w:p w:rsidR="008B22B8" w:rsidRPr="004E0BB7" w:rsidRDefault="003067EB" w:rsidP="005472B0">
      <w:pPr>
        <w:ind w:left="720" w:hanging="720"/>
        <w:rPr>
          <w:color w:val="000000"/>
          <w:kern w:val="24"/>
          <w:sz w:val="22"/>
          <w:szCs w:val="18"/>
        </w:rPr>
      </w:pPr>
      <w:r>
        <w:rPr>
          <w:color w:val="000000"/>
          <w:kern w:val="24"/>
          <w:sz w:val="22"/>
          <w:szCs w:val="18"/>
        </w:rPr>
        <w:t>J2.</w:t>
      </w:r>
      <w:r>
        <w:rPr>
          <w:color w:val="000000"/>
          <w:kern w:val="24"/>
          <w:sz w:val="22"/>
          <w:szCs w:val="18"/>
        </w:rPr>
        <w:tab/>
      </w:r>
      <w:r w:rsidR="008B22B8" w:rsidRPr="004E0BB7">
        <w:rPr>
          <w:color w:val="000000"/>
          <w:kern w:val="24"/>
          <w:sz w:val="22"/>
          <w:szCs w:val="18"/>
        </w:rPr>
        <w:t xml:space="preserve">718-748 &amp; 773-803 allocated by MIC in June 2012 to three operators.  This is the upper 30+30 </w:t>
      </w:r>
      <w:r w:rsidR="00EA5F7B" w:rsidRPr="004E0BB7">
        <w:rPr>
          <w:color w:val="000000"/>
          <w:kern w:val="24"/>
          <w:sz w:val="22"/>
          <w:szCs w:val="18"/>
        </w:rPr>
        <w:t xml:space="preserve">megahertz </w:t>
      </w:r>
      <w:r w:rsidR="008B22B8" w:rsidRPr="004E0BB7">
        <w:rPr>
          <w:color w:val="000000"/>
          <w:kern w:val="24"/>
          <w:sz w:val="22"/>
          <w:szCs w:val="18"/>
        </w:rPr>
        <w:t>of the APT 700 MHz band plan.</w:t>
      </w:r>
    </w:p>
    <w:p w:rsidR="008B22B8" w:rsidRPr="00517F24" w:rsidRDefault="003067EB" w:rsidP="005472B0">
      <w:pPr>
        <w:ind w:left="720" w:hanging="720"/>
        <w:rPr>
          <w:color w:val="000000"/>
          <w:kern w:val="24"/>
          <w:sz w:val="22"/>
          <w:szCs w:val="18"/>
        </w:rPr>
      </w:pPr>
      <w:r w:rsidRPr="004E0BB7">
        <w:rPr>
          <w:color w:val="000000"/>
          <w:kern w:val="24"/>
          <w:sz w:val="22"/>
          <w:szCs w:val="18"/>
        </w:rPr>
        <w:t>J</w:t>
      </w:r>
      <w:r>
        <w:rPr>
          <w:color w:val="000000"/>
          <w:kern w:val="24"/>
          <w:sz w:val="22"/>
          <w:szCs w:val="18"/>
        </w:rPr>
        <w:t>3</w:t>
      </w:r>
      <w:r w:rsidR="008B22B8" w:rsidRPr="004E0BB7">
        <w:rPr>
          <w:color w:val="000000"/>
          <w:kern w:val="24"/>
          <w:sz w:val="22"/>
          <w:szCs w:val="18"/>
        </w:rPr>
        <w:t>.</w:t>
      </w:r>
      <w:r w:rsidR="008B22B8" w:rsidRPr="004E0BB7">
        <w:rPr>
          <w:color w:val="000000"/>
          <w:kern w:val="24"/>
          <w:sz w:val="22"/>
          <w:szCs w:val="18"/>
        </w:rPr>
        <w:tab/>
        <w:t xml:space="preserve">815-845 &amp; 860-890 MHz:  These are two 15+15 megahertz bands that are unique to Japan, although there is some overlap with the </w:t>
      </w:r>
      <w:r w:rsidR="00981DE3">
        <w:rPr>
          <w:color w:val="000000"/>
          <w:kern w:val="24"/>
          <w:sz w:val="22"/>
          <w:szCs w:val="18"/>
        </w:rPr>
        <w:t>US</w:t>
      </w:r>
      <w:r w:rsidR="008B22B8" w:rsidRPr="004E0BB7">
        <w:rPr>
          <w:color w:val="000000"/>
          <w:kern w:val="24"/>
          <w:sz w:val="22"/>
          <w:szCs w:val="18"/>
        </w:rPr>
        <w:t xml:space="preserve"> cellular band.</w:t>
      </w:r>
    </w:p>
    <w:p w:rsidR="008B22B8" w:rsidRPr="00590B77" w:rsidRDefault="003067EB" w:rsidP="005472B0">
      <w:pPr>
        <w:ind w:left="720" w:hanging="720"/>
        <w:rPr>
          <w:color w:val="000000"/>
          <w:kern w:val="24"/>
          <w:sz w:val="22"/>
          <w:szCs w:val="18"/>
        </w:rPr>
      </w:pPr>
      <w:r w:rsidRPr="00517F24">
        <w:rPr>
          <w:color w:val="000000"/>
          <w:kern w:val="24"/>
          <w:sz w:val="22"/>
          <w:szCs w:val="18"/>
        </w:rPr>
        <w:t>J</w:t>
      </w:r>
      <w:r>
        <w:rPr>
          <w:color w:val="000000"/>
          <w:kern w:val="24"/>
          <w:sz w:val="22"/>
          <w:szCs w:val="18"/>
        </w:rPr>
        <w:t>4</w:t>
      </w:r>
      <w:r w:rsidR="008B22B8" w:rsidRPr="00517F24">
        <w:rPr>
          <w:color w:val="000000"/>
          <w:kern w:val="24"/>
          <w:sz w:val="22"/>
          <w:szCs w:val="18"/>
        </w:rPr>
        <w:t>.</w:t>
      </w:r>
      <w:r w:rsidR="008B22B8" w:rsidRPr="00517F24">
        <w:rPr>
          <w:color w:val="000000"/>
          <w:kern w:val="24"/>
          <w:sz w:val="22"/>
          <w:szCs w:val="18"/>
        </w:rPr>
        <w:tab/>
        <w:t>900-915 &amp; 945-960 MHz:  This overlaps with the European 900 MHz band.  Japan cannot use the entire band because their 800 MHz band overlaps.</w:t>
      </w:r>
    </w:p>
    <w:p w:rsidR="008B22B8" w:rsidRPr="00AF3B36" w:rsidRDefault="003067EB" w:rsidP="005472B0">
      <w:pPr>
        <w:ind w:left="720" w:hanging="720"/>
        <w:rPr>
          <w:color w:val="000000"/>
          <w:kern w:val="24"/>
          <w:sz w:val="22"/>
          <w:szCs w:val="18"/>
        </w:rPr>
      </w:pPr>
      <w:r w:rsidRPr="00C36F95">
        <w:rPr>
          <w:color w:val="000000"/>
          <w:kern w:val="24"/>
          <w:sz w:val="22"/>
          <w:szCs w:val="18"/>
        </w:rPr>
        <w:t>J</w:t>
      </w:r>
      <w:r>
        <w:rPr>
          <w:color w:val="000000"/>
          <w:kern w:val="24"/>
          <w:sz w:val="22"/>
          <w:szCs w:val="18"/>
        </w:rPr>
        <w:t>5</w:t>
      </w:r>
      <w:r w:rsidR="008B22B8" w:rsidRPr="00C36F95">
        <w:rPr>
          <w:color w:val="000000"/>
          <w:kern w:val="24"/>
          <w:sz w:val="22"/>
          <w:szCs w:val="18"/>
        </w:rPr>
        <w:t>.</w:t>
      </w:r>
      <w:r w:rsidR="008B22B8" w:rsidRPr="00C36F95">
        <w:rPr>
          <w:color w:val="000000"/>
          <w:kern w:val="24"/>
          <w:sz w:val="22"/>
          <w:szCs w:val="18"/>
        </w:rPr>
        <w:tab/>
        <w:t>1427.9-1462.9 &amp; 1475.9-1510.9 MHz:  This band is</w:t>
      </w:r>
      <w:r w:rsidR="008B22B8" w:rsidRPr="00042A0D">
        <w:rPr>
          <w:color w:val="000000"/>
          <w:kern w:val="24"/>
          <w:sz w:val="22"/>
          <w:szCs w:val="18"/>
        </w:rPr>
        <w:t xml:space="preserve"> unique to Japan.  For 3GPP technologies, it is actually two overlapping band classes.  Use of the upper 6.55+6.55 megahertz is restricted in some areas until March 2014.</w:t>
      </w:r>
    </w:p>
    <w:p w:rsidR="008B22B8" w:rsidRPr="00F30FCB" w:rsidRDefault="003067EB" w:rsidP="005472B0">
      <w:pPr>
        <w:ind w:left="720" w:hanging="720"/>
        <w:rPr>
          <w:color w:val="000000"/>
          <w:kern w:val="24"/>
          <w:sz w:val="22"/>
          <w:szCs w:val="18"/>
        </w:rPr>
      </w:pPr>
      <w:r w:rsidRPr="00F30FCB">
        <w:rPr>
          <w:color w:val="000000"/>
          <w:kern w:val="24"/>
          <w:sz w:val="22"/>
          <w:szCs w:val="18"/>
        </w:rPr>
        <w:t>J</w:t>
      </w:r>
      <w:r>
        <w:rPr>
          <w:color w:val="000000"/>
          <w:kern w:val="24"/>
          <w:sz w:val="22"/>
          <w:szCs w:val="18"/>
        </w:rPr>
        <w:t>6</w:t>
      </w:r>
      <w:r w:rsidR="008B22B8" w:rsidRPr="00F30FCB">
        <w:rPr>
          <w:color w:val="000000"/>
          <w:kern w:val="24"/>
          <w:sz w:val="22"/>
          <w:szCs w:val="18"/>
        </w:rPr>
        <w:t>.</w:t>
      </w:r>
      <w:r w:rsidR="008B22B8" w:rsidRPr="00F30FCB">
        <w:rPr>
          <w:color w:val="000000"/>
          <w:kern w:val="24"/>
          <w:sz w:val="22"/>
          <w:szCs w:val="18"/>
        </w:rPr>
        <w:tab/>
        <w:t>1749.9-1784.9 &amp; 1844.9-1879.9:  This is the upper 35+35 megahertz of the European 1800 MHz band.</w:t>
      </w:r>
    </w:p>
    <w:p w:rsidR="008B22B8" w:rsidRPr="00F30FCB" w:rsidRDefault="003067EB" w:rsidP="005472B0">
      <w:pPr>
        <w:ind w:left="720" w:hanging="720"/>
        <w:rPr>
          <w:color w:val="000000"/>
          <w:kern w:val="24"/>
          <w:sz w:val="22"/>
          <w:szCs w:val="18"/>
        </w:rPr>
      </w:pPr>
      <w:r w:rsidRPr="00F30FCB">
        <w:rPr>
          <w:color w:val="000000"/>
          <w:kern w:val="24"/>
          <w:sz w:val="22"/>
          <w:szCs w:val="18"/>
        </w:rPr>
        <w:t>J</w:t>
      </w:r>
      <w:r>
        <w:rPr>
          <w:color w:val="000000"/>
          <w:kern w:val="24"/>
          <w:sz w:val="22"/>
          <w:szCs w:val="18"/>
        </w:rPr>
        <w:t>7</w:t>
      </w:r>
      <w:r w:rsidR="008B22B8" w:rsidRPr="00F30FCB">
        <w:rPr>
          <w:color w:val="000000"/>
          <w:kern w:val="24"/>
          <w:sz w:val="22"/>
          <w:szCs w:val="18"/>
        </w:rPr>
        <w:t>.</w:t>
      </w:r>
      <w:r w:rsidR="008B22B8" w:rsidRPr="00F30FCB">
        <w:rPr>
          <w:color w:val="000000"/>
          <w:kern w:val="24"/>
          <w:sz w:val="22"/>
          <w:szCs w:val="18"/>
        </w:rPr>
        <w:tab/>
        <w:t xml:space="preserve">Unpaired 1884.5-1915.7 MHz:  Used in Japan for </w:t>
      </w:r>
      <w:r w:rsidR="00DA2700" w:rsidRPr="00F30FCB">
        <w:rPr>
          <w:color w:val="000000"/>
          <w:kern w:val="24"/>
          <w:sz w:val="22"/>
          <w:szCs w:val="18"/>
        </w:rPr>
        <w:t>the Personal Handy-phone System (</w:t>
      </w:r>
      <w:r w:rsidR="008B22B8" w:rsidRPr="00F30FCB">
        <w:rPr>
          <w:color w:val="000000"/>
          <w:kern w:val="24"/>
          <w:sz w:val="22"/>
          <w:szCs w:val="18"/>
        </w:rPr>
        <w:t>PHS</w:t>
      </w:r>
      <w:r w:rsidR="00DA2700" w:rsidRPr="00F30FCB">
        <w:rPr>
          <w:color w:val="000000"/>
          <w:kern w:val="24"/>
          <w:sz w:val="22"/>
          <w:szCs w:val="18"/>
        </w:rPr>
        <w:t>)</w:t>
      </w:r>
      <w:r w:rsidR="008B22B8" w:rsidRPr="00F30FCB">
        <w:rPr>
          <w:color w:val="000000"/>
          <w:kern w:val="24"/>
          <w:sz w:val="22"/>
          <w:szCs w:val="18"/>
        </w:rPr>
        <w:t xml:space="preserve">, a TDD cordless phone system for urban areas.  </w:t>
      </w:r>
      <w:r w:rsidR="00DA2700" w:rsidRPr="00F30FCB">
        <w:rPr>
          <w:color w:val="000000"/>
          <w:kern w:val="24"/>
          <w:sz w:val="22"/>
          <w:szCs w:val="18"/>
        </w:rPr>
        <w:t xml:space="preserve">PHS </w:t>
      </w:r>
      <w:r w:rsidR="008B22B8" w:rsidRPr="00F30FCB">
        <w:rPr>
          <w:color w:val="000000"/>
          <w:kern w:val="24"/>
          <w:sz w:val="22"/>
          <w:szCs w:val="18"/>
        </w:rPr>
        <w:t>supports handovers but has limited mobility because it is low power and cells are very small.  Vehicle speeds are not supported and thus it is not equivalent to other mobile broadband technologies and bands that are listed here.  Regardless, we include it as “current” spectrum.</w:t>
      </w:r>
    </w:p>
    <w:p w:rsidR="008B22B8" w:rsidRPr="00F30FCB" w:rsidRDefault="003067EB" w:rsidP="005472B0">
      <w:pPr>
        <w:ind w:left="720" w:hanging="720"/>
        <w:rPr>
          <w:color w:val="000000"/>
          <w:kern w:val="24"/>
          <w:sz w:val="22"/>
          <w:szCs w:val="18"/>
        </w:rPr>
      </w:pPr>
      <w:r w:rsidRPr="00F30FCB">
        <w:rPr>
          <w:color w:val="000000"/>
          <w:kern w:val="24"/>
          <w:sz w:val="22"/>
          <w:szCs w:val="18"/>
        </w:rPr>
        <w:t>J</w:t>
      </w:r>
      <w:r>
        <w:rPr>
          <w:color w:val="000000"/>
          <w:kern w:val="24"/>
          <w:sz w:val="22"/>
          <w:szCs w:val="18"/>
        </w:rPr>
        <w:t>8</w:t>
      </w:r>
      <w:r w:rsidR="008B22B8" w:rsidRPr="00F30FCB">
        <w:rPr>
          <w:color w:val="000000"/>
          <w:kern w:val="24"/>
          <w:sz w:val="22"/>
          <w:szCs w:val="18"/>
        </w:rPr>
        <w:t>.</w:t>
      </w:r>
      <w:r w:rsidR="008B22B8" w:rsidRPr="00F30FCB">
        <w:rPr>
          <w:color w:val="000000"/>
          <w:kern w:val="24"/>
          <w:sz w:val="22"/>
          <w:szCs w:val="18"/>
        </w:rPr>
        <w:tab/>
        <w:t>1920-1980 &amp; 2110-2170 MHz:  The European 3G band is also used in Japan for 3G (UMTS/HSPA and CDMA).  The operator in the lower part of the band has uplink constraints due to the need to protect the PHS system.</w:t>
      </w:r>
    </w:p>
    <w:p w:rsidR="008B22B8" w:rsidRPr="00F30FCB" w:rsidRDefault="003067EB" w:rsidP="005472B0">
      <w:pPr>
        <w:ind w:left="720" w:hanging="720"/>
        <w:rPr>
          <w:color w:val="000000"/>
          <w:kern w:val="24"/>
          <w:sz w:val="22"/>
          <w:szCs w:val="18"/>
        </w:rPr>
      </w:pPr>
      <w:r w:rsidRPr="00F30FCB">
        <w:rPr>
          <w:color w:val="000000"/>
          <w:kern w:val="24"/>
          <w:sz w:val="22"/>
          <w:szCs w:val="18"/>
        </w:rPr>
        <w:t>J</w:t>
      </w:r>
      <w:r>
        <w:rPr>
          <w:color w:val="000000"/>
          <w:kern w:val="24"/>
          <w:sz w:val="22"/>
          <w:szCs w:val="18"/>
        </w:rPr>
        <w:t>9</w:t>
      </w:r>
      <w:r w:rsidR="008B22B8" w:rsidRPr="00F30FCB">
        <w:rPr>
          <w:color w:val="000000"/>
          <w:kern w:val="24"/>
          <w:sz w:val="22"/>
          <w:szCs w:val="18"/>
        </w:rPr>
        <w:t>.</w:t>
      </w:r>
      <w:r w:rsidR="008B22B8" w:rsidRPr="00F30FCB">
        <w:rPr>
          <w:color w:val="000000"/>
          <w:kern w:val="24"/>
          <w:sz w:val="22"/>
          <w:szCs w:val="18"/>
        </w:rPr>
        <w:tab/>
        <w:t>Unpaired 2545-2575 MHz and unpaired 2595-2625 MHz:  These two TDD allocations support TD-LTE (formerly XGP) and mobile WiMAX, respectively.</w:t>
      </w:r>
    </w:p>
    <w:p w:rsidR="008B22B8" w:rsidRPr="00F30FCB" w:rsidRDefault="003067EB" w:rsidP="005472B0">
      <w:pPr>
        <w:ind w:left="720" w:hanging="720"/>
        <w:rPr>
          <w:color w:val="000000"/>
          <w:kern w:val="24"/>
          <w:sz w:val="22"/>
          <w:szCs w:val="18"/>
        </w:rPr>
      </w:pPr>
      <w:r w:rsidRPr="00F30FCB">
        <w:rPr>
          <w:color w:val="000000"/>
          <w:kern w:val="24"/>
          <w:sz w:val="22"/>
          <w:szCs w:val="18"/>
        </w:rPr>
        <w:t>J</w:t>
      </w:r>
      <w:r>
        <w:rPr>
          <w:color w:val="000000"/>
          <w:kern w:val="24"/>
          <w:sz w:val="22"/>
          <w:szCs w:val="18"/>
        </w:rPr>
        <w:t>10</w:t>
      </w:r>
      <w:r w:rsidR="008B22B8" w:rsidRPr="00F30FCB">
        <w:rPr>
          <w:color w:val="000000"/>
          <w:kern w:val="24"/>
          <w:sz w:val="22"/>
          <w:szCs w:val="18"/>
        </w:rPr>
        <w:t>.</w:t>
      </w:r>
      <w:r w:rsidR="008B22B8" w:rsidRPr="00F30FCB">
        <w:rPr>
          <w:color w:val="000000"/>
          <w:kern w:val="24"/>
          <w:sz w:val="22"/>
          <w:szCs w:val="18"/>
        </w:rPr>
        <w:tab/>
      </w:r>
      <w:r w:rsidR="00377145" w:rsidRPr="00F30FCB">
        <w:rPr>
          <w:color w:val="000000"/>
          <w:kern w:val="24"/>
          <w:sz w:val="22"/>
          <w:szCs w:val="18"/>
        </w:rPr>
        <w:t xml:space="preserve">We understand that </w:t>
      </w:r>
      <w:r w:rsidR="008B22B8" w:rsidRPr="00F30FCB">
        <w:rPr>
          <w:color w:val="000000"/>
          <w:kern w:val="24"/>
          <w:sz w:val="22"/>
          <w:szCs w:val="18"/>
        </w:rPr>
        <w:t xml:space="preserve">1744.9-1749.9 &amp; 1839.9-1844.9 </w:t>
      </w:r>
      <w:r w:rsidR="00377145" w:rsidRPr="00F30FCB">
        <w:rPr>
          <w:color w:val="000000"/>
          <w:kern w:val="24"/>
          <w:sz w:val="22"/>
          <w:szCs w:val="18"/>
        </w:rPr>
        <w:t xml:space="preserve">was to </w:t>
      </w:r>
      <w:r w:rsidR="008B22B8" w:rsidRPr="00F30FCB">
        <w:rPr>
          <w:color w:val="000000"/>
          <w:kern w:val="24"/>
          <w:sz w:val="22"/>
          <w:szCs w:val="18"/>
        </w:rPr>
        <w:t>be released in 2012</w:t>
      </w:r>
      <w:r w:rsidR="00377145" w:rsidRPr="00F30FCB">
        <w:rPr>
          <w:color w:val="000000"/>
          <w:kern w:val="24"/>
          <w:sz w:val="22"/>
          <w:szCs w:val="18"/>
        </w:rPr>
        <w:t xml:space="preserve"> after October</w:t>
      </w:r>
      <w:r w:rsidR="008B22B8" w:rsidRPr="00F30FCB">
        <w:rPr>
          <w:color w:val="000000"/>
          <w:kern w:val="24"/>
          <w:sz w:val="22"/>
          <w:szCs w:val="18"/>
        </w:rPr>
        <w:t xml:space="preserve">.  It </w:t>
      </w:r>
      <w:r w:rsidR="00377145" w:rsidRPr="00F30FCB">
        <w:rPr>
          <w:color w:val="000000"/>
          <w:kern w:val="24"/>
          <w:sz w:val="22"/>
          <w:szCs w:val="18"/>
        </w:rPr>
        <w:t>wa</w:t>
      </w:r>
      <w:r w:rsidR="008B22B8" w:rsidRPr="00F30FCB">
        <w:rPr>
          <w:color w:val="000000"/>
          <w:kern w:val="24"/>
          <w:sz w:val="22"/>
          <w:szCs w:val="18"/>
        </w:rPr>
        <w:t xml:space="preserve">s expected to go to the operator that holds the adjacent 15+15 megahertz.  Some standards changes will be required </w:t>
      </w:r>
      <w:r w:rsidR="00746147" w:rsidRPr="00F30FCB">
        <w:rPr>
          <w:color w:val="000000"/>
          <w:kern w:val="24"/>
          <w:sz w:val="22"/>
          <w:szCs w:val="18"/>
        </w:rPr>
        <w:t xml:space="preserve">in 3GPP </w:t>
      </w:r>
      <w:r w:rsidR="008B22B8" w:rsidRPr="00F30FCB">
        <w:rPr>
          <w:color w:val="000000"/>
          <w:kern w:val="24"/>
          <w:sz w:val="22"/>
          <w:szCs w:val="18"/>
        </w:rPr>
        <w:t>to allow an LTE deployment.</w:t>
      </w:r>
    </w:p>
    <w:p w:rsidR="008B22B8" w:rsidRDefault="003067EB" w:rsidP="005472B0">
      <w:pPr>
        <w:ind w:left="720" w:hanging="720"/>
      </w:pPr>
      <w:r w:rsidRPr="00F30FCB">
        <w:rPr>
          <w:color w:val="000000"/>
          <w:kern w:val="24"/>
          <w:sz w:val="22"/>
          <w:szCs w:val="18"/>
        </w:rPr>
        <w:t>J1</w:t>
      </w:r>
      <w:r>
        <w:rPr>
          <w:color w:val="000000"/>
          <w:kern w:val="24"/>
          <w:sz w:val="22"/>
          <w:szCs w:val="18"/>
        </w:rPr>
        <w:t>1</w:t>
      </w:r>
      <w:r w:rsidR="008B22B8" w:rsidRPr="00F30FCB">
        <w:rPr>
          <w:color w:val="000000"/>
          <w:kern w:val="24"/>
          <w:sz w:val="22"/>
          <w:szCs w:val="18"/>
        </w:rPr>
        <w:t>.</w:t>
      </w:r>
      <w:r w:rsidR="008B22B8" w:rsidRPr="00F30FCB">
        <w:rPr>
          <w:color w:val="000000"/>
          <w:kern w:val="24"/>
          <w:sz w:val="22"/>
          <w:szCs w:val="18"/>
        </w:rPr>
        <w:tab/>
      </w:r>
      <w:r w:rsidR="00746147" w:rsidRPr="00F30FCB">
        <w:rPr>
          <w:color w:val="000000"/>
          <w:kern w:val="24"/>
          <w:sz w:val="22"/>
          <w:szCs w:val="18"/>
        </w:rPr>
        <w:t xml:space="preserve">In addition to the 10 megahertz </w:t>
      </w:r>
      <w:r w:rsidR="00377145" w:rsidRPr="00F30FCB">
        <w:rPr>
          <w:color w:val="000000"/>
          <w:kern w:val="24"/>
          <w:sz w:val="22"/>
          <w:szCs w:val="18"/>
        </w:rPr>
        <w:t>shown in the table as pipeline spectrum</w:t>
      </w:r>
      <w:r w:rsidR="00746147" w:rsidRPr="00F30FCB">
        <w:rPr>
          <w:color w:val="000000"/>
          <w:kern w:val="24"/>
          <w:sz w:val="22"/>
          <w:szCs w:val="18"/>
        </w:rPr>
        <w:t xml:space="preserve">, additional spectrum </w:t>
      </w:r>
      <w:r w:rsidR="008B22B8" w:rsidRPr="00F30FCB">
        <w:rPr>
          <w:color w:val="000000"/>
          <w:kern w:val="24"/>
          <w:sz w:val="22"/>
          <w:szCs w:val="18"/>
        </w:rPr>
        <w:t>may also potentially become available in Japan</w:t>
      </w:r>
      <w:r w:rsidR="00746147" w:rsidRPr="00F30FCB">
        <w:rPr>
          <w:color w:val="000000"/>
          <w:kern w:val="24"/>
          <w:sz w:val="22"/>
          <w:szCs w:val="18"/>
        </w:rPr>
        <w:t>:</w:t>
      </w:r>
      <w:r w:rsidR="008B22B8" w:rsidRPr="00F30FCB">
        <w:rPr>
          <w:color w:val="000000"/>
          <w:kern w:val="24"/>
          <w:sz w:val="22"/>
          <w:szCs w:val="18"/>
        </w:rPr>
        <w:t xml:space="preserve">  </w:t>
      </w:r>
      <w:r w:rsidR="00746147" w:rsidRPr="00F30FCB">
        <w:rPr>
          <w:color w:val="000000"/>
          <w:kern w:val="24"/>
          <w:sz w:val="22"/>
          <w:szCs w:val="18"/>
        </w:rPr>
        <w:t>The unpaired 2010-2025 MHz</w:t>
      </w:r>
      <w:r w:rsidR="008B22B8" w:rsidRPr="00F30FCB">
        <w:rPr>
          <w:color w:val="000000"/>
          <w:kern w:val="24"/>
          <w:sz w:val="22"/>
          <w:szCs w:val="18"/>
        </w:rPr>
        <w:t xml:space="preserve"> </w:t>
      </w:r>
      <w:r w:rsidR="00746147" w:rsidRPr="00F30FCB">
        <w:rPr>
          <w:color w:val="000000"/>
          <w:kern w:val="24"/>
          <w:sz w:val="22"/>
          <w:szCs w:val="18"/>
        </w:rPr>
        <w:t xml:space="preserve">band </w:t>
      </w:r>
      <w:r w:rsidR="008B22B8" w:rsidRPr="00F30FCB">
        <w:rPr>
          <w:color w:val="000000"/>
          <w:kern w:val="24"/>
          <w:sz w:val="22"/>
          <w:szCs w:val="18"/>
        </w:rPr>
        <w:t xml:space="preserve">is spectrum that was returned to the regulator when IPMobile went bankrupt in late 2007.  MIC has taken no action on the band since.  Also, MIC has plans to release an additional 30 megahertz in the 2.5 GHz band, specifically 2625-2655 MHz.  But </w:t>
      </w:r>
      <w:r w:rsidR="00746147" w:rsidRPr="00F30FCB">
        <w:rPr>
          <w:color w:val="000000"/>
          <w:kern w:val="24"/>
          <w:sz w:val="22"/>
          <w:szCs w:val="18"/>
        </w:rPr>
        <w:t xml:space="preserve">in the consultation process </w:t>
      </w:r>
      <w:r w:rsidR="008B22B8" w:rsidRPr="00F30FCB">
        <w:rPr>
          <w:color w:val="000000"/>
          <w:kern w:val="24"/>
          <w:sz w:val="22"/>
          <w:szCs w:val="18"/>
        </w:rPr>
        <w:t xml:space="preserve">most companies recommended a 5 </w:t>
      </w:r>
      <w:r w:rsidR="00EA5F7B" w:rsidRPr="00F30FCB">
        <w:rPr>
          <w:color w:val="000000"/>
          <w:kern w:val="24"/>
          <w:sz w:val="22"/>
          <w:szCs w:val="18"/>
        </w:rPr>
        <w:t xml:space="preserve">megahertz </w:t>
      </w:r>
      <w:r w:rsidR="008B22B8" w:rsidRPr="00F30FCB">
        <w:rPr>
          <w:color w:val="000000"/>
          <w:kern w:val="24"/>
          <w:sz w:val="22"/>
          <w:szCs w:val="18"/>
        </w:rPr>
        <w:t xml:space="preserve">guard band at both ends, so the actual allocation may be just 20 </w:t>
      </w:r>
      <w:r w:rsidR="00746147" w:rsidRPr="00F30FCB">
        <w:rPr>
          <w:color w:val="000000"/>
          <w:kern w:val="24"/>
          <w:sz w:val="22"/>
          <w:szCs w:val="18"/>
        </w:rPr>
        <w:t>megahertz</w:t>
      </w:r>
      <w:r w:rsidR="008B22B8" w:rsidRPr="00F30FCB">
        <w:rPr>
          <w:color w:val="000000"/>
          <w:kern w:val="24"/>
          <w:sz w:val="22"/>
          <w:szCs w:val="18"/>
        </w:rPr>
        <w:t>.  Since MIC has not yet decided on this</w:t>
      </w:r>
      <w:r w:rsidR="00377145" w:rsidRPr="00F30FCB">
        <w:rPr>
          <w:color w:val="000000"/>
          <w:kern w:val="24"/>
          <w:sz w:val="22"/>
          <w:szCs w:val="18"/>
        </w:rPr>
        <w:t>,</w:t>
      </w:r>
      <w:r w:rsidR="008B22B8" w:rsidRPr="00F30FCB">
        <w:rPr>
          <w:color w:val="000000"/>
          <w:kern w:val="24"/>
          <w:sz w:val="22"/>
          <w:szCs w:val="18"/>
        </w:rPr>
        <w:t xml:space="preserve"> we have not yet characterized this possibility as “pipeline”</w:t>
      </w:r>
      <w:r w:rsidR="009E190A">
        <w:rPr>
          <w:color w:val="000000"/>
          <w:kern w:val="24"/>
          <w:sz w:val="22"/>
          <w:szCs w:val="18"/>
        </w:rPr>
        <w:t xml:space="preserve"> per our definition above.</w:t>
      </w:r>
      <w:r w:rsidR="002538BC">
        <w:rPr>
          <w:color w:val="000000"/>
          <w:kern w:val="24"/>
          <w:sz w:val="22"/>
          <w:szCs w:val="18"/>
        </w:rPr>
        <w:t xml:space="preserve">  Also, several other bands in Japan include spectrum that has been allocated to cellular or mobile broadband use, but </w:t>
      </w:r>
      <w:r w:rsidR="009E190A">
        <w:rPr>
          <w:color w:val="000000"/>
          <w:kern w:val="24"/>
          <w:sz w:val="22"/>
          <w:szCs w:val="18"/>
        </w:rPr>
        <w:t>a</w:t>
      </w:r>
      <w:r w:rsidR="002538BC">
        <w:rPr>
          <w:color w:val="000000"/>
          <w:kern w:val="24"/>
          <w:sz w:val="22"/>
          <w:szCs w:val="18"/>
        </w:rPr>
        <w:t xml:space="preserve"> consultation process has not yet been initiated.</w:t>
      </w:r>
      <w:r w:rsidR="009E190A">
        <w:rPr>
          <w:color w:val="000000"/>
          <w:kern w:val="24"/>
          <w:sz w:val="22"/>
          <w:szCs w:val="18"/>
        </w:rPr>
        <w:t xml:space="preserve">  See [WIK Report - </w:t>
      </w:r>
      <w:hyperlink r:id="rId17" w:tgtFrame="_blank" w:history="1">
        <w:r w:rsidR="009E190A">
          <w:rPr>
            <w:rStyle w:val="Hyperlink"/>
            <w:rFonts w:eastAsia="SimSun"/>
          </w:rPr>
          <w:t>http://ec.europa.eu/information_society/policy/ecomm/radio_spectrum/_document_storage/studies/inventory_2012/cion_spectrum_inventory_final_report.pdf</w:t>
        </w:r>
      </w:hyperlink>
      <w:r w:rsidR="009E190A">
        <w:t xml:space="preserve"> ] and [MIC Action Plan Sept 2011 - </w:t>
      </w:r>
      <w:hyperlink r:id="rId18" w:history="1">
        <w:r w:rsidR="009E190A" w:rsidRPr="005E4AC2">
          <w:rPr>
            <w:rStyle w:val="Hyperlink"/>
          </w:rPr>
          <w:t>http://www.tele.soumu.go.jp/resource/e/freq/process/actionplan.pdf</w:t>
        </w:r>
      </w:hyperlink>
      <w:r w:rsidR="009E190A">
        <w:t xml:space="preserve"> ]</w:t>
      </w:r>
    </w:p>
    <w:p w:rsidR="009E190A" w:rsidRPr="00F30FCB" w:rsidRDefault="009E190A" w:rsidP="005472B0">
      <w:pPr>
        <w:ind w:left="720" w:hanging="720"/>
        <w:rPr>
          <w:color w:val="000000"/>
          <w:kern w:val="24"/>
          <w:sz w:val="22"/>
          <w:szCs w:val="18"/>
        </w:rPr>
      </w:pPr>
    </w:p>
    <w:p w:rsidR="008B22B8" w:rsidRPr="001F1BB1" w:rsidRDefault="008B22B8" w:rsidP="005472B0">
      <w:pPr>
        <w:ind w:left="360" w:hanging="360"/>
        <w:rPr>
          <w:sz w:val="22"/>
        </w:rPr>
      </w:pPr>
    </w:p>
    <w:p w:rsidR="003067EB" w:rsidRDefault="003067EB" w:rsidP="005472B0">
      <w:pPr>
        <w:keepNext/>
        <w:keepLines/>
        <w:ind w:left="360" w:hanging="360"/>
        <w:rPr>
          <w:rFonts w:ascii="Arial" w:hAnsi="Arial" w:cs="Arial"/>
          <w:b/>
          <w:sz w:val="22"/>
        </w:rPr>
      </w:pPr>
    </w:p>
    <w:p w:rsidR="008B22B8" w:rsidRPr="00F30FCB" w:rsidRDefault="008B22B8" w:rsidP="005472B0">
      <w:pPr>
        <w:keepNext/>
        <w:keepLines/>
        <w:ind w:left="360" w:hanging="360"/>
        <w:rPr>
          <w:rFonts w:ascii="Arial" w:hAnsi="Arial" w:cs="Arial"/>
          <w:b/>
          <w:sz w:val="22"/>
        </w:rPr>
      </w:pPr>
      <w:r w:rsidRPr="00F30FCB">
        <w:rPr>
          <w:rFonts w:ascii="Arial" w:hAnsi="Arial" w:cs="Arial"/>
          <w:b/>
          <w:sz w:val="22"/>
        </w:rPr>
        <w:t>SECTION III:  UNLICENSED SPECTRUM RESOURCES – TABLE 6</w:t>
      </w:r>
    </w:p>
    <w:p w:rsidR="008B2B2D" w:rsidRPr="00F30FCB" w:rsidRDefault="008B2B2D" w:rsidP="00E6023B">
      <w:pPr>
        <w:keepNext/>
        <w:keepLines/>
        <w:ind w:left="720" w:hanging="720"/>
        <w:rPr>
          <w:sz w:val="22"/>
        </w:rPr>
      </w:pPr>
    </w:p>
    <w:p w:rsidR="008B22B8" w:rsidRPr="001F1BB1" w:rsidRDefault="008B22B8" w:rsidP="00E6023B">
      <w:pPr>
        <w:keepNext/>
        <w:keepLines/>
        <w:ind w:left="720" w:hanging="720"/>
        <w:rPr>
          <w:sz w:val="22"/>
        </w:rPr>
      </w:pPr>
      <w:r w:rsidRPr="001F1BB1">
        <w:rPr>
          <w:sz w:val="22"/>
        </w:rPr>
        <w:t>Unl1.</w:t>
      </w:r>
      <w:r w:rsidRPr="001F1BB1">
        <w:rPr>
          <w:sz w:val="22"/>
        </w:rPr>
        <w:tab/>
      </w:r>
      <w:r w:rsidR="00D96C08" w:rsidRPr="00D96C08">
        <w:rPr>
          <w:sz w:val="22"/>
        </w:rPr>
        <w:t xml:space="preserve">The amount of spectrum available to TV Band devices varies by location.  While at least 6 </w:t>
      </w:r>
      <w:r w:rsidR="005B735F">
        <w:rPr>
          <w:sz w:val="22"/>
        </w:rPr>
        <w:t>megahertz</w:t>
      </w:r>
      <w:r w:rsidR="005B735F" w:rsidRPr="00D96C08">
        <w:rPr>
          <w:sz w:val="22"/>
        </w:rPr>
        <w:t xml:space="preserve"> </w:t>
      </w:r>
      <w:r w:rsidR="00D96C08" w:rsidRPr="00D96C08">
        <w:rPr>
          <w:sz w:val="22"/>
        </w:rPr>
        <w:t>is available throughout most of the United States, there are a few locations where there is no spectrum available, particularly considering that provisions to protect wireless microphones at major venues during events could preclude the availability of white space at those locations for periods of time.    47 C.F.R. Part 15, Subpart H.  Generally 54-60, 76-88, 174-216, 470-608, and 614-698 MHz.</w:t>
      </w:r>
    </w:p>
    <w:p w:rsidR="008B22B8" w:rsidRPr="001F1BB1" w:rsidRDefault="008B22B8" w:rsidP="00E6023B">
      <w:pPr>
        <w:ind w:left="720" w:hanging="720"/>
        <w:rPr>
          <w:sz w:val="22"/>
        </w:rPr>
      </w:pPr>
      <w:r w:rsidRPr="001F1BB1">
        <w:rPr>
          <w:sz w:val="22"/>
        </w:rPr>
        <w:t>Unl2.</w:t>
      </w:r>
      <w:r w:rsidRPr="001F1BB1">
        <w:rPr>
          <w:sz w:val="22"/>
        </w:rPr>
        <w:tab/>
        <w:t>S</w:t>
      </w:r>
      <w:r w:rsidRPr="001F1BB1">
        <w:rPr>
          <w:i/>
          <w:sz w:val="22"/>
        </w:rPr>
        <w:t>ee</w:t>
      </w:r>
      <w:r w:rsidRPr="001F1BB1">
        <w:rPr>
          <w:sz w:val="22"/>
        </w:rPr>
        <w:t xml:space="preserve"> CEPT Recommendation ERC/REC 70-03 (Annex 1).</w:t>
      </w:r>
    </w:p>
    <w:p w:rsidR="008B22B8" w:rsidRPr="001F1BB1" w:rsidRDefault="008B22B8" w:rsidP="00E6023B">
      <w:pPr>
        <w:ind w:left="720" w:hanging="720"/>
        <w:rPr>
          <w:sz w:val="22"/>
        </w:rPr>
      </w:pPr>
      <w:r w:rsidRPr="001F1BB1">
        <w:rPr>
          <w:sz w:val="22"/>
        </w:rPr>
        <w:t>Unl3.</w:t>
      </w:r>
      <w:r w:rsidRPr="001F1BB1">
        <w:rPr>
          <w:sz w:val="22"/>
        </w:rPr>
        <w:tab/>
        <w:t>The 902-928 MHz band is designated for industrial, scientific, and medical (ISM) applications in North and South America (ITU Region 2).  47 C.F.R. §§ 2.106 international footnote 5.150, 15.245, 15.247, 15.249.</w:t>
      </w:r>
    </w:p>
    <w:p w:rsidR="008B22B8" w:rsidRPr="001F1BB1" w:rsidRDefault="008B22B8" w:rsidP="00E6023B">
      <w:pPr>
        <w:ind w:left="720" w:hanging="720"/>
        <w:rPr>
          <w:sz w:val="22"/>
        </w:rPr>
      </w:pPr>
      <w:r w:rsidRPr="001F1BB1">
        <w:rPr>
          <w:sz w:val="22"/>
        </w:rPr>
        <w:t>Unl4.</w:t>
      </w:r>
      <w:r w:rsidRPr="001F1BB1">
        <w:rPr>
          <w:sz w:val="22"/>
        </w:rPr>
        <w:tab/>
        <w:t xml:space="preserve">Unlicensed Personal Communications Service (PCS) devices, including </w:t>
      </w:r>
      <w:r w:rsidR="00055807" w:rsidRPr="001F1BB1">
        <w:rPr>
          <w:sz w:val="22"/>
        </w:rPr>
        <w:t>Digital Enhanced Cordless Telecommunications (DECT)</w:t>
      </w:r>
      <w:r w:rsidRPr="001F1BB1">
        <w:rPr>
          <w:sz w:val="22"/>
        </w:rPr>
        <w:t xml:space="preserve"> equipment in the </w:t>
      </w:r>
      <w:r w:rsidR="00981DE3">
        <w:rPr>
          <w:sz w:val="22"/>
        </w:rPr>
        <w:t>US</w:t>
      </w:r>
      <w:r w:rsidRPr="001F1BB1">
        <w:rPr>
          <w:sz w:val="22"/>
        </w:rPr>
        <w:t xml:space="preserve"> and other countries in Region 2, operate in the1920-1930 MHz band.  47 C.F.R. Part 15, Subpart D.</w:t>
      </w:r>
    </w:p>
    <w:p w:rsidR="008B22B8" w:rsidRPr="001F1BB1" w:rsidRDefault="008B22B8" w:rsidP="00E6023B">
      <w:pPr>
        <w:ind w:left="720" w:hanging="720"/>
        <w:rPr>
          <w:sz w:val="22"/>
        </w:rPr>
      </w:pPr>
      <w:r w:rsidRPr="001F1BB1">
        <w:rPr>
          <w:sz w:val="22"/>
        </w:rPr>
        <w:t>Unl5.</w:t>
      </w:r>
      <w:r w:rsidRPr="001F1BB1">
        <w:rPr>
          <w:sz w:val="22"/>
        </w:rPr>
        <w:tab/>
        <w:t xml:space="preserve">Digital Enhanced Cordless Telecommunications (DECT), a voice and multimedia cordless communication standard, may be utilized in the 1880-1900 MHz band in Europe, in the 1900-1920 MHz band in China, in the 1910-1930 MHz band in Latin America, and in the 1920-1930 MHz band in the </w:t>
      </w:r>
      <w:r w:rsidR="00981DE3">
        <w:rPr>
          <w:sz w:val="22"/>
        </w:rPr>
        <w:t>US</w:t>
      </w:r>
      <w:r w:rsidRPr="001F1BB1">
        <w:rPr>
          <w:sz w:val="22"/>
        </w:rPr>
        <w:t xml:space="preserve"> and Canada; see Recommendation ITU</w:t>
      </w:r>
      <w:r w:rsidRPr="001F1BB1">
        <w:rPr>
          <w:sz w:val="22"/>
        </w:rPr>
        <w:noBreakHyphen/>
        <w:t>R </w:t>
      </w:r>
      <w:r w:rsidRPr="001F1BB1">
        <w:rPr>
          <w:bCs/>
          <w:sz w:val="22"/>
        </w:rPr>
        <w:t>M.1457</w:t>
      </w:r>
      <w:r w:rsidRPr="001F1BB1">
        <w:rPr>
          <w:sz w:val="22"/>
        </w:rPr>
        <w:t xml:space="preserve">.  </w:t>
      </w:r>
    </w:p>
    <w:p w:rsidR="008B22B8" w:rsidRPr="001F1BB1" w:rsidRDefault="008B22B8" w:rsidP="00E6023B">
      <w:pPr>
        <w:ind w:left="720" w:hanging="720"/>
        <w:rPr>
          <w:sz w:val="22"/>
        </w:rPr>
      </w:pPr>
      <w:r w:rsidRPr="001F1BB1">
        <w:rPr>
          <w:sz w:val="22"/>
        </w:rPr>
        <w:t>Unl6.</w:t>
      </w:r>
      <w:r w:rsidRPr="001F1BB1">
        <w:rPr>
          <w:sz w:val="22"/>
        </w:rPr>
        <w:tab/>
        <w:t xml:space="preserve">The 2400-2500 MHz band is designated for ISM applications in all ITU Regions (global) and this band is widely used for unlicensed devices.  47 C.F.R. §§ 15.247, 15.249.  In the EU, unspecified </w:t>
      </w:r>
      <w:r w:rsidR="007B1682" w:rsidRPr="001F1BB1">
        <w:rPr>
          <w:sz w:val="22"/>
        </w:rPr>
        <w:t>Short Range Devices (</w:t>
      </w:r>
      <w:r w:rsidRPr="001F1BB1">
        <w:rPr>
          <w:sz w:val="22"/>
        </w:rPr>
        <w:t>SRDs</w:t>
      </w:r>
      <w:r w:rsidR="007B1682" w:rsidRPr="001F1BB1">
        <w:rPr>
          <w:sz w:val="22"/>
        </w:rPr>
        <w:t>)</w:t>
      </w:r>
      <w:r w:rsidRPr="001F1BB1">
        <w:rPr>
          <w:sz w:val="22"/>
        </w:rPr>
        <w:t xml:space="preserve"> and Wideband Data Transmission Systems may operate in the 2400-2483.5 MHz band.  </w:t>
      </w:r>
      <w:r w:rsidRPr="001F1BB1">
        <w:rPr>
          <w:i/>
          <w:sz w:val="22"/>
        </w:rPr>
        <w:t>See</w:t>
      </w:r>
      <w:r w:rsidRPr="001F1BB1">
        <w:rPr>
          <w:sz w:val="22"/>
        </w:rPr>
        <w:t xml:space="preserve"> CEPT Recommendation ERC/REC 70-03 (Annexes 1 and 3).</w:t>
      </w:r>
    </w:p>
    <w:p w:rsidR="008B22B8" w:rsidRPr="001F1BB1" w:rsidRDefault="008B22B8" w:rsidP="00E6023B">
      <w:pPr>
        <w:ind w:left="720" w:hanging="720"/>
        <w:rPr>
          <w:sz w:val="22"/>
        </w:rPr>
      </w:pPr>
      <w:r w:rsidRPr="001F1BB1">
        <w:rPr>
          <w:sz w:val="22"/>
        </w:rPr>
        <w:t>Unl7.</w:t>
      </w:r>
      <w:r w:rsidRPr="001F1BB1">
        <w:rPr>
          <w:sz w:val="22"/>
        </w:rPr>
        <w:tab/>
        <w:t xml:space="preserve">The 3650-3700 MHz band is licensed on the basis of non-exclusive nationwide licenses, which serve as a prerequisite for registering individual fixed and base stations.  A licensee cannot operate a fixed or base station before registering it.  This licensing method has been referred to as </w:t>
      </w:r>
      <w:r w:rsidR="00237843" w:rsidRPr="001F1BB1">
        <w:rPr>
          <w:sz w:val="22"/>
        </w:rPr>
        <w:t>“l</w:t>
      </w:r>
      <w:r w:rsidRPr="001F1BB1">
        <w:rPr>
          <w:sz w:val="22"/>
        </w:rPr>
        <w:t>icensed</w:t>
      </w:r>
      <w:r w:rsidR="00237843" w:rsidRPr="001F1BB1">
        <w:rPr>
          <w:sz w:val="22"/>
        </w:rPr>
        <w:t>-l</w:t>
      </w:r>
      <w:r w:rsidRPr="001F1BB1">
        <w:rPr>
          <w:sz w:val="22"/>
        </w:rPr>
        <w:t>ight.</w:t>
      </w:r>
      <w:r w:rsidR="00237843" w:rsidRPr="001F1BB1">
        <w:rPr>
          <w:sz w:val="22"/>
        </w:rPr>
        <w:t>”</w:t>
      </w:r>
      <w:r w:rsidRPr="001F1BB1">
        <w:rPr>
          <w:sz w:val="22"/>
        </w:rPr>
        <w:t xml:space="preserve">  47 C.F.R. Part 90, Subpart Z.  WiMAX Worldwide Interoperability for Microwave Access) devices operate in the 2496-2690 MHz and 3650-3700 MHz bands in the </w:t>
      </w:r>
      <w:r w:rsidR="00981DE3">
        <w:rPr>
          <w:sz w:val="22"/>
        </w:rPr>
        <w:t>US</w:t>
      </w:r>
      <w:r w:rsidRPr="001F1BB1">
        <w:rPr>
          <w:sz w:val="22"/>
        </w:rPr>
        <w:t xml:space="preserve"> and in the 2300-2400 MHz band in Asia (3.3 GHz and 3.5 GHz are also used).</w:t>
      </w:r>
    </w:p>
    <w:p w:rsidR="008B22B8" w:rsidRPr="001F1BB1" w:rsidRDefault="008B22B8" w:rsidP="00E6023B">
      <w:pPr>
        <w:ind w:left="720" w:hanging="720"/>
        <w:rPr>
          <w:sz w:val="22"/>
        </w:rPr>
      </w:pPr>
      <w:r w:rsidRPr="001F1BB1">
        <w:rPr>
          <w:sz w:val="22"/>
        </w:rPr>
        <w:t>Unl8.</w:t>
      </w:r>
      <w:r w:rsidRPr="001F1BB1">
        <w:rPr>
          <w:sz w:val="22"/>
        </w:rPr>
        <w:tab/>
      </w:r>
      <w:r w:rsidR="00A15F9A" w:rsidRPr="001F1BB1">
        <w:rPr>
          <w:sz w:val="22"/>
        </w:rPr>
        <w:t>The 3550-3650 MHz band was identified by NTIA for shared federal and non-federal use in the 2010 Fast Track Report.   The PCAST Report suggests that microcell and femtocell technology and Wi-Fi could be used to share the band with incumbent users</w:t>
      </w:r>
      <w:r w:rsidR="008436AC">
        <w:rPr>
          <w:sz w:val="22"/>
        </w:rPr>
        <w:t xml:space="preserve"> </w:t>
      </w:r>
      <w:r w:rsidR="008436AC" w:rsidRPr="001F1BB1">
        <w:t>on a “licensed-light” basis</w:t>
      </w:r>
      <w:r w:rsidR="00A15F9A" w:rsidRPr="001F1BB1">
        <w:rPr>
          <w:sz w:val="22"/>
        </w:rPr>
        <w:t xml:space="preserve">.  </w:t>
      </w:r>
      <w:r w:rsidR="00B170B0" w:rsidRPr="001F1BB1">
        <w:rPr>
          <w:sz w:val="22"/>
        </w:rPr>
        <w:t>In December</w:t>
      </w:r>
      <w:r w:rsidR="00F36465" w:rsidRPr="001F1BB1">
        <w:rPr>
          <w:sz w:val="22"/>
        </w:rPr>
        <w:t xml:space="preserve"> 2012 the Commission issued a</w:t>
      </w:r>
      <w:r w:rsidR="00B170B0" w:rsidRPr="001F1BB1">
        <w:rPr>
          <w:sz w:val="22"/>
        </w:rPr>
        <w:t xml:space="preserve"> </w:t>
      </w:r>
      <w:r w:rsidR="00820F82">
        <w:rPr>
          <w:sz w:val="22"/>
        </w:rPr>
        <w:t>Notice of Proposed Rulemaking</w:t>
      </w:r>
      <w:r w:rsidR="00B170B0" w:rsidRPr="001F1BB1">
        <w:rPr>
          <w:sz w:val="22"/>
        </w:rPr>
        <w:t xml:space="preserve"> to explore this approach</w:t>
      </w:r>
      <w:r w:rsidR="00A15F9A" w:rsidRPr="001F1BB1">
        <w:rPr>
          <w:sz w:val="22"/>
        </w:rPr>
        <w:t>.</w:t>
      </w:r>
      <w:r w:rsidR="001F1BB1">
        <w:rPr>
          <w:sz w:val="22"/>
        </w:rPr>
        <w:t xml:space="preserve">  </w:t>
      </w:r>
      <w:r w:rsidR="001F1BB1" w:rsidRPr="001F1BB1">
        <w:rPr>
          <w:sz w:val="22"/>
        </w:rPr>
        <w:t>See GN Docket No. 12-354</w:t>
      </w:r>
      <w:r w:rsidR="008436AC">
        <w:rPr>
          <w:sz w:val="22"/>
        </w:rPr>
        <w:t>.</w:t>
      </w:r>
    </w:p>
    <w:p w:rsidR="00055807" w:rsidRPr="001F1BB1" w:rsidRDefault="008B22B8" w:rsidP="00E6023B">
      <w:pPr>
        <w:ind w:left="720" w:hanging="720"/>
        <w:rPr>
          <w:sz w:val="22"/>
        </w:rPr>
      </w:pPr>
      <w:r w:rsidRPr="001F1BB1">
        <w:rPr>
          <w:sz w:val="22"/>
        </w:rPr>
        <w:t>Unl9.</w:t>
      </w:r>
      <w:r w:rsidRPr="001F1BB1">
        <w:rPr>
          <w:sz w:val="22"/>
        </w:rPr>
        <w:tab/>
        <w:t xml:space="preserve">The 5150-5350 MHz and 5470-5725 MHz bands are allocated to the </w:t>
      </w:r>
      <w:r w:rsidR="007B1682" w:rsidRPr="001F1BB1">
        <w:rPr>
          <w:sz w:val="22"/>
        </w:rPr>
        <w:t>“</w:t>
      </w:r>
      <w:r w:rsidRPr="001F1BB1">
        <w:rPr>
          <w:sz w:val="22"/>
        </w:rPr>
        <w:t>mobile except aeronautical mobile service</w:t>
      </w:r>
      <w:r w:rsidR="007B1682" w:rsidRPr="001F1BB1">
        <w:rPr>
          <w:sz w:val="22"/>
        </w:rPr>
        <w:t>”</w:t>
      </w:r>
      <w:r w:rsidRPr="001F1BB1">
        <w:rPr>
          <w:sz w:val="22"/>
        </w:rPr>
        <w:t xml:space="preserve"> on a primary basis in all ITU Regions, and international footnote 5.446A states that use of these allocations must be in accordance with ITU Resolution 229. This resolution states that these allocations are for the implementation of Wireless Access Systems (WAS), including Radio Local Area Networks (RLANs).  In the </w:t>
      </w:r>
      <w:r w:rsidR="00981DE3">
        <w:rPr>
          <w:sz w:val="22"/>
        </w:rPr>
        <w:t>US</w:t>
      </w:r>
      <w:r w:rsidRPr="001F1BB1">
        <w:rPr>
          <w:sz w:val="22"/>
        </w:rPr>
        <w:t>, the WAS allocations were implemented under the name Unlicensed National Information Infrastructure (U-NII) devices.  U</w:t>
      </w:r>
      <w:r w:rsidRPr="001F1BB1">
        <w:rPr>
          <w:sz w:val="22"/>
        </w:rPr>
        <w:noBreakHyphen/>
        <w:t xml:space="preserve">NII devices may also operate in the 5725-5825 MHz band.  47 C.F.R. Part 15, Subpart E.  </w:t>
      </w:r>
      <w:r w:rsidR="00055807" w:rsidRPr="001F1BB1">
        <w:rPr>
          <w:sz w:val="22"/>
        </w:rPr>
        <w:t>Also, the 5725-5875 MHz band is designated for ISM applications in all ITU Regions.  47 C.F.R. Part 15, Subpart E and §§ 15.247, 15.249. In the EU, non-specific SRDs may operate in the 5725-5875 MHz band with 25 mW EIRP.</w:t>
      </w:r>
      <w:r w:rsidR="00055807" w:rsidRPr="001F1BB1">
        <w:rPr>
          <w:i/>
          <w:sz w:val="22"/>
        </w:rPr>
        <w:t xml:space="preserve">  See</w:t>
      </w:r>
      <w:r w:rsidR="00055807" w:rsidRPr="001F1BB1">
        <w:rPr>
          <w:sz w:val="22"/>
        </w:rPr>
        <w:t xml:space="preserve"> CEPT Recommendation ERC/REC 70</w:t>
      </w:r>
      <w:r w:rsidR="00055807" w:rsidRPr="001F1BB1">
        <w:rPr>
          <w:sz w:val="22"/>
        </w:rPr>
        <w:noBreakHyphen/>
        <w:t>03 (Annex 1).</w:t>
      </w:r>
    </w:p>
    <w:p w:rsidR="008B22B8" w:rsidRPr="001F1BB1" w:rsidRDefault="00055807" w:rsidP="00E6023B">
      <w:pPr>
        <w:ind w:left="720" w:hanging="720"/>
        <w:rPr>
          <w:sz w:val="22"/>
        </w:rPr>
      </w:pPr>
      <w:r w:rsidRPr="001F1BB1">
        <w:rPr>
          <w:sz w:val="22"/>
        </w:rPr>
        <w:t>Unl10.</w:t>
      </w:r>
      <w:r w:rsidRPr="001F1BB1">
        <w:rPr>
          <w:sz w:val="22"/>
        </w:rPr>
        <w:tab/>
      </w:r>
      <w:r w:rsidR="00D96C08" w:rsidRPr="00D96C08">
        <w:rPr>
          <w:sz w:val="22"/>
        </w:rPr>
        <w:t>The FCC has proposed to make the 5350 – 5470 MHz and 5850 – 5925 MHz bands available for unlicensed use subject to the results of further technical studies.  See Notice of Proposed Rule Making in ET Docket No. 13-49 adopted on February 20, 2013, available at  http://www.fcc.gov/document/5-ghz-unlicensed-spectrum-unii</w:t>
      </w:r>
      <w:r w:rsidR="00D278D7">
        <w:rPr>
          <w:sz w:val="22"/>
        </w:rPr>
        <w:t>.</w:t>
      </w:r>
    </w:p>
    <w:p w:rsidR="00D278D7" w:rsidRDefault="00D278D7" w:rsidP="005472B0">
      <w:pPr>
        <w:ind w:left="360" w:hanging="360"/>
        <w:rPr>
          <w:sz w:val="22"/>
        </w:rPr>
        <w:sectPr w:rsidR="00D278D7" w:rsidSect="00422632">
          <w:headerReference w:type="even" r:id="rId19"/>
          <w:headerReference w:type="default" r:id="rId20"/>
          <w:footerReference w:type="even" r:id="rId21"/>
          <w:footerReference w:type="default" r:id="rId22"/>
          <w:headerReference w:type="first" r:id="rId23"/>
          <w:footerReference w:type="first" r:id="rId24"/>
          <w:pgSz w:w="12240" w:h="15840"/>
          <w:pgMar w:top="1440" w:right="1440" w:bottom="1440" w:left="1440" w:header="720" w:footer="720" w:gutter="0"/>
          <w:cols w:space="720"/>
          <w:titlePg/>
          <w:docGrid w:linePitch="360"/>
        </w:sectPr>
      </w:pPr>
    </w:p>
    <w:p w:rsidR="008B22B8" w:rsidRPr="00F30FCB" w:rsidRDefault="008B22B8" w:rsidP="005472B0">
      <w:pPr>
        <w:jc w:val="center"/>
        <w:rPr>
          <w:rFonts w:ascii="Arial" w:hAnsi="Arial" w:cs="Arial"/>
          <w:b/>
          <w:sz w:val="22"/>
        </w:rPr>
      </w:pPr>
      <w:r w:rsidRPr="00F30FCB">
        <w:rPr>
          <w:rFonts w:ascii="Arial" w:hAnsi="Arial" w:cs="Arial"/>
          <w:b/>
          <w:sz w:val="22"/>
        </w:rPr>
        <w:lastRenderedPageBreak/>
        <w:t>MAJOR SOURCES – FOR FURTHER READING</w:t>
      </w:r>
    </w:p>
    <w:p w:rsidR="008B22B8" w:rsidRPr="001F1BB1" w:rsidRDefault="008B22B8" w:rsidP="0096153D">
      <w:pPr>
        <w:rPr>
          <w:sz w:val="22"/>
        </w:rPr>
      </w:pPr>
    </w:p>
    <w:p w:rsidR="008B22B8" w:rsidRDefault="008B22B8" w:rsidP="0096153D">
      <w:pPr>
        <w:numPr>
          <w:ilvl w:val="0"/>
          <w:numId w:val="8"/>
        </w:numPr>
        <w:spacing w:after="240"/>
        <w:rPr>
          <w:sz w:val="22"/>
        </w:rPr>
      </w:pPr>
      <w:r w:rsidRPr="001F1BB1">
        <w:rPr>
          <w:i/>
          <w:iCs/>
          <w:sz w:val="22"/>
        </w:rPr>
        <w:t>ECO Report 03: The Licensing of 'Mobile Bands' in CEPT</w:t>
      </w:r>
      <w:r w:rsidRPr="001F1BB1">
        <w:rPr>
          <w:sz w:val="22"/>
        </w:rPr>
        <w:t>, European Communications Office</w:t>
      </w:r>
      <w:r w:rsidRPr="001F1BB1">
        <w:rPr>
          <w:i/>
          <w:iCs/>
          <w:sz w:val="22"/>
        </w:rPr>
        <w:t xml:space="preserve"> </w:t>
      </w:r>
      <w:r w:rsidRPr="001F1BB1">
        <w:rPr>
          <w:sz w:val="22"/>
        </w:rPr>
        <w:t>(</w:t>
      </w:r>
      <w:r w:rsidR="00746147" w:rsidRPr="001F1BB1">
        <w:rPr>
          <w:sz w:val="22"/>
        </w:rPr>
        <w:t>October</w:t>
      </w:r>
      <w:r w:rsidRPr="001F1BB1">
        <w:rPr>
          <w:sz w:val="22"/>
        </w:rPr>
        <w:t xml:space="preserve"> 2</w:t>
      </w:r>
      <w:r w:rsidR="00746147" w:rsidRPr="001F1BB1">
        <w:rPr>
          <w:sz w:val="22"/>
        </w:rPr>
        <w:t>2</w:t>
      </w:r>
      <w:r w:rsidRPr="001F1BB1">
        <w:rPr>
          <w:sz w:val="22"/>
        </w:rPr>
        <w:t xml:space="preserve">, 2012), </w:t>
      </w:r>
      <w:hyperlink r:id="rId25" w:history="1">
        <w:r w:rsidR="009E190A" w:rsidRPr="005E4AC2">
          <w:rPr>
            <w:rStyle w:val="Hyperlink"/>
            <w:sz w:val="22"/>
          </w:rPr>
          <w:t>http://www.cept.org/eco/deliverables/eco-reports</w:t>
        </w:r>
      </w:hyperlink>
      <w:r w:rsidRPr="001F1BB1">
        <w:rPr>
          <w:sz w:val="22"/>
        </w:rPr>
        <w:t>.</w:t>
      </w:r>
    </w:p>
    <w:p w:rsidR="009E190A" w:rsidRPr="006922A9" w:rsidRDefault="009E190A" w:rsidP="006922A9">
      <w:pPr>
        <w:numPr>
          <w:ilvl w:val="0"/>
          <w:numId w:val="8"/>
        </w:numPr>
        <w:spacing w:after="240"/>
        <w:rPr>
          <w:sz w:val="22"/>
        </w:rPr>
      </w:pPr>
      <w:r w:rsidRPr="006922A9">
        <w:rPr>
          <w:i/>
          <w:iCs/>
          <w:sz w:val="22"/>
        </w:rPr>
        <w:t>APT</w:t>
      </w:r>
      <w:r w:rsidR="006922A9" w:rsidRPr="006922A9">
        <w:rPr>
          <w:i/>
          <w:iCs/>
          <w:sz w:val="22"/>
        </w:rPr>
        <w:t xml:space="preserve"> Report on </w:t>
      </w:r>
      <w:r w:rsidR="006922A9">
        <w:rPr>
          <w:i/>
          <w:iCs/>
          <w:sz w:val="22"/>
        </w:rPr>
        <w:t>Information o</w:t>
      </w:r>
      <w:r w:rsidR="006922A9" w:rsidRPr="006922A9">
        <w:rPr>
          <w:i/>
          <w:iCs/>
          <w:sz w:val="22"/>
        </w:rPr>
        <w:t>f Mobile Operat</w:t>
      </w:r>
      <w:r w:rsidR="006922A9">
        <w:rPr>
          <w:i/>
          <w:iCs/>
          <w:sz w:val="22"/>
        </w:rPr>
        <w:t>ors’ Frequencies, Technologies a</w:t>
      </w:r>
      <w:r w:rsidR="006922A9" w:rsidRPr="006922A9">
        <w:rPr>
          <w:i/>
          <w:iCs/>
          <w:sz w:val="22"/>
        </w:rPr>
        <w:t>nd License Durations</w:t>
      </w:r>
      <w:r w:rsidR="006922A9">
        <w:rPr>
          <w:i/>
          <w:iCs/>
          <w:sz w:val="22"/>
        </w:rPr>
        <w:t xml:space="preserve"> i</w:t>
      </w:r>
      <w:r w:rsidR="006922A9" w:rsidRPr="006922A9">
        <w:rPr>
          <w:i/>
          <w:iCs/>
          <w:sz w:val="22"/>
        </w:rPr>
        <w:t>n Asia Pacific Countries</w:t>
      </w:r>
      <w:r w:rsidR="006922A9">
        <w:rPr>
          <w:i/>
          <w:iCs/>
          <w:sz w:val="22"/>
        </w:rPr>
        <w:t xml:space="preserve">  [</w:t>
      </w:r>
      <w:r w:rsidR="006922A9" w:rsidRPr="006922A9">
        <w:rPr>
          <w:i/>
          <w:iCs/>
          <w:sz w:val="22"/>
        </w:rPr>
        <w:t>http://www.apt.int/sites/default/files/APT-AWF-REP-15_APT_Report_on_Mobile_Band_Usage.doc</w:t>
      </w:r>
      <w:r w:rsidR="006922A9">
        <w:rPr>
          <w:i/>
          <w:iCs/>
          <w:sz w:val="22"/>
        </w:rPr>
        <w:t xml:space="preserve"> ]</w:t>
      </w:r>
    </w:p>
    <w:p w:rsidR="008B22B8" w:rsidRPr="001F1BB1" w:rsidRDefault="008B22B8" w:rsidP="0096153D">
      <w:pPr>
        <w:numPr>
          <w:ilvl w:val="0"/>
          <w:numId w:val="8"/>
        </w:numPr>
        <w:spacing w:after="240"/>
        <w:rPr>
          <w:sz w:val="22"/>
          <w:szCs w:val="22"/>
        </w:rPr>
      </w:pPr>
      <w:r w:rsidRPr="001F1BB1">
        <w:rPr>
          <w:i/>
          <w:iCs/>
          <w:sz w:val="22"/>
          <w:szCs w:val="22"/>
        </w:rPr>
        <w:t>Towards 2020 –Future Spectrum Requirements for Mobile Broadband</w:t>
      </w:r>
      <w:r w:rsidRPr="001F1BB1">
        <w:rPr>
          <w:sz w:val="22"/>
          <w:szCs w:val="22"/>
        </w:rPr>
        <w:t xml:space="preserve">, Australian Communications and Media Authority (May 2011), http://www.acma.gov.au/webwr/_assets/main/lib312084/ifc13_2011_toward_2020-future_spectrum_requirements.pdf. </w:t>
      </w:r>
    </w:p>
    <w:p w:rsidR="008B22B8" w:rsidRPr="001F1BB1" w:rsidRDefault="008B22B8" w:rsidP="0096153D">
      <w:pPr>
        <w:numPr>
          <w:ilvl w:val="0"/>
          <w:numId w:val="8"/>
        </w:numPr>
        <w:spacing w:after="240"/>
        <w:rPr>
          <w:sz w:val="22"/>
        </w:rPr>
      </w:pPr>
      <w:r w:rsidRPr="001F1BB1">
        <w:rPr>
          <w:color w:val="000000"/>
          <w:sz w:val="22"/>
          <w:szCs w:val="22"/>
        </w:rPr>
        <w:t xml:space="preserve">For the Table of Frequency Allocations for the United States, </w:t>
      </w:r>
      <w:r w:rsidRPr="001F1BB1">
        <w:rPr>
          <w:i/>
          <w:color w:val="000000"/>
          <w:sz w:val="22"/>
          <w:szCs w:val="22"/>
        </w:rPr>
        <w:t>see</w:t>
      </w:r>
      <w:r w:rsidRPr="001F1BB1">
        <w:rPr>
          <w:color w:val="000000"/>
          <w:sz w:val="22"/>
          <w:szCs w:val="22"/>
        </w:rPr>
        <w:t xml:space="preserve"> </w:t>
      </w:r>
      <w:r w:rsidRPr="001F1BB1">
        <w:rPr>
          <w:sz w:val="22"/>
          <w:szCs w:val="22"/>
        </w:rPr>
        <w:t xml:space="preserve">47 C.F.R. § 2.106. For the ISM bands, </w:t>
      </w:r>
      <w:r w:rsidRPr="001F1BB1">
        <w:rPr>
          <w:i/>
          <w:sz w:val="22"/>
          <w:szCs w:val="22"/>
        </w:rPr>
        <w:t>see</w:t>
      </w:r>
      <w:r w:rsidRPr="001F1BB1">
        <w:rPr>
          <w:sz w:val="22"/>
          <w:szCs w:val="22"/>
        </w:rPr>
        <w:t xml:space="preserve"> 47 C.F.R. § 2.106 international n.5.150. </w:t>
      </w:r>
    </w:p>
    <w:p w:rsidR="008B22B8" w:rsidRPr="001F1BB1" w:rsidRDefault="008B22B8" w:rsidP="0096153D">
      <w:pPr>
        <w:numPr>
          <w:ilvl w:val="0"/>
          <w:numId w:val="8"/>
        </w:numPr>
        <w:spacing w:after="240"/>
        <w:rPr>
          <w:sz w:val="22"/>
        </w:rPr>
      </w:pPr>
      <w:r w:rsidRPr="001F1BB1">
        <w:rPr>
          <w:color w:val="000000"/>
          <w:sz w:val="22"/>
          <w:szCs w:val="22"/>
        </w:rPr>
        <w:t xml:space="preserve">For Part 15–Radio Frequency Devices operating in the United States, </w:t>
      </w:r>
      <w:r w:rsidRPr="001F1BB1">
        <w:rPr>
          <w:i/>
          <w:color w:val="000000"/>
          <w:sz w:val="22"/>
          <w:szCs w:val="22"/>
        </w:rPr>
        <w:t>see</w:t>
      </w:r>
      <w:r w:rsidRPr="001F1BB1">
        <w:rPr>
          <w:color w:val="000000"/>
          <w:sz w:val="22"/>
          <w:szCs w:val="22"/>
        </w:rPr>
        <w:t xml:space="preserve"> </w:t>
      </w:r>
      <w:r w:rsidRPr="001F1BB1">
        <w:rPr>
          <w:sz w:val="22"/>
          <w:szCs w:val="22"/>
        </w:rPr>
        <w:t xml:space="preserve">47 C.F.R. §§ 15.1-.717.  In particular, </w:t>
      </w:r>
      <w:r w:rsidRPr="001F1BB1">
        <w:rPr>
          <w:i/>
          <w:sz w:val="22"/>
          <w:szCs w:val="22"/>
        </w:rPr>
        <w:t>see</w:t>
      </w:r>
      <w:r w:rsidRPr="001F1BB1">
        <w:rPr>
          <w:sz w:val="22"/>
          <w:szCs w:val="22"/>
        </w:rPr>
        <w:t xml:space="preserve"> 47 C.F.R. §§ 15.245, 15.247, 15.249, 15.301-.407, 15.701-.717; </w:t>
      </w:r>
      <w:r w:rsidRPr="001F1BB1">
        <w:rPr>
          <w:i/>
          <w:sz w:val="22"/>
          <w:szCs w:val="22"/>
        </w:rPr>
        <w:t>see also</w:t>
      </w:r>
      <w:r w:rsidRPr="001F1BB1">
        <w:rPr>
          <w:sz w:val="22"/>
          <w:szCs w:val="22"/>
        </w:rPr>
        <w:t xml:space="preserve"> 47 C.F.R. § 90.1301-.1337.  </w:t>
      </w:r>
    </w:p>
    <w:p w:rsidR="008B22B8" w:rsidRPr="001F1BB1" w:rsidRDefault="008B22B8" w:rsidP="0096153D">
      <w:pPr>
        <w:numPr>
          <w:ilvl w:val="0"/>
          <w:numId w:val="8"/>
        </w:numPr>
        <w:spacing w:after="240"/>
        <w:rPr>
          <w:sz w:val="22"/>
        </w:rPr>
      </w:pPr>
      <w:r w:rsidRPr="001F1BB1">
        <w:rPr>
          <w:sz w:val="22"/>
          <w:szCs w:val="22"/>
        </w:rPr>
        <w:t xml:space="preserve">For Short Range Devices operating in CEPT administrations, </w:t>
      </w:r>
      <w:r w:rsidRPr="001F1BB1">
        <w:rPr>
          <w:i/>
          <w:iCs/>
          <w:sz w:val="22"/>
          <w:szCs w:val="22"/>
        </w:rPr>
        <w:t>see</w:t>
      </w:r>
      <w:r w:rsidRPr="001F1BB1">
        <w:rPr>
          <w:sz w:val="22"/>
          <w:szCs w:val="22"/>
        </w:rPr>
        <w:t xml:space="preserve"> </w:t>
      </w:r>
      <w:r w:rsidRPr="001F1BB1">
        <w:rPr>
          <w:i/>
          <w:sz w:val="22"/>
          <w:szCs w:val="22"/>
        </w:rPr>
        <w:t>ERC Recommendation 70-03, R</w:t>
      </w:r>
      <w:r w:rsidRPr="001F1BB1">
        <w:rPr>
          <w:i/>
          <w:color w:val="000000"/>
          <w:sz w:val="22"/>
          <w:szCs w:val="22"/>
        </w:rPr>
        <w:t xml:space="preserve">elating to the Use of Short Range Devices </w:t>
      </w:r>
      <w:r w:rsidRPr="001F1BB1">
        <w:rPr>
          <w:i/>
          <w:sz w:val="22"/>
          <w:szCs w:val="22"/>
        </w:rPr>
        <w:t>(SRD</w:t>
      </w:r>
      <w:r w:rsidRPr="001F1BB1">
        <w:rPr>
          <w:sz w:val="22"/>
          <w:szCs w:val="22"/>
        </w:rPr>
        <w:t>), CEPT Electronic Communications Committee (Oct.9, 2012), http://www.erodocdb.dk/Docs/doc98/official/pdf/REC7003E.PDF</w:t>
      </w:r>
      <w:r w:rsidRPr="001F1BB1">
        <w:rPr>
          <w:color w:val="000000"/>
          <w:sz w:val="22"/>
          <w:szCs w:val="22"/>
        </w:rPr>
        <w:t>.</w:t>
      </w:r>
    </w:p>
    <w:p w:rsidR="008B22B8" w:rsidRPr="001F1BB1" w:rsidRDefault="008B22B8" w:rsidP="0096153D">
      <w:pPr>
        <w:numPr>
          <w:ilvl w:val="0"/>
          <w:numId w:val="8"/>
        </w:numPr>
        <w:spacing w:after="240"/>
        <w:rPr>
          <w:sz w:val="22"/>
        </w:rPr>
      </w:pPr>
      <w:r w:rsidRPr="001F1BB1">
        <w:rPr>
          <w:sz w:val="22"/>
          <w:szCs w:val="22"/>
        </w:rPr>
        <w:t xml:space="preserve">For DECT phones, </w:t>
      </w:r>
      <w:r w:rsidRPr="001F1BB1">
        <w:rPr>
          <w:i/>
          <w:iCs/>
          <w:sz w:val="22"/>
          <w:szCs w:val="22"/>
        </w:rPr>
        <w:t xml:space="preserve">see </w:t>
      </w:r>
      <w:r w:rsidRPr="001F1BB1">
        <w:rPr>
          <w:i/>
          <w:sz w:val="22"/>
          <w:szCs w:val="22"/>
        </w:rPr>
        <w:t>Recommendation ITU-R M.1457-10, Detailed specifications of the terrestrial radio interfaces of International Mobile Telecommunications-2000,</w:t>
      </w:r>
      <w:r w:rsidRPr="001F1BB1">
        <w:rPr>
          <w:sz w:val="22"/>
          <w:szCs w:val="22"/>
        </w:rPr>
        <w:t xml:space="preserve"> </w:t>
      </w:r>
      <w:r w:rsidRPr="001F1BB1">
        <w:rPr>
          <w:color w:val="000000"/>
          <w:sz w:val="22"/>
          <w:szCs w:val="22"/>
        </w:rPr>
        <w:t xml:space="preserve">International Telecommunications Union, </w:t>
      </w:r>
      <w:r w:rsidRPr="001F1BB1">
        <w:rPr>
          <w:sz w:val="22"/>
          <w:szCs w:val="22"/>
        </w:rPr>
        <w:t>785-801 (June 2011), http://www.itu.int/dms_pubrec/itu-r/rec/m/R-REC-M.1457-10-201106-I!!PDF-E.pdf; Digital Enhanced Cordless Telecommunications, Wikipedia, http://en.wikipedia.org/wiki/Digital_Enhanced_Cordless_Telecommunications</w:t>
      </w:r>
      <w:r w:rsidRPr="001F1BB1">
        <w:rPr>
          <w:color w:val="000000"/>
          <w:sz w:val="22"/>
          <w:szCs w:val="22"/>
        </w:rPr>
        <w:t>.</w:t>
      </w:r>
    </w:p>
    <w:p w:rsidR="008B22B8" w:rsidRPr="001F1BB1" w:rsidRDefault="008B22B8" w:rsidP="0096153D">
      <w:pPr>
        <w:numPr>
          <w:ilvl w:val="0"/>
          <w:numId w:val="8"/>
        </w:numPr>
        <w:rPr>
          <w:color w:val="000000"/>
          <w:sz w:val="22"/>
          <w:szCs w:val="22"/>
        </w:rPr>
      </w:pPr>
      <w:r w:rsidRPr="001F1BB1">
        <w:rPr>
          <w:color w:val="000000"/>
          <w:sz w:val="22"/>
          <w:szCs w:val="22"/>
        </w:rPr>
        <w:t xml:space="preserve">For the PCAST Report, </w:t>
      </w:r>
      <w:r w:rsidRPr="001F1BB1">
        <w:rPr>
          <w:i/>
          <w:color w:val="000000"/>
          <w:sz w:val="22"/>
          <w:szCs w:val="22"/>
        </w:rPr>
        <w:t>see</w:t>
      </w:r>
      <w:r w:rsidRPr="001F1BB1">
        <w:rPr>
          <w:color w:val="000000"/>
          <w:sz w:val="22"/>
          <w:szCs w:val="22"/>
        </w:rPr>
        <w:t xml:space="preserve"> Executive Office of the President, President’s Council of Advisors on Science and Technology, Realizing the Full Potential of Government-Held Spectrum to Spur Economic Growth (2012), </w:t>
      </w:r>
      <w:r w:rsidRPr="001F1BB1">
        <w:rPr>
          <w:i/>
          <w:color w:val="000000"/>
          <w:sz w:val="22"/>
          <w:szCs w:val="22"/>
        </w:rPr>
        <w:t xml:space="preserve">available at </w:t>
      </w:r>
      <w:r w:rsidRPr="001F1BB1">
        <w:rPr>
          <w:color w:val="000000"/>
          <w:sz w:val="22"/>
          <w:szCs w:val="22"/>
        </w:rPr>
        <w:t>http://www.whitehouse.gov/administration/eop/ostp/pcast/docsreports.</w:t>
      </w:r>
    </w:p>
    <w:p w:rsidR="008B22B8" w:rsidRPr="001F1BB1" w:rsidRDefault="008B22B8" w:rsidP="005472B0">
      <w:pPr>
        <w:spacing w:after="240"/>
        <w:rPr>
          <w:sz w:val="22"/>
        </w:rPr>
      </w:pPr>
    </w:p>
    <w:sectPr w:rsidR="008B22B8" w:rsidRPr="001F1BB1" w:rsidSect="005472B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A243A" w:rsidRDefault="000A243A">
      <w:r>
        <w:separator/>
      </w:r>
    </w:p>
  </w:endnote>
  <w:endnote w:type="continuationSeparator" w:id="0">
    <w:p w:rsidR="000A243A" w:rsidRDefault="000A243A">
      <w:r>
        <w:continuationSeparator/>
      </w:r>
    </w:p>
  </w:endnote>
  <w:endnote w:type="continuationNotice" w:id="1">
    <w:p w:rsidR="000A243A" w:rsidRDefault="000A243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altName w:val="Times New Roman"/>
    <w:panose1 w:val="02020803070505020304"/>
    <w:charset w:val="00"/>
    <w:family w:val="auto"/>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imes-Bold">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7883" w:rsidRDefault="00DA788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22B8" w:rsidRPr="00D8080F" w:rsidRDefault="008B22B8" w:rsidP="005472B0">
    <w:pPr>
      <w:pStyle w:val="Footer"/>
      <w:jc w:val="center"/>
      <w:rPr>
        <w:sz w:val="22"/>
      </w:rPr>
    </w:pPr>
    <w:r w:rsidRPr="00D8080F">
      <w:rPr>
        <w:sz w:val="22"/>
      </w:rPr>
      <w:t xml:space="preserve">Page </w:t>
    </w:r>
    <w:r w:rsidRPr="00D8080F">
      <w:rPr>
        <w:sz w:val="22"/>
      </w:rPr>
      <w:fldChar w:fldCharType="begin"/>
    </w:r>
    <w:r w:rsidRPr="00D8080F">
      <w:rPr>
        <w:sz w:val="22"/>
      </w:rPr>
      <w:instrText xml:space="preserve"> PAGE </w:instrText>
    </w:r>
    <w:r w:rsidRPr="00D8080F">
      <w:rPr>
        <w:sz w:val="22"/>
      </w:rPr>
      <w:fldChar w:fldCharType="separate"/>
    </w:r>
    <w:r w:rsidR="00D36CF8">
      <w:rPr>
        <w:noProof/>
        <w:sz w:val="22"/>
      </w:rPr>
      <w:t>2</w:t>
    </w:r>
    <w:r w:rsidRPr="00D8080F">
      <w:rPr>
        <w:sz w:val="22"/>
      </w:rPr>
      <w:fldChar w:fldCharType="end"/>
    </w:r>
    <w:r w:rsidRPr="00D8080F">
      <w:rPr>
        <w:sz w:val="22"/>
      </w:rPr>
      <w:t xml:space="preserve"> of </w:t>
    </w:r>
    <w:r w:rsidRPr="00D8080F">
      <w:rPr>
        <w:sz w:val="22"/>
      </w:rPr>
      <w:fldChar w:fldCharType="begin"/>
    </w:r>
    <w:r w:rsidRPr="00D8080F">
      <w:rPr>
        <w:sz w:val="22"/>
      </w:rPr>
      <w:instrText xml:space="preserve"> NUMPAGES </w:instrText>
    </w:r>
    <w:r w:rsidRPr="00D8080F">
      <w:rPr>
        <w:sz w:val="22"/>
      </w:rPr>
      <w:fldChar w:fldCharType="separate"/>
    </w:r>
    <w:r w:rsidR="00D36CF8">
      <w:rPr>
        <w:noProof/>
        <w:sz w:val="22"/>
      </w:rPr>
      <w:t>19</w:t>
    </w:r>
    <w:r w:rsidRPr="00D8080F">
      <w:rPr>
        <w:sz w:val="22"/>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7883" w:rsidRDefault="00DA788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A243A" w:rsidRDefault="000A243A">
      <w:r>
        <w:separator/>
      </w:r>
    </w:p>
  </w:footnote>
  <w:footnote w:type="continuationSeparator" w:id="0">
    <w:p w:rsidR="000A243A" w:rsidRDefault="000A243A">
      <w:r>
        <w:continuationSeparator/>
      </w:r>
    </w:p>
  </w:footnote>
  <w:footnote w:type="continuationNotice" w:id="1">
    <w:p w:rsidR="000A243A" w:rsidRDefault="000A243A"/>
  </w:footnote>
  <w:footnote w:id="2">
    <w:p w:rsidR="008B22B8" w:rsidRDefault="008B22B8" w:rsidP="005472B0">
      <w:pPr>
        <w:pStyle w:val="FootnoteText"/>
      </w:pPr>
      <w:r>
        <w:rPr>
          <w:rStyle w:val="FootnoteReference"/>
        </w:rPr>
        <w:footnoteRef/>
      </w:r>
      <w:r>
        <w:rPr>
          <w:i/>
        </w:rPr>
        <w:t>See</w:t>
      </w:r>
      <w:r>
        <w:t xml:space="preserve"> Cisco White Paper, Cisco Visual Networking Index: Global Mobile Data Traffic Forecast Update, 2011-2016, Executive Summary, February 14, 2012, available at http://www.cisco.com/en/US/solutions/collateral/ns341/ns525/ns537/ns705/ns827/white_paper_c11-520862.html (last visited </w:t>
      </w:r>
      <w:r w:rsidR="00B9005C">
        <w:t>Jan</w:t>
      </w:r>
      <w:r>
        <w:t xml:space="preserve">. </w:t>
      </w:r>
      <w:r w:rsidR="00B9005C">
        <w:t>10</w:t>
      </w:r>
      <w:r>
        <w:t>, 201</w:t>
      </w:r>
      <w:r w:rsidR="00B9005C">
        <w:t>3</w:t>
      </w:r>
      <w:r>
        <w:t>).</w:t>
      </w:r>
    </w:p>
  </w:footnote>
  <w:footnote w:id="3">
    <w:p w:rsidR="00277F7C" w:rsidRDefault="00277F7C">
      <w:pPr>
        <w:pStyle w:val="FootnoteText"/>
      </w:pPr>
      <w:r>
        <w:rPr>
          <w:rStyle w:val="FootnoteReference"/>
        </w:rPr>
        <w:footnoteRef/>
      </w:r>
      <w:r>
        <w:t xml:space="preserve"> The countries selected for this initial analysis were based in part on data availability.  Future updates of this paper may also include countries such as Canada, Mexico, South Korea, Singapore, and India.</w:t>
      </w:r>
    </w:p>
  </w:footnote>
  <w:footnote w:id="4">
    <w:p w:rsidR="008B22B8" w:rsidRDefault="008B22B8">
      <w:pPr>
        <w:pStyle w:val="FootnoteText"/>
      </w:pPr>
      <w:r>
        <w:rPr>
          <w:rStyle w:val="FootnoteReference"/>
        </w:rPr>
        <w:footnoteRef/>
      </w:r>
      <w:r>
        <w:t xml:space="preserve"> We will modify our analysis in the event the predominant use of licensed spectrum between 2.7 and 3.7 GHz changes. </w:t>
      </w:r>
      <w:r w:rsidR="00B9005C">
        <w:t xml:space="preserve"> </w:t>
      </w:r>
      <w:r>
        <w:t xml:space="preserve">We note that there are instances where licensed spectrum above 2.7 GHz is authorized for </w:t>
      </w:r>
      <w:r w:rsidRPr="00370357">
        <w:t xml:space="preserve">mobile use </w:t>
      </w:r>
      <w:r>
        <w:t xml:space="preserve">– for example, 3.5 GHz spectrum is authorized for mobile use in European countries, and Japan plans to make the 3400-3600 MHz band available for mobile broadband.  Furthermore, the National Broadband Plan includes licensed spectrum up to 3.7 GHz as part of its recommendation that an additional 300 megahertz of spectrum be made available by 2015 for mobile use in the United States.  </w:t>
      </w:r>
      <w:r>
        <w:rPr>
          <w:i/>
        </w:rPr>
        <w:t xml:space="preserve">See </w:t>
      </w:r>
      <w:r w:rsidR="00B9005C">
        <w:t xml:space="preserve">Connecting America: The National Broadband Plan, </w:t>
      </w:r>
      <w:r>
        <w:t>Recommendation 5.8</w:t>
      </w:r>
      <w:r w:rsidR="00B9005C">
        <w:t xml:space="preserve"> (Mar. 16, 2010)</w:t>
      </w:r>
      <w:r>
        <w:t xml:space="preserve">.  We note, however, that while spectrum between 2.7 and 3.7 GHz is capable of </w:t>
      </w:r>
      <w:r w:rsidRPr="00370357">
        <w:t>supporting</w:t>
      </w:r>
      <w:r>
        <w:t xml:space="preserve"> and/or augmenting mobile services today, and even higher frequencies can be used to augment mobile services, this spectrum currently provides more limited mobility than lower frequency spectrum.  In addition, spectrum above 2.7 GHz – both licensed and unlicensed – is not now used for mobile use, but to </w:t>
      </w:r>
      <w:r w:rsidRPr="00370357">
        <w:t>augment</w:t>
      </w:r>
      <w:r>
        <w:t xml:space="preserve"> and offload mobile networks – for example mobile network providers can deploy Wi</w:t>
      </w:r>
      <w:r w:rsidR="00892379">
        <w:t>-</w:t>
      </w:r>
      <w:r>
        <w:t>Fi hotspots that use 5 GHz unlicensed spectrum.  Thus, we discuss</w:t>
      </w:r>
      <w:r w:rsidR="00A5795F">
        <w:t xml:space="preserve"> </w:t>
      </w:r>
      <w:r>
        <w:t xml:space="preserve">spectrum bands above 2.7 GHz </w:t>
      </w:r>
      <w:r w:rsidR="00A5795F">
        <w:t>in the Unlicensed Spectrum Resources section below</w:t>
      </w:r>
      <w:r>
        <w:t>.  As technical advances that further blur the line between full mobility and hotspot coverage are developed and deployed, we may modify our analysis to recognize this</w:t>
      </w:r>
      <w:r w:rsidR="00121C5E">
        <w:t>.</w:t>
      </w:r>
      <w:r>
        <w:t xml:space="preserve"> </w:t>
      </w:r>
    </w:p>
  </w:footnote>
  <w:footnote w:id="5">
    <w:p w:rsidR="008B22B8" w:rsidRDefault="008B22B8" w:rsidP="005472B0">
      <w:pPr>
        <w:pStyle w:val="FootnoteText"/>
      </w:pPr>
      <w:r>
        <w:rPr>
          <w:rStyle w:val="FootnoteReference"/>
        </w:rPr>
        <w:footnoteRef/>
      </w:r>
      <w:r>
        <w:t xml:space="preserve"> With respect to other countries, most countries in Asia and Latin America use a combination of </w:t>
      </w:r>
      <w:r w:rsidR="00981DE3">
        <w:t>US</w:t>
      </w:r>
      <w:r>
        <w:t xml:space="preserve"> and European bands for mobile services, while the Middle East and Africa generally follow the European standard bands, with a few exceptions.</w:t>
      </w:r>
    </w:p>
  </w:footnote>
  <w:footnote w:id="6">
    <w:p w:rsidR="008B22B8" w:rsidRDefault="008B22B8" w:rsidP="00482988">
      <w:pPr>
        <w:spacing w:after="60"/>
      </w:pPr>
      <w:r w:rsidRPr="00482988">
        <w:rPr>
          <w:rStyle w:val="FootnoteReference"/>
          <w:sz w:val="20"/>
          <w:szCs w:val="20"/>
        </w:rPr>
        <w:footnoteRef/>
      </w:r>
      <w:r w:rsidRPr="00482988">
        <w:rPr>
          <w:rStyle w:val="FootnoteReference"/>
          <w:sz w:val="20"/>
          <w:szCs w:val="20"/>
        </w:rPr>
        <w:t xml:space="preserve"> </w:t>
      </w:r>
      <w:r w:rsidRPr="00482988">
        <w:rPr>
          <w:i/>
          <w:iCs/>
          <w:sz w:val="20"/>
          <w:szCs w:val="20"/>
        </w:rPr>
        <w:t xml:space="preserve">See, e.g., </w:t>
      </w:r>
      <w:r w:rsidRPr="00482988">
        <w:rPr>
          <w:sz w:val="20"/>
          <w:szCs w:val="20"/>
        </w:rPr>
        <w:t xml:space="preserve">Office of Engineering and Technology Invites Proposals from Entities Seeking To Be Designated TV Band Device Database Managers, ET Docket No. 04-186, </w:t>
      </w:r>
      <w:r w:rsidRPr="00482988">
        <w:rPr>
          <w:i/>
          <w:iCs/>
          <w:sz w:val="20"/>
          <w:szCs w:val="20"/>
        </w:rPr>
        <w:t>Public Notice</w:t>
      </w:r>
      <w:r w:rsidRPr="00482988">
        <w:rPr>
          <w:sz w:val="20"/>
          <w:szCs w:val="20"/>
        </w:rPr>
        <w:t>, 24 FCC Rcd 14136 (2009).</w:t>
      </w:r>
    </w:p>
  </w:footnote>
  <w:footnote w:id="7">
    <w:p w:rsidR="008B22B8" w:rsidRDefault="008B22B8" w:rsidP="00482988">
      <w:pPr>
        <w:spacing w:after="60"/>
      </w:pPr>
      <w:r w:rsidRPr="00482988">
        <w:rPr>
          <w:rStyle w:val="FootnoteReference"/>
          <w:sz w:val="20"/>
          <w:szCs w:val="20"/>
        </w:rPr>
        <w:footnoteRef/>
      </w:r>
      <w:r>
        <w:t xml:space="preserve"> </w:t>
      </w:r>
      <w:r w:rsidRPr="00482988">
        <w:rPr>
          <w:i/>
          <w:iCs/>
          <w:sz w:val="20"/>
          <w:szCs w:val="20"/>
        </w:rPr>
        <w:t>See, e.g</w:t>
      </w:r>
      <w:r w:rsidR="001C3005">
        <w:rPr>
          <w:i/>
          <w:iCs/>
          <w:sz w:val="20"/>
          <w:szCs w:val="20"/>
        </w:rPr>
        <w:t>.</w:t>
      </w:r>
      <w:r w:rsidR="00B9005C">
        <w:rPr>
          <w:i/>
          <w:iCs/>
          <w:sz w:val="20"/>
          <w:szCs w:val="20"/>
        </w:rPr>
        <w:t>,</w:t>
      </w:r>
      <w:r w:rsidRPr="001C5B63">
        <w:rPr>
          <w:iCs/>
          <w:sz w:val="20"/>
          <w:szCs w:val="20"/>
        </w:rPr>
        <w:t xml:space="preserve"> </w:t>
      </w:r>
      <w:r w:rsidRPr="0009609A">
        <w:rPr>
          <w:sz w:val="20"/>
          <w:szCs w:val="20"/>
        </w:rPr>
        <w:t xml:space="preserve">Wireless </w:t>
      </w:r>
      <w:r w:rsidRPr="00482988">
        <w:rPr>
          <w:sz w:val="20"/>
          <w:szCs w:val="20"/>
        </w:rPr>
        <w:t xml:space="preserve">Telecommunications Bureau Announces Start Date for Licensing and Registration Process for the 3650-3700 MHz Band, ET Docket No. 04-151; WT Docket No.  05-96, </w:t>
      </w:r>
      <w:r w:rsidRPr="00482988">
        <w:rPr>
          <w:i/>
          <w:iCs/>
          <w:sz w:val="20"/>
          <w:szCs w:val="20"/>
        </w:rPr>
        <w:t>Public Notice</w:t>
      </w:r>
      <w:r w:rsidRPr="00482988">
        <w:rPr>
          <w:sz w:val="20"/>
          <w:szCs w:val="20"/>
        </w:rPr>
        <w:t>, 22 FCC Rcd 19802 (2007).</w:t>
      </w:r>
      <w: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7883" w:rsidRDefault="00DA788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22B8" w:rsidRPr="001C5B63" w:rsidRDefault="00422632" w:rsidP="00422632">
    <w:pPr>
      <w:pStyle w:val="Header"/>
      <w:tabs>
        <w:tab w:val="clear" w:pos="8640"/>
        <w:tab w:val="right" w:pos="9360"/>
      </w:tabs>
      <w:rPr>
        <w:i/>
        <w:sz w:val="22"/>
      </w:rPr>
    </w:pPr>
    <w:r>
      <w:rPr>
        <w:i/>
        <w:sz w:val="22"/>
      </w:rPr>
      <w:t>FCC International Spectrum White Paper</w:t>
    </w:r>
    <w:r>
      <w:rPr>
        <w:i/>
        <w:sz w:val="22"/>
      </w:rPr>
      <w:tab/>
    </w:r>
    <w:r>
      <w:rPr>
        <w:i/>
        <w:sz w:val="22"/>
      </w:rPr>
      <w:tab/>
    </w:r>
    <w:r w:rsidR="00FF5555">
      <w:rPr>
        <w:i/>
        <w:sz w:val="22"/>
      </w:rPr>
      <w:t>Febr</w:t>
    </w:r>
    <w:r w:rsidR="00FF5555" w:rsidRPr="001C5B63">
      <w:rPr>
        <w:i/>
        <w:sz w:val="22"/>
      </w:rPr>
      <w:t>uary</w:t>
    </w:r>
    <w:r w:rsidR="00FF5555">
      <w:rPr>
        <w:i/>
        <w:sz w:val="22"/>
      </w:rPr>
      <w:t xml:space="preserve"> </w:t>
    </w:r>
    <w:r w:rsidR="00F8064C">
      <w:rPr>
        <w:i/>
        <w:sz w:val="22"/>
      </w:rPr>
      <w:t>26</w:t>
    </w:r>
    <w:r w:rsidR="00C01A18">
      <w:rPr>
        <w:i/>
        <w:sz w:val="22"/>
      </w:rPr>
      <w:t>,</w:t>
    </w:r>
    <w:r w:rsidR="00A52F9B" w:rsidRPr="001C5B63">
      <w:rPr>
        <w:i/>
        <w:sz w:val="22"/>
      </w:rPr>
      <w:t xml:space="preserve"> 2013</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7883" w:rsidRDefault="00DA788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67E05EC8"/>
    <w:lvl w:ilvl="0">
      <w:start w:val="1"/>
      <w:numFmt w:val="bullet"/>
      <w:lvlText w:val=""/>
      <w:lvlJc w:val="left"/>
      <w:pPr>
        <w:tabs>
          <w:tab w:val="num" w:pos="0"/>
        </w:tabs>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F52C2582"/>
    <w:lvl w:ilvl="0">
      <w:start w:val="1"/>
      <w:numFmt w:val="decimal"/>
      <w:lvlText w:val="%1."/>
      <w:lvlJc w:val="left"/>
      <w:pPr>
        <w:tabs>
          <w:tab w:val="num" w:pos="1800"/>
        </w:tabs>
        <w:ind w:left="1800" w:hanging="360"/>
      </w:pPr>
      <w:rPr>
        <w:rFonts w:cs="Times New Roman"/>
      </w:rPr>
    </w:lvl>
  </w:abstractNum>
  <w:abstractNum w:abstractNumId="2">
    <w:nsid w:val="FFFFFF7D"/>
    <w:multiLevelType w:val="singleLevel"/>
    <w:tmpl w:val="6C5C6F4A"/>
    <w:lvl w:ilvl="0">
      <w:start w:val="1"/>
      <w:numFmt w:val="decimal"/>
      <w:lvlText w:val="%1."/>
      <w:lvlJc w:val="left"/>
      <w:pPr>
        <w:tabs>
          <w:tab w:val="num" w:pos="1440"/>
        </w:tabs>
        <w:ind w:left="1440" w:hanging="360"/>
      </w:pPr>
      <w:rPr>
        <w:rFonts w:cs="Times New Roman"/>
      </w:rPr>
    </w:lvl>
  </w:abstractNum>
  <w:abstractNum w:abstractNumId="3">
    <w:nsid w:val="FFFFFF7E"/>
    <w:multiLevelType w:val="singleLevel"/>
    <w:tmpl w:val="F2AE931E"/>
    <w:lvl w:ilvl="0">
      <w:start w:val="1"/>
      <w:numFmt w:val="decimal"/>
      <w:lvlText w:val="%1."/>
      <w:lvlJc w:val="left"/>
      <w:pPr>
        <w:tabs>
          <w:tab w:val="num" w:pos="1080"/>
        </w:tabs>
        <w:ind w:left="1080" w:hanging="360"/>
      </w:pPr>
      <w:rPr>
        <w:rFonts w:cs="Times New Roman"/>
      </w:rPr>
    </w:lvl>
  </w:abstractNum>
  <w:abstractNum w:abstractNumId="4">
    <w:nsid w:val="FFFFFF7F"/>
    <w:multiLevelType w:val="singleLevel"/>
    <w:tmpl w:val="52505C94"/>
    <w:lvl w:ilvl="0">
      <w:start w:val="1"/>
      <w:numFmt w:val="decimal"/>
      <w:lvlText w:val="%1."/>
      <w:lvlJc w:val="left"/>
      <w:pPr>
        <w:tabs>
          <w:tab w:val="num" w:pos="720"/>
        </w:tabs>
        <w:ind w:left="720" w:hanging="360"/>
      </w:pPr>
      <w:rPr>
        <w:rFonts w:cs="Times New Roman"/>
      </w:rPr>
    </w:lvl>
  </w:abstractNum>
  <w:abstractNum w:abstractNumId="5">
    <w:nsid w:val="FFFFFF80"/>
    <w:multiLevelType w:val="singleLevel"/>
    <w:tmpl w:val="8ED06C78"/>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D9EEF752"/>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8D961BD4"/>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387C352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D4C8A110"/>
    <w:lvl w:ilvl="0">
      <w:start w:val="1"/>
      <w:numFmt w:val="decimal"/>
      <w:lvlText w:val="%1."/>
      <w:lvlJc w:val="left"/>
      <w:pPr>
        <w:tabs>
          <w:tab w:val="num" w:pos="360"/>
        </w:tabs>
        <w:ind w:left="360" w:hanging="360"/>
      </w:pPr>
      <w:rPr>
        <w:rFonts w:cs="Times New Roman"/>
      </w:rPr>
    </w:lvl>
  </w:abstractNum>
  <w:abstractNum w:abstractNumId="10">
    <w:nsid w:val="FFFFFF89"/>
    <w:multiLevelType w:val="singleLevel"/>
    <w:tmpl w:val="E7206B22"/>
    <w:lvl w:ilvl="0">
      <w:start w:val="1"/>
      <w:numFmt w:val="bullet"/>
      <w:pStyle w:val="ParaNum"/>
      <w:lvlText w:val=""/>
      <w:lvlJc w:val="left"/>
      <w:pPr>
        <w:tabs>
          <w:tab w:val="num" w:pos="360"/>
        </w:tabs>
        <w:ind w:left="360" w:hanging="360"/>
      </w:pPr>
      <w:rPr>
        <w:rFonts w:ascii="Symbol" w:hAnsi="Symbol" w:hint="default"/>
      </w:rPr>
    </w:lvl>
  </w:abstractNum>
  <w:abstractNum w:abstractNumId="11">
    <w:nsid w:val="11AA52D5"/>
    <w:multiLevelType w:val="hybridMultilevel"/>
    <w:tmpl w:val="830A9E80"/>
    <w:lvl w:ilvl="0" w:tplc="C61A60B2">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27E06CBB"/>
    <w:multiLevelType w:val="multilevel"/>
    <w:tmpl w:val="F1A86982"/>
    <w:lvl w:ilvl="0">
      <w:start w:val="1"/>
      <w:numFmt w:val="upperRoman"/>
      <w:pStyle w:val="Heading1"/>
      <w:lvlText w:val="%1."/>
      <w:lvlJc w:val="left"/>
      <w:pPr>
        <w:tabs>
          <w:tab w:val="num" w:pos="720"/>
        </w:tabs>
        <w:ind w:left="720" w:hanging="720"/>
      </w:pPr>
      <w:rPr>
        <w:rFonts w:cs="Times New Roman"/>
      </w:rPr>
    </w:lvl>
    <w:lvl w:ilvl="1">
      <w:start w:val="1"/>
      <w:numFmt w:val="upperLetter"/>
      <w:pStyle w:val="Heading2"/>
      <w:lvlText w:val="%2."/>
      <w:lvlJc w:val="left"/>
      <w:pPr>
        <w:tabs>
          <w:tab w:val="num" w:pos="1440"/>
        </w:tabs>
        <w:ind w:left="1440" w:hanging="720"/>
      </w:pPr>
      <w:rPr>
        <w:rFonts w:cs="Times New Roman"/>
      </w:rPr>
    </w:lvl>
    <w:lvl w:ilvl="2">
      <w:start w:val="1"/>
      <w:numFmt w:val="decimal"/>
      <w:pStyle w:val="Heading3"/>
      <w:lvlText w:val="%3."/>
      <w:lvlJc w:val="left"/>
      <w:pPr>
        <w:tabs>
          <w:tab w:val="num" w:pos="2160"/>
        </w:tabs>
        <w:ind w:left="2160" w:hanging="720"/>
      </w:pPr>
      <w:rPr>
        <w:rFonts w:cs="Times New Roman"/>
      </w:rPr>
    </w:lvl>
    <w:lvl w:ilvl="3">
      <w:start w:val="1"/>
      <w:numFmt w:val="lowerLetter"/>
      <w:pStyle w:val="Heading4"/>
      <w:lvlText w:val="%4."/>
      <w:lvlJc w:val="left"/>
      <w:pPr>
        <w:tabs>
          <w:tab w:val="num" w:pos="2880"/>
        </w:tabs>
        <w:ind w:left="2880" w:hanging="720"/>
      </w:pPr>
      <w:rPr>
        <w:rFonts w:cs="Times New Roman"/>
      </w:rPr>
    </w:lvl>
    <w:lvl w:ilvl="4">
      <w:start w:val="1"/>
      <w:numFmt w:val="lowerRoman"/>
      <w:pStyle w:val="Heading5"/>
      <w:lvlText w:val="(%5)"/>
      <w:lvlJc w:val="left"/>
      <w:pPr>
        <w:tabs>
          <w:tab w:val="num" w:pos="3600"/>
        </w:tabs>
        <w:ind w:left="3600" w:hanging="720"/>
      </w:pPr>
      <w:rPr>
        <w:rFonts w:cs="Times New Roman"/>
      </w:rPr>
    </w:lvl>
    <w:lvl w:ilvl="5">
      <w:start w:val="1"/>
      <w:numFmt w:val="lowerLetter"/>
      <w:pStyle w:val="Heading6"/>
      <w:lvlText w:val="(%6)"/>
      <w:lvlJc w:val="left"/>
      <w:pPr>
        <w:tabs>
          <w:tab w:val="num" w:pos="4320"/>
        </w:tabs>
        <w:ind w:left="4320" w:hanging="720"/>
      </w:pPr>
      <w:rPr>
        <w:rFonts w:cs="Times New Roman"/>
      </w:rPr>
    </w:lvl>
    <w:lvl w:ilvl="6">
      <w:start w:val="1"/>
      <w:numFmt w:val="lowerRoman"/>
      <w:pStyle w:val="Heading7"/>
      <w:lvlText w:val="(%7)"/>
      <w:lvlJc w:val="left"/>
      <w:pPr>
        <w:tabs>
          <w:tab w:val="num" w:pos="5040"/>
        </w:tabs>
        <w:ind w:left="4320"/>
      </w:pPr>
      <w:rPr>
        <w:rFonts w:cs="Times New Roman"/>
      </w:rPr>
    </w:lvl>
    <w:lvl w:ilvl="7">
      <w:start w:val="1"/>
      <w:numFmt w:val="lowerLetter"/>
      <w:pStyle w:val="Heading8"/>
      <w:lvlText w:val="(%8)"/>
      <w:lvlJc w:val="left"/>
      <w:pPr>
        <w:tabs>
          <w:tab w:val="num" w:pos="5400"/>
        </w:tabs>
        <w:ind w:left="5040"/>
      </w:pPr>
      <w:rPr>
        <w:rFonts w:cs="Times New Roman"/>
      </w:rPr>
    </w:lvl>
    <w:lvl w:ilvl="8">
      <w:start w:val="1"/>
      <w:numFmt w:val="lowerRoman"/>
      <w:pStyle w:val="Heading9"/>
      <w:lvlText w:val="(%9)"/>
      <w:lvlJc w:val="left"/>
      <w:pPr>
        <w:tabs>
          <w:tab w:val="num" w:pos="6120"/>
        </w:tabs>
        <w:ind w:left="5760"/>
      </w:pPr>
      <w:rPr>
        <w:rFonts w:cs="Times New Roman"/>
      </w:rPr>
    </w:lvl>
  </w:abstractNum>
  <w:abstractNum w:abstractNumId="13">
    <w:nsid w:val="33904BAC"/>
    <w:multiLevelType w:val="multilevel"/>
    <w:tmpl w:val="4B4AB766"/>
    <w:lvl w:ilvl="0">
      <w:start w:val="1"/>
      <w:numFmt w:val="decimal"/>
      <w:lvlText w:val="%1)"/>
      <w:lvlJc w:val="left"/>
      <w:pPr>
        <w:ind w:left="360" w:hanging="360"/>
      </w:pPr>
      <w:rPr>
        <w:rFonts w:cs="Times New Roman"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color w:val="auto"/>
      </w:rPr>
    </w:lvl>
    <w:lvl w:ilvl="3">
      <w:start w:val="1"/>
      <w:numFmt w:val="decimal"/>
      <w:lvlText w:val="(%4)"/>
      <w:lvlJc w:val="left"/>
      <w:pPr>
        <w:ind w:left="1440" w:hanging="360"/>
      </w:pPr>
      <w:rPr>
        <w:rFonts w:cs="Times New Roman" w:hint="default"/>
      </w:rPr>
    </w:lvl>
    <w:lvl w:ilvl="4">
      <w:start w:val="1"/>
      <w:numFmt w:val="lowerLetter"/>
      <w:lvlText w:val="(%5)"/>
      <w:lvlJc w:val="left"/>
      <w:pPr>
        <w:ind w:left="1800" w:hanging="360"/>
      </w:pPr>
      <w:rPr>
        <w:rFonts w:cs="Times New Roman" w:hint="default"/>
      </w:rPr>
    </w:lvl>
    <w:lvl w:ilvl="5">
      <w:start w:val="1"/>
      <w:numFmt w:val="lowerRoman"/>
      <w:lvlText w:val="(%6)"/>
      <w:lvlJc w:val="left"/>
      <w:pPr>
        <w:ind w:left="2160" w:hanging="360"/>
      </w:pPr>
      <w:rPr>
        <w:rFonts w:cs="Times New Roman" w:hint="default"/>
      </w:rPr>
    </w:lvl>
    <w:lvl w:ilvl="6">
      <w:start w:val="1"/>
      <w:numFmt w:val="decimal"/>
      <w:lvlText w:val="%7."/>
      <w:lvlJc w:val="left"/>
      <w:pPr>
        <w:ind w:left="2520" w:hanging="360"/>
      </w:pPr>
      <w:rPr>
        <w:rFonts w:cs="Times New Roman" w:hint="default"/>
      </w:rPr>
    </w:lvl>
    <w:lvl w:ilvl="7">
      <w:start w:val="1"/>
      <w:numFmt w:val="lowerLetter"/>
      <w:lvlText w:val="%8."/>
      <w:lvlJc w:val="left"/>
      <w:pPr>
        <w:ind w:left="2880" w:hanging="360"/>
      </w:pPr>
      <w:rPr>
        <w:rFonts w:cs="Times New Roman" w:hint="default"/>
      </w:rPr>
    </w:lvl>
    <w:lvl w:ilvl="8">
      <w:start w:val="1"/>
      <w:numFmt w:val="lowerRoman"/>
      <w:lvlText w:val="%9."/>
      <w:lvlJc w:val="left"/>
      <w:pPr>
        <w:ind w:left="3240" w:hanging="360"/>
      </w:pPr>
      <w:rPr>
        <w:rFonts w:cs="Times New Roman" w:hint="default"/>
      </w:rPr>
    </w:lvl>
  </w:abstractNum>
  <w:abstractNum w:abstractNumId="14">
    <w:nsid w:val="59FF42D8"/>
    <w:multiLevelType w:val="hybridMultilevel"/>
    <w:tmpl w:val="4A366BC2"/>
    <w:lvl w:ilvl="0" w:tplc="441C68C0">
      <w:start w:val="1"/>
      <w:numFmt w:val="bullet"/>
      <w:lvlText w:val=""/>
      <w:lvlJc w:val="left"/>
      <w:pPr>
        <w:ind w:left="1130" w:hanging="360"/>
      </w:pPr>
      <w:rPr>
        <w:rFonts w:ascii="Symbol" w:hAnsi="Symbol" w:hint="default"/>
      </w:rPr>
    </w:lvl>
    <w:lvl w:ilvl="1" w:tplc="04090003" w:tentative="1">
      <w:start w:val="1"/>
      <w:numFmt w:val="bullet"/>
      <w:lvlText w:val="o"/>
      <w:lvlJc w:val="left"/>
      <w:pPr>
        <w:ind w:left="2210" w:hanging="360"/>
      </w:pPr>
      <w:rPr>
        <w:rFonts w:ascii="Courier New" w:hAnsi="Courier New" w:hint="default"/>
      </w:rPr>
    </w:lvl>
    <w:lvl w:ilvl="2" w:tplc="04090005" w:tentative="1">
      <w:start w:val="1"/>
      <w:numFmt w:val="bullet"/>
      <w:lvlText w:val=""/>
      <w:lvlJc w:val="left"/>
      <w:pPr>
        <w:ind w:left="2930" w:hanging="360"/>
      </w:pPr>
      <w:rPr>
        <w:rFonts w:ascii="Wingdings" w:hAnsi="Wingdings" w:hint="default"/>
      </w:rPr>
    </w:lvl>
    <w:lvl w:ilvl="3" w:tplc="04090001" w:tentative="1">
      <w:start w:val="1"/>
      <w:numFmt w:val="bullet"/>
      <w:lvlText w:val=""/>
      <w:lvlJc w:val="left"/>
      <w:pPr>
        <w:ind w:left="3650" w:hanging="360"/>
      </w:pPr>
      <w:rPr>
        <w:rFonts w:ascii="Symbol" w:hAnsi="Symbol" w:hint="default"/>
      </w:rPr>
    </w:lvl>
    <w:lvl w:ilvl="4" w:tplc="04090003" w:tentative="1">
      <w:start w:val="1"/>
      <w:numFmt w:val="bullet"/>
      <w:lvlText w:val="o"/>
      <w:lvlJc w:val="left"/>
      <w:pPr>
        <w:ind w:left="4370" w:hanging="360"/>
      </w:pPr>
      <w:rPr>
        <w:rFonts w:ascii="Courier New" w:hAnsi="Courier New" w:hint="default"/>
      </w:rPr>
    </w:lvl>
    <w:lvl w:ilvl="5" w:tplc="04090005" w:tentative="1">
      <w:start w:val="1"/>
      <w:numFmt w:val="bullet"/>
      <w:lvlText w:val=""/>
      <w:lvlJc w:val="left"/>
      <w:pPr>
        <w:ind w:left="5090" w:hanging="360"/>
      </w:pPr>
      <w:rPr>
        <w:rFonts w:ascii="Wingdings" w:hAnsi="Wingdings" w:hint="default"/>
      </w:rPr>
    </w:lvl>
    <w:lvl w:ilvl="6" w:tplc="04090001" w:tentative="1">
      <w:start w:val="1"/>
      <w:numFmt w:val="bullet"/>
      <w:lvlText w:val=""/>
      <w:lvlJc w:val="left"/>
      <w:pPr>
        <w:ind w:left="5810" w:hanging="360"/>
      </w:pPr>
      <w:rPr>
        <w:rFonts w:ascii="Symbol" w:hAnsi="Symbol" w:hint="default"/>
      </w:rPr>
    </w:lvl>
    <w:lvl w:ilvl="7" w:tplc="04090003" w:tentative="1">
      <w:start w:val="1"/>
      <w:numFmt w:val="bullet"/>
      <w:lvlText w:val="o"/>
      <w:lvlJc w:val="left"/>
      <w:pPr>
        <w:ind w:left="6530" w:hanging="360"/>
      </w:pPr>
      <w:rPr>
        <w:rFonts w:ascii="Courier New" w:hAnsi="Courier New" w:hint="default"/>
      </w:rPr>
    </w:lvl>
    <w:lvl w:ilvl="8" w:tplc="04090005" w:tentative="1">
      <w:start w:val="1"/>
      <w:numFmt w:val="bullet"/>
      <w:lvlText w:val=""/>
      <w:lvlJc w:val="left"/>
      <w:pPr>
        <w:ind w:left="7250" w:hanging="360"/>
      </w:pPr>
      <w:rPr>
        <w:rFonts w:ascii="Wingdings" w:hAnsi="Wingdings" w:hint="default"/>
      </w:rPr>
    </w:lvl>
  </w:abstractNum>
  <w:abstractNum w:abstractNumId="15">
    <w:nsid w:val="61182925"/>
    <w:multiLevelType w:val="singleLevel"/>
    <w:tmpl w:val="0CDA6C6C"/>
    <w:lvl w:ilvl="0">
      <w:start w:val="1"/>
      <w:numFmt w:val="decimal"/>
      <w:lvlText w:val="%1."/>
      <w:lvlJc w:val="left"/>
      <w:pPr>
        <w:tabs>
          <w:tab w:val="num" w:pos="1080"/>
        </w:tabs>
        <w:ind w:firstLine="720"/>
      </w:pPr>
      <w:rPr>
        <w:rFonts w:cs="Times New Roman"/>
        <w:b w:val="0"/>
      </w:rPr>
    </w:lvl>
  </w:abstractNum>
  <w:abstractNum w:abstractNumId="16">
    <w:nsid w:val="661201DE"/>
    <w:multiLevelType w:val="hybridMultilevel"/>
    <w:tmpl w:val="0F2C6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CCD1788"/>
    <w:multiLevelType w:val="hybridMultilevel"/>
    <w:tmpl w:val="C2EEDE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0"/>
  </w:num>
  <w:num w:numId="3">
    <w:abstractNumId w:val="15"/>
  </w:num>
  <w:num w:numId="4">
    <w:abstractNumId w:val="12"/>
  </w:num>
  <w:num w:numId="5">
    <w:abstractNumId w:val="15"/>
  </w:num>
  <w:num w:numId="6">
    <w:abstractNumId w:val="16"/>
  </w:num>
  <w:num w:numId="7">
    <w:abstractNumId w:val="13"/>
  </w:num>
  <w:num w:numId="8">
    <w:abstractNumId w:val="11"/>
  </w:num>
  <w:num w:numId="9">
    <w:abstractNumId w:val="14"/>
  </w:num>
  <w:num w:numId="10">
    <w:abstractNumId w:val="8"/>
  </w:num>
  <w:num w:numId="11">
    <w:abstractNumId w:val="7"/>
  </w:num>
  <w:num w:numId="12">
    <w:abstractNumId w:val="6"/>
  </w:num>
  <w:num w:numId="13">
    <w:abstractNumId w:val="5"/>
  </w:num>
  <w:num w:numId="14">
    <w:abstractNumId w:val="9"/>
  </w:num>
  <w:num w:numId="15">
    <w:abstractNumId w:val="4"/>
  </w:num>
  <w:num w:numId="16">
    <w:abstractNumId w:val="3"/>
  </w:num>
  <w:num w:numId="17">
    <w:abstractNumId w:val="2"/>
  </w:num>
  <w:num w:numId="18">
    <w:abstractNumId w:val="1"/>
  </w:num>
  <w:num w:numId="19">
    <w:abstractNumId w:val="0"/>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removePersonalInformation/>
  <w:removeDateAndTime/>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3959"/>
    <w:rsid w:val="00015F7C"/>
    <w:rsid w:val="000220B6"/>
    <w:rsid w:val="00033938"/>
    <w:rsid w:val="00033DA6"/>
    <w:rsid w:val="00036914"/>
    <w:rsid w:val="00042A0D"/>
    <w:rsid w:val="00047194"/>
    <w:rsid w:val="00047F81"/>
    <w:rsid w:val="000543C1"/>
    <w:rsid w:val="000550F6"/>
    <w:rsid w:val="00055807"/>
    <w:rsid w:val="00057C18"/>
    <w:rsid w:val="00066C76"/>
    <w:rsid w:val="00067B81"/>
    <w:rsid w:val="000721FC"/>
    <w:rsid w:val="0007338E"/>
    <w:rsid w:val="00076F33"/>
    <w:rsid w:val="000803DE"/>
    <w:rsid w:val="00080B4A"/>
    <w:rsid w:val="00084468"/>
    <w:rsid w:val="00084D91"/>
    <w:rsid w:val="0008665C"/>
    <w:rsid w:val="0009609A"/>
    <w:rsid w:val="000973D3"/>
    <w:rsid w:val="000A243A"/>
    <w:rsid w:val="000A6BAB"/>
    <w:rsid w:val="000B266B"/>
    <w:rsid w:val="000C2505"/>
    <w:rsid w:val="000C4408"/>
    <w:rsid w:val="000C4FF5"/>
    <w:rsid w:val="000C7C17"/>
    <w:rsid w:val="000F0859"/>
    <w:rsid w:val="00103A5A"/>
    <w:rsid w:val="0010588F"/>
    <w:rsid w:val="00121C5E"/>
    <w:rsid w:val="00132086"/>
    <w:rsid w:val="00132382"/>
    <w:rsid w:val="001378E2"/>
    <w:rsid w:val="00142862"/>
    <w:rsid w:val="00145C37"/>
    <w:rsid w:val="00155C5C"/>
    <w:rsid w:val="00155C99"/>
    <w:rsid w:val="00163F12"/>
    <w:rsid w:val="00167ECD"/>
    <w:rsid w:val="00193C68"/>
    <w:rsid w:val="0019619A"/>
    <w:rsid w:val="001C3005"/>
    <w:rsid w:val="001C4D47"/>
    <w:rsid w:val="001C5B63"/>
    <w:rsid w:val="001C690C"/>
    <w:rsid w:val="001D3E48"/>
    <w:rsid w:val="001D52D1"/>
    <w:rsid w:val="001D593A"/>
    <w:rsid w:val="001D6B7A"/>
    <w:rsid w:val="001E721C"/>
    <w:rsid w:val="001F1BB1"/>
    <w:rsid w:val="00205BB5"/>
    <w:rsid w:val="00220930"/>
    <w:rsid w:val="00237843"/>
    <w:rsid w:val="002436C7"/>
    <w:rsid w:val="00252BD1"/>
    <w:rsid w:val="00252DF4"/>
    <w:rsid w:val="002533F5"/>
    <w:rsid w:val="002538BC"/>
    <w:rsid w:val="0025567A"/>
    <w:rsid w:val="0027143F"/>
    <w:rsid w:val="00277F7C"/>
    <w:rsid w:val="00280E0A"/>
    <w:rsid w:val="00291476"/>
    <w:rsid w:val="00297202"/>
    <w:rsid w:val="002B38B8"/>
    <w:rsid w:val="002D2F53"/>
    <w:rsid w:val="002E1B0B"/>
    <w:rsid w:val="002F6923"/>
    <w:rsid w:val="00300DA1"/>
    <w:rsid w:val="00302CE5"/>
    <w:rsid w:val="00303BE7"/>
    <w:rsid w:val="003053A2"/>
    <w:rsid w:val="003067EB"/>
    <w:rsid w:val="00314A24"/>
    <w:rsid w:val="00314F36"/>
    <w:rsid w:val="00315368"/>
    <w:rsid w:val="00315B4B"/>
    <w:rsid w:val="00335B65"/>
    <w:rsid w:val="00336D6A"/>
    <w:rsid w:val="00337FE4"/>
    <w:rsid w:val="0034442B"/>
    <w:rsid w:val="0034630A"/>
    <w:rsid w:val="00346474"/>
    <w:rsid w:val="00363AE4"/>
    <w:rsid w:val="00370357"/>
    <w:rsid w:val="00370CBA"/>
    <w:rsid w:val="00371915"/>
    <w:rsid w:val="003757D8"/>
    <w:rsid w:val="00377145"/>
    <w:rsid w:val="00396DDB"/>
    <w:rsid w:val="003B185B"/>
    <w:rsid w:val="003B5A46"/>
    <w:rsid w:val="003B5BFD"/>
    <w:rsid w:val="003C0868"/>
    <w:rsid w:val="003E1171"/>
    <w:rsid w:val="003F0E6D"/>
    <w:rsid w:val="003F4EA6"/>
    <w:rsid w:val="003F627F"/>
    <w:rsid w:val="0040333B"/>
    <w:rsid w:val="00411D2C"/>
    <w:rsid w:val="004202AD"/>
    <w:rsid w:val="00422632"/>
    <w:rsid w:val="00437C51"/>
    <w:rsid w:val="00441CFC"/>
    <w:rsid w:val="00453070"/>
    <w:rsid w:val="00453D6D"/>
    <w:rsid w:val="0045728C"/>
    <w:rsid w:val="00461CF7"/>
    <w:rsid w:val="0047034F"/>
    <w:rsid w:val="00472FB8"/>
    <w:rsid w:val="00480A4F"/>
    <w:rsid w:val="004827E2"/>
    <w:rsid w:val="00482988"/>
    <w:rsid w:val="0049444A"/>
    <w:rsid w:val="004A4758"/>
    <w:rsid w:val="004B2FFB"/>
    <w:rsid w:val="004C29BA"/>
    <w:rsid w:val="004D2942"/>
    <w:rsid w:val="004D3733"/>
    <w:rsid w:val="004E0BB7"/>
    <w:rsid w:val="004E6FA9"/>
    <w:rsid w:val="005009A7"/>
    <w:rsid w:val="00502A2F"/>
    <w:rsid w:val="005049B4"/>
    <w:rsid w:val="00504E65"/>
    <w:rsid w:val="00517F24"/>
    <w:rsid w:val="00531C56"/>
    <w:rsid w:val="00534AD5"/>
    <w:rsid w:val="00534E8B"/>
    <w:rsid w:val="005472B0"/>
    <w:rsid w:val="00552D43"/>
    <w:rsid w:val="00554002"/>
    <w:rsid w:val="00556EFB"/>
    <w:rsid w:val="005635A2"/>
    <w:rsid w:val="00566408"/>
    <w:rsid w:val="00590B77"/>
    <w:rsid w:val="0059493C"/>
    <w:rsid w:val="00595191"/>
    <w:rsid w:val="005972D3"/>
    <w:rsid w:val="005A04DD"/>
    <w:rsid w:val="005A11FC"/>
    <w:rsid w:val="005B2F46"/>
    <w:rsid w:val="005B735F"/>
    <w:rsid w:val="005C30A5"/>
    <w:rsid w:val="005D1B3E"/>
    <w:rsid w:val="005D2F1E"/>
    <w:rsid w:val="005E26ED"/>
    <w:rsid w:val="005F21E3"/>
    <w:rsid w:val="0061369B"/>
    <w:rsid w:val="00621C6F"/>
    <w:rsid w:val="00622BD3"/>
    <w:rsid w:val="006276A5"/>
    <w:rsid w:val="00634D68"/>
    <w:rsid w:val="006403A9"/>
    <w:rsid w:val="00643F36"/>
    <w:rsid w:val="00644864"/>
    <w:rsid w:val="00647F4D"/>
    <w:rsid w:val="00654FB9"/>
    <w:rsid w:val="00655A74"/>
    <w:rsid w:val="00656018"/>
    <w:rsid w:val="00682613"/>
    <w:rsid w:val="00682987"/>
    <w:rsid w:val="006922A9"/>
    <w:rsid w:val="00695BB7"/>
    <w:rsid w:val="006970AB"/>
    <w:rsid w:val="006A1C67"/>
    <w:rsid w:val="006A61D7"/>
    <w:rsid w:val="006A6947"/>
    <w:rsid w:val="006E392F"/>
    <w:rsid w:val="006F143E"/>
    <w:rsid w:val="007136D6"/>
    <w:rsid w:val="00716678"/>
    <w:rsid w:val="00723825"/>
    <w:rsid w:val="00740890"/>
    <w:rsid w:val="00741CCD"/>
    <w:rsid w:val="00743E62"/>
    <w:rsid w:val="007457D4"/>
    <w:rsid w:val="00745E2F"/>
    <w:rsid w:val="00746147"/>
    <w:rsid w:val="007605D2"/>
    <w:rsid w:val="00771F00"/>
    <w:rsid w:val="00772374"/>
    <w:rsid w:val="0077646E"/>
    <w:rsid w:val="007A1AC4"/>
    <w:rsid w:val="007A50A3"/>
    <w:rsid w:val="007A71EE"/>
    <w:rsid w:val="007B1682"/>
    <w:rsid w:val="007B16D8"/>
    <w:rsid w:val="007B46D8"/>
    <w:rsid w:val="007B677D"/>
    <w:rsid w:val="007B6ECD"/>
    <w:rsid w:val="007C6361"/>
    <w:rsid w:val="007D1CED"/>
    <w:rsid w:val="007E0290"/>
    <w:rsid w:val="007F33C3"/>
    <w:rsid w:val="0080424D"/>
    <w:rsid w:val="00805571"/>
    <w:rsid w:val="00807BE4"/>
    <w:rsid w:val="00814BED"/>
    <w:rsid w:val="00816CBE"/>
    <w:rsid w:val="00820F82"/>
    <w:rsid w:val="00832D14"/>
    <w:rsid w:val="008436AC"/>
    <w:rsid w:val="00854067"/>
    <w:rsid w:val="00856529"/>
    <w:rsid w:val="008568A3"/>
    <w:rsid w:val="008577F9"/>
    <w:rsid w:val="0086189E"/>
    <w:rsid w:val="0087572B"/>
    <w:rsid w:val="00877245"/>
    <w:rsid w:val="0088442F"/>
    <w:rsid w:val="00886CDD"/>
    <w:rsid w:val="00892379"/>
    <w:rsid w:val="008A3CE5"/>
    <w:rsid w:val="008B22B8"/>
    <w:rsid w:val="008B2B2D"/>
    <w:rsid w:val="008B758E"/>
    <w:rsid w:val="008E48C8"/>
    <w:rsid w:val="008E5CD6"/>
    <w:rsid w:val="008F3E1B"/>
    <w:rsid w:val="008F3ED4"/>
    <w:rsid w:val="00904565"/>
    <w:rsid w:val="009071B1"/>
    <w:rsid w:val="00920E55"/>
    <w:rsid w:val="00924C3A"/>
    <w:rsid w:val="00925927"/>
    <w:rsid w:val="00926887"/>
    <w:rsid w:val="0093200A"/>
    <w:rsid w:val="00955A6D"/>
    <w:rsid w:val="00957F20"/>
    <w:rsid w:val="0096153D"/>
    <w:rsid w:val="009707DC"/>
    <w:rsid w:val="00981DE3"/>
    <w:rsid w:val="009906A4"/>
    <w:rsid w:val="00990AF5"/>
    <w:rsid w:val="009A23E4"/>
    <w:rsid w:val="009B2D08"/>
    <w:rsid w:val="009C3465"/>
    <w:rsid w:val="009D6BB6"/>
    <w:rsid w:val="009E190A"/>
    <w:rsid w:val="00A0137C"/>
    <w:rsid w:val="00A10962"/>
    <w:rsid w:val="00A1372C"/>
    <w:rsid w:val="00A14D5F"/>
    <w:rsid w:val="00A15F9A"/>
    <w:rsid w:val="00A212A3"/>
    <w:rsid w:val="00A31115"/>
    <w:rsid w:val="00A321D1"/>
    <w:rsid w:val="00A3405A"/>
    <w:rsid w:val="00A50A80"/>
    <w:rsid w:val="00A52F9B"/>
    <w:rsid w:val="00A5795F"/>
    <w:rsid w:val="00A57B1B"/>
    <w:rsid w:val="00A61F7D"/>
    <w:rsid w:val="00A66B9C"/>
    <w:rsid w:val="00A92C79"/>
    <w:rsid w:val="00A96412"/>
    <w:rsid w:val="00AA6A17"/>
    <w:rsid w:val="00AD3DCE"/>
    <w:rsid w:val="00AD53E6"/>
    <w:rsid w:val="00AE0D1A"/>
    <w:rsid w:val="00AF3B36"/>
    <w:rsid w:val="00B00917"/>
    <w:rsid w:val="00B10D5A"/>
    <w:rsid w:val="00B170B0"/>
    <w:rsid w:val="00B17AB3"/>
    <w:rsid w:val="00B2300F"/>
    <w:rsid w:val="00B26E4D"/>
    <w:rsid w:val="00B31C49"/>
    <w:rsid w:val="00B33959"/>
    <w:rsid w:val="00B733E1"/>
    <w:rsid w:val="00B776A2"/>
    <w:rsid w:val="00B83737"/>
    <w:rsid w:val="00B86B79"/>
    <w:rsid w:val="00B9005C"/>
    <w:rsid w:val="00B936A1"/>
    <w:rsid w:val="00BA2638"/>
    <w:rsid w:val="00BA26AF"/>
    <w:rsid w:val="00BA3E56"/>
    <w:rsid w:val="00BD52A3"/>
    <w:rsid w:val="00BE4E63"/>
    <w:rsid w:val="00BE658D"/>
    <w:rsid w:val="00BF06A9"/>
    <w:rsid w:val="00BF7814"/>
    <w:rsid w:val="00C01A18"/>
    <w:rsid w:val="00C07688"/>
    <w:rsid w:val="00C07DC1"/>
    <w:rsid w:val="00C1169B"/>
    <w:rsid w:val="00C16891"/>
    <w:rsid w:val="00C22C76"/>
    <w:rsid w:val="00C36F95"/>
    <w:rsid w:val="00C41D41"/>
    <w:rsid w:val="00C52038"/>
    <w:rsid w:val="00C55387"/>
    <w:rsid w:val="00C5551D"/>
    <w:rsid w:val="00C6372B"/>
    <w:rsid w:val="00C63A4F"/>
    <w:rsid w:val="00C74545"/>
    <w:rsid w:val="00C770E2"/>
    <w:rsid w:val="00C931FF"/>
    <w:rsid w:val="00CB1ECA"/>
    <w:rsid w:val="00CB329F"/>
    <w:rsid w:val="00CD367D"/>
    <w:rsid w:val="00CD40A0"/>
    <w:rsid w:val="00CE0817"/>
    <w:rsid w:val="00CE35D3"/>
    <w:rsid w:val="00CE7927"/>
    <w:rsid w:val="00CF06BC"/>
    <w:rsid w:val="00CF0709"/>
    <w:rsid w:val="00CF3815"/>
    <w:rsid w:val="00D01F9A"/>
    <w:rsid w:val="00D06E71"/>
    <w:rsid w:val="00D10ABD"/>
    <w:rsid w:val="00D12027"/>
    <w:rsid w:val="00D1731C"/>
    <w:rsid w:val="00D20D2A"/>
    <w:rsid w:val="00D27649"/>
    <w:rsid w:val="00D278D7"/>
    <w:rsid w:val="00D34431"/>
    <w:rsid w:val="00D36CF8"/>
    <w:rsid w:val="00D4475D"/>
    <w:rsid w:val="00D45A79"/>
    <w:rsid w:val="00D63B33"/>
    <w:rsid w:val="00D64A01"/>
    <w:rsid w:val="00D8080F"/>
    <w:rsid w:val="00D90C68"/>
    <w:rsid w:val="00D91F75"/>
    <w:rsid w:val="00D96C08"/>
    <w:rsid w:val="00D97B38"/>
    <w:rsid w:val="00DA2700"/>
    <w:rsid w:val="00DA5290"/>
    <w:rsid w:val="00DA6BCC"/>
    <w:rsid w:val="00DA7883"/>
    <w:rsid w:val="00DA7F57"/>
    <w:rsid w:val="00DB0B7B"/>
    <w:rsid w:val="00DC544E"/>
    <w:rsid w:val="00DD2EF6"/>
    <w:rsid w:val="00DD7421"/>
    <w:rsid w:val="00DE7A0E"/>
    <w:rsid w:val="00DF0D86"/>
    <w:rsid w:val="00DF7D9F"/>
    <w:rsid w:val="00E01575"/>
    <w:rsid w:val="00E01F01"/>
    <w:rsid w:val="00E02AED"/>
    <w:rsid w:val="00E044A8"/>
    <w:rsid w:val="00E05FA8"/>
    <w:rsid w:val="00E12605"/>
    <w:rsid w:val="00E15B9E"/>
    <w:rsid w:val="00E219CC"/>
    <w:rsid w:val="00E2682F"/>
    <w:rsid w:val="00E362DB"/>
    <w:rsid w:val="00E37188"/>
    <w:rsid w:val="00E53D6A"/>
    <w:rsid w:val="00E6023B"/>
    <w:rsid w:val="00E60BC5"/>
    <w:rsid w:val="00E61104"/>
    <w:rsid w:val="00E71BF0"/>
    <w:rsid w:val="00E85560"/>
    <w:rsid w:val="00EA267E"/>
    <w:rsid w:val="00EA2FC2"/>
    <w:rsid w:val="00EA5F7B"/>
    <w:rsid w:val="00EB025C"/>
    <w:rsid w:val="00EB6F7D"/>
    <w:rsid w:val="00EC42C3"/>
    <w:rsid w:val="00EC6C66"/>
    <w:rsid w:val="00ED020B"/>
    <w:rsid w:val="00ED3445"/>
    <w:rsid w:val="00EE7480"/>
    <w:rsid w:val="00EF2A87"/>
    <w:rsid w:val="00EF7689"/>
    <w:rsid w:val="00F10DA0"/>
    <w:rsid w:val="00F13D20"/>
    <w:rsid w:val="00F16CB1"/>
    <w:rsid w:val="00F17167"/>
    <w:rsid w:val="00F30021"/>
    <w:rsid w:val="00F30FCB"/>
    <w:rsid w:val="00F36465"/>
    <w:rsid w:val="00F37052"/>
    <w:rsid w:val="00F4709E"/>
    <w:rsid w:val="00F53454"/>
    <w:rsid w:val="00F55F27"/>
    <w:rsid w:val="00F5791B"/>
    <w:rsid w:val="00F673F4"/>
    <w:rsid w:val="00F71308"/>
    <w:rsid w:val="00F713CE"/>
    <w:rsid w:val="00F725B5"/>
    <w:rsid w:val="00F77CAF"/>
    <w:rsid w:val="00F8064C"/>
    <w:rsid w:val="00F80FC6"/>
    <w:rsid w:val="00F86278"/>
    <w:rsid w:val="00FA54E1"/>
    <w:rsid w:val="00FD1E35"/>
    <w:rsid w:val="00FE52C0"/>
    <w:rsid w:val="00FF5555"/>
    <w:rsid w:val="00FF77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nhideWhenUsed="0" w:qFormat="1"/>
    <w:lsdException w:name="heading 2" w:locked="1" w:semiHidden="0" w:unhideWhenUsed="0" w:qFormat="1"/>
    <w:lsdException w:name="heading 3" w:locked="1" w:semiHidden="0" w:unhideWhenUsed="0" w:qFormat="1"/>
    <w:lsdException w:name="heading 4" w:locked="1" w:semiHidden="0" w:unhideWhenUsed="0" w:qFormat="1"/>
    <w:lsdException w:name="heading 5" w:locked="1" w:semiHidden="0" w:unhideWhenUsed="0" w:qFormat="1"/>
    <w:lsdException w:name="heading 6" w:locked="1" w:semiHidden="0" w:unhideWhenUsed="0" w:qFormat="1"/>
    <w:lsdException w:name="heading 7" w:locked="1" w:semiHidden="0" w:unhideWhenUsed="0" w:qFormat="1"/>
    <w:lsdException w:name="heading 8" w:locked="1" w:semiHidden="0" w:unhideWhenUsed="0" w:qFormat="1"/>
    <w:lsdException w:name="heading 9" w:locked="1"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locked="1" w:uiPriority="0" w:qFormat="1"/>
    <w:lsdException w:name="Title" w:locked="1" w:semiHidden="0" w:uiPriority="0" w:unhideWhenUsed="0" w:qFormat="1"/>
    <w:lsdException w:name="Default Paragraph Font" w:uiPriority="1"/>
    <w:lsdException w:name="Subtitle" w:locked="1" w:semiHidden="0" w:uiPriority="0" w:unhideWhenUsed="0" w:qFormat="1"/>
    <w:lsdException w:name="Strong" w:locked="1" w:semiHidden="0" w:unhideWhenUsed="0" w:qFormat="1"/>
    <w:lsdException w:name="Emphasis" w:locked="1"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3959"/>
    <w:rPr>
      <w:sz w:val="24"/>
      <w:szCs w:val="24"/>
    </w:rPr>
  </w:style>
  <w:style w:type="paragraph" w:styleId="Heading1">
    <w:name w:val="heading 1"/>
    <w:aliases w:val="Heading 1 Char1,Heading 1 Char Char,Heading 1 Char2 Char Char,Heading 1 Char Char Char Char,Heading 1 Char1 Char Char Char Char,Heading 1 Char Char Char Char Char Char,Heading 1 Char2 Char Char Char Char Char Char,Heading 1 Char2"/>
    <w:basedOn w:val="Normal"/>
    <w:next w:val="ParaNum"/>
    <w:link w:val="Heading1Char"/>
    <w:uiPriority w:val="99"/>
    <w:qFormat/>
    <w:rsid w:val="00B33959"/>
    <w:pPr>
      <w:keepNext/>
      <w:widowControl w:val="0"/>
      <w:numPr>
        <w:numId w:val="4"/>
      </w:numPr>
      <w:tabs>
        <w:tab w:val="left" w:pos="720"/>
      </w:tabs>
      <w:suppressAutoHyphens/>
      <w:spacing w:after="120"/>
      <w:outlineLvl w:val="0"/>
    </w:pPr>
    <w:rPr>
      <w:rFonts w:ascii="Times New Roman Bold" w:eastAsia="SimSun" w:hAnsi="Times New Roman Bold"/>
      <w:b/>
      <w:caps/>
      <w:kern w:val="28"/>
      <w:sz w:val="22"/>
      <w:szCs w:val="20"/>
    </w:rPr>
  </w:style>
  <w:style w:type="paragraph" w:styleId="Heading2">
    <w:name w:val="heading 2"/>
    <w:aliases w:val="Heading 2 Char,h2 Char,UNDERRUBRIK 1-2 Char,Heading 2 Char2,Heading 2 Char1 Char,Heading 2 Char Char Char,Heading 2 Char4 Char Char Char,Heading 2 Char3 Char Char Char Char,Heading 2 Char Char1 Char Char Char Char,Heading 2 Char Char1"/>
    <w:basedOn w:val="Normal"/>
    <w:next w:val="ParaNum"/>
    <w:link w:val="Heading2Char1"/>
    <w:autoRedefine/>
    <w:uiPriority w:val="99"/>
    <w:qFormat/>
    <w:rsid w:val="00B33959"/>
    <w:pPr>
      <w:keepNext/>
      <w:widowControl w:val="0"/>
      <w:numPr>
        <w:ilvl w:val="1"/>
        <w:numId w:val="4"/>
      </w:numPr>
      <w:spacing w:after="120"/>
      <w:outlineLvl w:val="1"/>
    </w:pPr>
    <w:rPr>
      <w:rFonts w:eastAsia="SimSun"/>
      <w:b/>
      <w:kern w:val="28"/>
      <w:sz w:val="22"/>
      <w:szCs w:val="20"/>
    </w:rPr>
  </w:style>
  <w:style w:type="paragraph" w:styleId="Heading3">
    <w:name w:val="heading 3"/>
    <w:aliases w:val="Heading 3 Char,3 Char,Titre 3 Char,1 Char,31 Char,Titre 31 Char,?? 3 Char,3,Titre 3,1,31,Titre 31,?? 3,Heading 3 Char1,Heading 3 Char Char,Heading 3 Char1 Char,Heading 3 Char Char Char"/>
    <w:basedOn w:val="Normal"/>
    <w:next w:val="ParaNum"/>
    <w:link w:val="Heading3Char2"/>
    <w:uiPriority w:val="99"/>
    <w:qFormat/>
    <w:rsid w:val="00B33959"/>
    <w:pPr>
      <w:keepNext/>
      <w:widowControl w:val="0"/>
      <w:numPr>
        <w:ilvl w:val="2"/>
        <w:numId w:val="4"/>
      </w:numPr>
      <w:tabs>
        <w:tab w:val="left" w:pos="2160"/>
      </w:tabs>
      <w:spacing w:after="120"/>
      <w:outlineLvl w:val="2"/>
    </w:pPr>
    <w:rPr>
      <w:rFonts w:eastAsia="SimSun"/>
      <w:b/>
      <w:kern w:val="28"/>
      <w:sz w:val="22"/>
      <w:szCs w:val="20"/>
    </w:rPr>
  </w:style>
  <w:style w:type="paragraph" w:styleId="Heading4">
    <w:name w:val="heading 4"/>
    <w:aliases w:val="Heading 4 Char2,Heading 4 Char1 Char,Heading 4 Char Char Char,Heading 4 Char Char1,Heading 4 Char1,Heading 4 Char Char,Heading 4 Char"/>
    <w:basedOn w:val="Normal"/>
    <w:next w:val="ParaNum"/>
    <w:link w:val="Heading4Char3"/>
    <w:uiPriority w:val="99"/>
    <w:qFormat/>
    <w:rsid w:val="00B33959"/>
    <w:pPr>
      <w:keepNext/>
      <w:widowControl w:val="0"/>
      <w:numPr>
        <w:ilvl w:val="3"/>
        <w:numId w:val="4"/>
      </w:numPr>
      <w:tabs>
        <w:tab w:val="left" w:pos="2880"/>
      </w:tabs>
      <w:spacing w:after="120"/>
      <w:outlineLvl w:val="3"/>
    </w:pPr>
    <w:rPr>
      <w:rFonts w:eastAsia="SimSun"/>
      <w:b/>
      <w:kern w:val="28"/>
      <w:sz w:val="22"/>
      <w:szCs w:val="20"/>
    </w:rPr>
  </w:style>
  <w:style w:type="paragraph" w:styleId="Heading5">
    <w:name w:val="heading 5"/>
    <w:basedOn w:val="Normal"/>
    <w:next w:val="ParaNum"/>
    <w:link w:val="Heading5Char"/>
    <w:uiPriority w:val="99"/>
    <w:qFormat/>
    <w:rsid w:val="00B33959"/>
    <w:pPr>
      <w:keepNext/>
      <w:widowControl w:val="0"/>
      <w:numPr>
        <w:ilvl w:val="4"/>
        <w:numId w:val="4"/>
      </w:numPr>
      <w:tabs>
        <w:tab w:val="left" w:pos="3600"/>
      </w:tabs>
      <w:suppressAutoHyphens/>
      <w:spacing w:after="120"/>
      <w:outlineLvl w:val="4"/>
    </w:pPr>
    <w:rPr>
      <w:rFonts w:eastAsia="SimSun"/>
      <w:b/>
      <w:kern w:val="28"/>
      <w:sz w:val="22"/>
      <w:szCs w:val="20"/>
    </w:rPr>
  </w:style>
  <w:style w:type="paragraph" w:styleId="Heading6">
    <w:name w:val="heading 6"/>
    <w:aliases w:val="h6"/>
    <w:basedOn w:val="Normal"/>
    <w:next w:val="ParaNum"/>
    <w:link w:val="Heading6Char"/>
    <w:uiPriority w:val="99"/>
    <w:qFormat/>
    <w:rsid w:val="00B33959"/>
    <w:pPr>
      <w:widowControl w:val="0"/>
      <w:numPr>
        <w:ilvl w:val="5"/>
        <w:numId w:val="4"/>
      </w:numPr>
      <w:tabs>
        <w:tab w:val="left" w:pos="4320"/>
      </w:tabs>
      <w:spacing w:after="120"/>
      <w:outlineLvl w:val="5"/>
    </w:pPr>
    <w:rPr>
      <w:rFonts w:eastAsia="SimSun"/>
      <w:b/>
      <w:kern w:val="28"/>
      <w:sz w:val="22"/>
      <w:szCs w:val="20"/>
    </w:rPr>
  </w:style>
  <w:style w:type="paragraph" w:styleId="Heading7">
    <w:name w:val="heading 7"/>
    <w:aliases w:val="Heading 7 Char"/>
    <w:basedOn w:val="Normal"/>
    <w:next w:val="ParaNum"/>
    <w:link w:val="Heading7Char1"/>
    <w:uiPriority w:val="99"/>
    <w:qFormat/>
    <w:rsid w:val="00B33959"/>
    <w:pPr>
      <w:widowControl w:val="0"/>
      <w:numPr>
        <w:ilvl w:val="6"/>
        <w:numId w:val="4"/>
      </w:numPr>
      <w:tabs>
        <w:tab w:val="left" w:pos="5040"/>
      </w:tabs>
      <w:spacing w:after="120"/>
      <w:ind w:left="5040" w:hanging="720"/>
      <w:outlineLvl w:val="6"/>
    </w:pPr>
    <w:rPr>
      <w:rFonts w:eastAsia="SimSun"/>
      <w:b/>
      <w:kern w:val="28"/>
      <w:sz w:val="22"/>
      <w:szCs w:val="20"/>
    </w:rPr>
  </w:style>
  <w:style w:type="paragraph" w:styleId="Heading8">
    <w:name w:val="heading 8"/>
    <w:basedOn w:val="Normal"/>
    <w:next w:val="ParaNum"/>
    <w:link w:val="Heading8Char"/>
    <w:uiPriority w:val="99"/>
    <w:qFormat/>
    <w:rsid w:val="00B33959"/>
    <w:pPr>
      <w:widowControl w:val="0"/>
      <w:numPr>
        <w:ilvl w:val="7"/>
        <w:numId w:val="4"/>
      </w:numPr>
      <w:tabs>
        <w:tab w:val="clear" w:pos="5400"/>
        <w:tab w:val="left" w:pos="5760"/>
      </w:tabs>
      <w:spacing w:after="120"/>
      <w:ind w:left="5760" w:hanging="720"/>
      <w:outlineLvl w:val="7"/>
    </w:pPr>
    <w:rPr>
      <w:rFonts w:eastAsia="SimSun"/>
      <w:b/>
      <w:kern w:val="28"/>
      <w:sz w:val="22"/>
      <w:szCs w:val="20"/>
    </w:rPr>
  </w:style>
  <w:style w:type="paragraph" w:styleId="Heading9">
    <w:name w:val="heading 9"/>
    <w:aliases w:val="Topic,table,t,9,Heading 9.table,Titre 9"/>
    <w:basedOn w:val="Normal"/>
    <w:next w:val="ParaNum"/>
    <w:link w:val="Heading9Char"/>
    <w:uiPriority w:val="99"/>
    <w:qFormat/>
    <w:rsid w:val="00B33959"/>
    <w:pPr>
      <w:widowControl w:val="0"/>
      <w:numPr>
        <w:ilvl w:val="8"/>
        <w:numId w:val="4"/>
      </w:numPr>
      <w:tabs>
        <w:tab w:val="clear" w:pos="6120"/>
        <w:tab w:val="left" w:pos="6480"/>
      </w:tabs>
      <w:spacing w:after="120"/>
      <w:ind w:left="6480" w:hanging="720"/>
      <w:outlineLvl w:val="8"/>
    </w:pPr>
    <w:rPr>
      <w:rFonts w:eastAsia="SimSun"/>
      <w:b/>
      <w:kern w:val="28"/>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 Char1 Char,Heading 1 Char Char Char,Heading 1 Char2 Char Char Char,Heading 1 Char Char Char Char Char,Heading 1 Char1 Char Char Char Char Char,Heading 1 Char Char Char Char Char Char Char,Heading 1 Char2 Char"/>
    <w:basedOn w:val="DefaultParagraphFont"/>
    <w:link w:val="Heading1"/>
    <w:uiPriority w:val="99"/>
    <w:locked/>
    <w:rsid w:val="00B33959"/>
    <w:rPr>
      <w:rFonts w:ascii="Times New Roman Bold" w:eastAsia="SimSun" w:hAnsi="Times New Roman Bold"/>
      <w:b/>
      <w:caps/>
      <w:kern w:val="28"/>
      <w:szCs w:val="20"/>
    </w:rPr>
  </w:style>
  <w:style w:type="character" w:customStyle="1" w:styleId="Heading2Char1">
    <w:name w:val="Heading 2 Char1"/>
    <w:aliases w:val="Heading 2 Char Char,h2 Char Char,UNDERRUBRIK 1-2 Char Char,Heading 2 Char2 Char,Heading 2 Char1 Char Char,Heading 2 Char Char Char Char,Heading 2 Char4 Char Char Char Char,Heading 2 Char3 Char Char Char Char Char"/>
    <w:basedOn w:val="DefaultParagraphFont"/>
    <w:link w:val="Heading2"/>
    <w:uiPriority w:val="99"/>
    <w:locked/>
    <w:rsid w:val="00B33959"/>
    <w:rPr>
      <w:rFonts w:eastAsia="SimSun"/>
      <w:b/>
      <w:kern w:val="28"/>
      <w:szCs w:val="20"/>
    </w:rPr>
  </w:style>
  <w:style w:type="character" w:customStyle="1" w:styleId="Heading3Char2">
    <w:name w:val="Heading 3 Char2"/>
    <w:aliases w:val="Heading 3 Char Char1,3 Char Char,Titre 3 Char Char,1 Char Char,31 Char Char,Titre 31 Char Char,?? 3 Char Char,3 Char1,Titre 3 Char1,1 Char1,31 Char1,Titre 31 Char1,?? 3 Char1,Heading 3 Char1 Char1,Heading 3 Char Char Char1"/>
    <w:basedOn w:val="DefaultParagraphFont"/>
    <w:link w:val="Heading3"/>
    <w:uiPriority w:val="99"/>
    <w:rsid w:val="00C20997"/>
    <w:rPr>
      <w:rFonts w:eastAsia="SimSun"/>
      <w:b/>
      <w:kern w:val="28"/>
      <w:szCs w:val="20"/>
    </w:rPr>
  </w:style>
  <w:style w:type="character" w:customStyle="1" w:styleId="Heading4Char3">
    <w:name w:val="Heading 4 Char3"/>
    <w:aliases w:val="Heading 4 Char2 Char,Heading 4 Char1 Char Char,Heading 4 Char Char Char Char,Heading 4 Char Char1 Char,Heading 4 Char1 Char1,Heading 4 Char Char Char1,Heading 4 Char Char2"/>
    <w:basedOn w:val="DefaultParagraphFont"/>
    <w:link w:val="Heading4"/>
    <w:uiPriority w:val="99"/>
    <w:rsid w:val="00C20997"/>
    <w:rPr>
      <w:rFonts w:eastAsia="SimSun"/>
      <w:b/>
      <w:kern w:val="28"/>
      <w:szCs w:val="20"/>
    </w:rPr>
  </w:style>
  <w:style w:type="character" w:customStyle="1" w:styleId="Heading5Char">
    <w:name w:val="Heading 5 Char"/>
    <w:basedOn w:val="DefaultParagraphFont"/>
    <w:link w:val="Heading5"/>
    <w:uiPriority w:val="99"/>
    <w:rsid w:val="00C20997"/>
    <w:rPr>
      <w:rFonts w:eastAsia="SimSun"/>
      <w:b/>
      <w:kern w:val="28"/>
      <w:szCs w:val="20"/>
    </w:rPr>
  </w:style>
  <w:style w:type="character" w:customStyle="1" w:styleId="Heading6Char">
    <w:name w:val="Heading 6 Char"/>
    <w:aliases w:val="h6 Char"/>
    <w:basedOn w:val="DefaultParagraphFont"/>
    <w:link w:val="Heading6"/>
    <w:uiPriority w:val="99"/>
    <w:rsid w:val="00C20997"/>
    <w:rPr>
      <w:rFonts w:eastAsia="SimSun"/>
      <w:b/>
      <w:kern w:val="28"/>
      <w:szCs w:val="20"/>
    </w:rPr>
  </w:style>
  <w:style w:type="character" w:customStyle="1" w:styleId="Heading7Char1">
    <w:name w:val="Heading 7 Char1"/>
    <w:aliases w:val="Heading 7 Char Char"/>
    <w:basedOn w:val="DefaultParagraphFont"/>
    <w:link w:val="Heading7"/>
    <w:uiPriority w:val="99"/>
    <w:rsid w:val="00C20997"/>
    <w:rPr>
      <w:rFonts w:eastAsia="SimSun"/>
      <w:b/>
      <w:kern w:val="28"/>
      <w:szCs w:val="20"/>
    </w:rPr>
  </w:style>
  <w:style w:type="character" w:customStyle="1" w:styleId="Heading8Char">
    <w:name w:val="Heading 8 Char"/>
    <w:basedOn w:val="DefaultParagraphFont"/>
    <w:link w:val="Heading8"/>
    <w:uiPriority w:val="99"/>
    <w:rsid w:val="00C20997"/>
    <w:rPr>
      <w:rFonts w:eastAsia="SimSun"/>
      <w:b/>
      <w:kern w:val="28"/>
      <w:szCs w:val="20"/>
    </w:rPr>
  </w:style>
  <w:style w:type="character" w:customStyle="1" w:styleId="Heading9Char">
    <w:name w:val="Heading 9 Char"/>
    <w:aliases w:val="Topic Char,table Char,t Char,9 Char,Heading 9.table Char,Titre 9 Char"/>
    <w:basedOn w:val="DefaultParagraphFont"/>
    <w:link w:val="Heading9"/>
    <w:uiPriority w:val="99"/>
    <w:rsid w:val="00C20997"/>
    <w:rPr>
      <w:rFonts w:eastAsia="SimSun"/>
      <w:b/>
      <w:kern w:val="28"/>
      <w:szCs w:val="20"/>
    </w:rPr>
  </w:style>
  <w:style w:type="paragraph" w:customStyle="1" w:styleId="ParaNum">
    <w:name w:val="ParaNum"/>
    <w:basedOn w:val="Normal"/>
    <w:link w:val="ParaNumChar"/>
    <w:uiPriority w:val="99"/>
    <w:rsid w:val="00B33959"/>
    <w:pPr>
      <w:widowControl w:val="0"/>
      <w:numPr>
        <w:numId w:val="2"/>
      </w:numPr>
      <w:tabs>
        <w:tab w:val="clear" w:pos="360"/>
        <w:tab w:val="num" w:pos="1080"/>
      </w:tabs>
      <w:spacing w:after="120"/>
      <w:ind w:left="0" w:firstLine="720"/>
    </w:pPr>
    <w:rPr>
      <w:rFonts w:eastAsia="SimSun"/>
      <w:kern w:val="28"/>
      <w:sz w:val="22"/>
      <w:szCs w:val="20"/>
    </w:rPr>
  </w:style>
  <w:style w:type="character" w:customStyle="1" w:styleId="ParaNumChar">
    <w:name w:val="ParaNum Char"/>
    <w:link w:val="ParaNum"/>
    <w:uiPriority w:val="99"/>
    <w:locked/>
    <w:rsid w:val="00B33959"/>
    <w:rPr>
      <w:rFonts w:eastAsia="SimSun"/>
      <w:kern w:val="28"/>
      <w:sz w:val="22"/>
      <w:lang w:val="en-US" w:eastAsia="en-US"/>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semiHidden/>
    <w:rsid w:val="00C20997"/>
    <w:rPr>
      <w:sz w:val="24"/>
      <w:szCs w:val="24"/>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semiHidden/>
    <w:rsid w:val="00C20997"/>
    <w:rPr>
      <w:sz w:val="24"/>
      <w:szCs w:val="24"/>
    </w:rPr>
  </w:style>
  <w:style w:type="paragraph" w:styleId="BodyText">
    <w:name w:val="Body Text"/>
    <w:basedOn w:val="Normal"/>
    <w:link w:val="BodyTextChar"/>
    <w:uiPriority w:val="99"/>
    <w:pPr>
      <w:spacing w:after="120"/>
    </w:pPr>
  </w:style>
  <w:style w:type="character" w:customStyle="1" w:styleId="BodyTextChar">
    <w:name w:val="Body Text Char"/>
    <w:basedOn w:val="DefaultParagraphFont"/>
    <w:link w:val="BodyText"/>
    <w:uiPriority w:val="99"/>
    <w:semiHidden/>
    <w:rsid w:val="00C20997"/>
    <w:rPr>
      <w:sz w:val="24"/>
      <w:szCs w:val="24"/>
    </w:rPr>
  </w:style>
  <w:style w:type="paragraph" w:styleId="BodyTextFirstIndent">
    <w:name w:val="Body Text First Indent"/>
    <w:basedOn w:val="Normal"/>
    <w:link w:val="BodyTextFirstIndentChar"/>
    <w:uiPriority w:val="99"/>
    <w:pPr>
      <w:ind w:firstLine="210"/>
    </w:pPr>
  </w:style>
  <w:style w:type="character" w:customStyle="1" w:styleId="BodyTextFirstIndentChar">
    <w:name w:val="Body Text First Indent Char"/>
    <w:basedOn w:val="BodyTextChar"/>
    <w:link w:val="BodyTextFirstIndent"/>
    <w:uiPriority w:val="99"/>
    <w:semiHidden/>
    <w:rsid w:val="00C20997"/>
    <w:rPr>
      <w:sz w:val="24"/>
      <w:szCs w:val="24"/>
    </w:rPr>
  </w:style>
  <w:style w:type="paragraph" w:styleId="BodyTextIndent">
    <w:name w:val="Body Text Indent"/>
    <w:basedOn w:val="Normal"/>
    <w:link w:val="BodyTextIndentChar"/>
    <w:uiPriority w:val="99"/>
    <w:pPr>
      <w:spacing w:after="120"/>
      <w:ind w:left="360"/>
    </w:pPr>
  </w:style>
  <w:style w:type="character" w:customStyle="1" w:styleId="BodyTextIndentChar">
    <w:name w:val="Body Text Indent Char"/>
    <w:basedOn w:val="DefaultParagraphFont"/>
    <w:link w:val="BodyTextIndent"/>
    <w:uiPriority w:val="99"/>
    <w:semiHidden/>
    <w:rsid w:val="00C20997"/>
    <w:rPr>
      <w:sz w:val="24"/>
      <w:szCs w:val="24"/>
    </w:rPr>
  </w:style>
  <w:style w:type="paragraph" w:styleId="BodyTextFirstIndent2">
    <w:name w:val="Body Text First Indent 2"/>
    <w:basedOn w:val="BodyTextIndent"/>
    <w:link w:val="BodyTextFirstIndent2Char"/>
    <w:uiPriority w:val="99"/>
    <w:pPr>
      <w:ind w:firstLine="210"/>
    </w:pPr>
  </w:style>
  <w:style w:type="character" w:customStyle="1" w:styleId="BodyTextFirstIndent2Char">
    <w:name w:val="Body Text First Indent 2 Char"/>
    <w:basedOn w:val="BodyTextIndentChar"/>
    <w:link w:val="BodyTextFirstIndent2"/>
    <w:uiPriority w:val="99"/>
    <w:semiHidden/>
    <w:rsid w:val="00C20997"/>
    <w:rPr>
      <w:sz w:val="24"/>
      <w:szCs w:val="24"/>
    </w:rPr>
  </w:style>
  <w:style w:type="paragraph" w:styleId="BodyTextIndent2">
    <w:name w:val="Body Text Indent 2"/>
    <w:basedOn w:val="Normal"/>
    <w:link w:val="BodyTextIndent2Char"/>
    <w:uiPriority w:val="99"/>
    <w:pPr>
      <w:spacing w:after="120" w:line="480" w:lineRule="auto"/>
      <w:ind w:left="360"/>
    </w:pPr>
  </w:style>
  <w:style w:type="character" w:customStyle="1" w:styleId="BodyTextIndent2Char">
    <w:name w:val="Body Text Indent 2 Char"/>
    <w:basedOn w:val="DefaultParagraphFont"/>
    <w:link w:val="BodyTextIndent2"/>
    <w:uiPriority w:val="99"/>
    <w:semiHidden/>
    <w:rsid w:val="00C20997"/>
    <w:rPr>
      <w:sz w:val="24"/>
      <w:szCs w:val="24"/>
    </w:rPr>
  </w:style>
  <w:style w:type="paragraph" w:styleId="ListBullet">
    <w:name w:val="List Bullet"/>
    <w:basedOn w:val="Normal"/>
    <w:uiPriority w:val="99"/>
  </w:style>
  <w:style w:type="paragraph" w:customStyle="1" w:styleId="ColorfulList-Accent11">
    <w:name w:val="Colorful List - Accent 11"/>
    <w:basedOn w:val="Normal"/>
    <w:uiPriority w:val="99"/>
    <w:pPr>
      <w:ind w:left="720"/>
      <w:contextualSpacing/>
    </w:pPr>
  </w:style>
  <w:style w:type="paragraph" w:styleId="FootnoteText">
    <w:name w:val="footnote text"/>
    <w:aliases w:val="Footnote Text Char1,Footnote Text Char Char,Footnote Text Char5 Char Char,Footnote Text Char Char Char Char,Footnote Text Char4 Char Char1 Char Char,Footnote Text Char2 Char Char2 Char2 Char Char,Footnote Text Char,Footnote Text Char5 Cha"/>
    <w:basedOn w:val="Normal"/>
    <w:link w:val="FootnoteTextChar2"/>
    <w:uiPriority w:val="99"/>
    <w:semiHidden/>
    <w:pPr>
      <w:spacing w:after="60"/>
    </w:pPr>
    <w:rPr>
      <w:sz w:val="20"/>
      <w:szCs w:val="20"/>
    </w:rPr>
  </w:style>
  <w:style w:type="character" w:customStyle="1" w:styleId="FootnoteTextChar2">
    <w:name w:val="Footnote Text Char2"/>
    <w:aliases w:val="Footnote Text Char1 Char,Footnote Text Char Char Char,Footnote Text Char5 Char Char Char,Footnote Text Char Char Char Char Char,Footnote Text Char4 Char Char1 Char Char Char,Footnote Text Char2 Char Char2 Char2 Char Char Char"/>
    <w:basedOn w:val="DefaultParagraphFont"/>
    <w:link w:val="FootnoteText"/>
    <w:uiPriority w:val="99"/>
    <w:semiHidden/>
    <w:locked/>
    <w:rPr>
      <w:lang w:val="en-US" w:eastAsia="en-US"/>
    </w:rPr>
  </w:style>
  <w:style w:type="character" w:styleId="FootnoteReference">
    <w:name w:val="footnote reference"/>
    <w:aliases w:val="Appel note de bas de p,Style 12,(NECG) Footnote Reference,Style 124,o,fr,Style 3,Style 17,FR,Style 13,Style 6,Footnote Reference/"/>
    <w:basedOn w:val="DefaultParagraphFont"/>
    <w:uiPriority w:val="99"/>
    <w:semiHidden/>
    <w:rPr>
      <w:rFonts w:cs="Times New Roman"/>
      <w:vertAlign w:val="superscript"/>
    </w:rPr>
  </w:style>
  <w:style w:type="character" w:styleId="CommentReference">
    <w:name w:val="annotation reference"/>
    <w:basedOn w:val="DefaultParagraphFont"/>
    <w:uiPriority w:val="99"/>
    <w:rPr>
      <w:rFonts w:cs="Times New Roman"/>
      <w:sz w:val="16"/>
    </w:rPr>
  </w:style>
  <w:style w:type="paragraph" w:styleId="CommentText">
    <w:name w:val="annotation text"/>
    <w:basedOn w:val="Normal"/>
    <w:link w:val="CommentTextChar"/>
    <w:uiPriority w:val="99"/>
    <w:rPr>
      <w:sz w:val="20"/>
      <w:szCs w:val="20"/>
    </w:rPr>
  </w:style>
  <w:style w:type="character" w:customStyle="1" w:styleId="CommentTextChar">
    <w:name w:val="Comment Text Char"/>
    <w:basedOn w:val="DefaultParagraphFont"/>
    <w:link w:val="CommentText"/>
    <w:uiPriority w:val="99"/>
    <w:locked/>
    <w:rPr>
      <w:rFonts w:cs="Times New Roman"/>
    </w:rPr>
  </w:style>
  <w:style w:type="paragraph" w:styleId="CommentSubject">
    <w:name w:val="annotation subject"/>
    <w:basedOn w:val="CommentText"/>
    <w:next w:val="CommentText"/>
    <w:link w:val="CommentSubjectChar"/>
    <w:uiPriority w:val="99"/>
    <w:rPr>
      <w:b/>
      <w:bCs/>
    </w:rPr>
  </w:style>
  <w:style w:type="character" w:customStyle="1" w:styleId="CommentSubjectChar">
    <w:name w:val="Comment Subject Char"/>
    <w:basedOn w:val="CommentTextChar"/>
    <w:link w:val="CommentSubject"/>
    <w:uiPriority w:val="99"/>
    <w:locked/>
    <w:rPr>
      <w:rFonts w:cs="Times New Roman"/>
      <w:b/>
    </w:rPr>
  </w:style>
  <w:style w:type="paragraph" w:styleId="BalloonText">
    <w:name w:val="Balloon Text"/>
    <w:basedOn w:val="Normal"/>
    <w:link w:val="BalloonTextChar"/>
    <w:uiPriority w:val="99"/>
    <w:rPr>
      <w:rFonts w:ascii="Tahoma" w:hAnsi="Tahoma"/>
      <w:sz w:val="16"/>
      <w:szCs w:val="16"/>
    </w:rPr>
  </w:style>
  <w:style w:type="character" w:customStyle="1" w:styleId="BalloonTextChar">
    <w:name w:val="Balloon Text Char"/>
    <w:basedOn w:val="DefaultParagraphFont"/>
    <w:link w:val="BalloonText"/>
    <w:uiPriority w:val="99"/>
    <w:locked/>
    <w:rPr>
      <w:rFonts w:ascii="Tahoma" w:hAnsi="Tahoma"/>
      <w:sz w:val="16"/>
    </w:rPr>
  </w:style>
  <w:style w:type="table" w:styleId="TableGrid">
    <w:name w:val="Table Grid"/>
    <w:basedOn w:val="TableNormal"/>
    <w:uiPriority w:val="99"/>
    <w:rPr>
      <w:rFonts w:eastAsia="MS Mincho"/>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rPr>
      <w:rFonts w:cs="Times New Roman"/>
      <w:color w:val="0000FF"/>
      <w:u w:val="single"/>
    </w:rPr>
  </w:style>
  <w:style w:type="character" w:styleId="PageNumber">
    <w:name w:val="page number"/>
    <w:basedOn w:val="DefaultParagraphFont"/>
    <w:uiPriority w:val="99"/>
    <w:rPr>
      <w:rFonts w:cs="Times New Roman"/>
    </w:rPr>
  </w:style>
  <w:style w:type="character" w:customStyle="1" w:styleId="apple-converted-space">
    <w:name w:val="apple-converted-space"/>
    <w:basedOn w:val="DefaultParagraphFont"/>
    <w:uiPriority w:val="99"/>
    <w:rPr>
      <w:rFonts w:cs="Times New Roman"/>
    </w:rPr>
  </w:style>
  <w:style w:type="character" w:styleId="EndnoteReference">
    <w:name w:val="endnote reference"/>
    <w:basedOn w:val="DefaultParagraphFont"/>
    <w:uiPriority w:val="99"/>
    <w:rPr>
      <w:rFonts w:cs="Times New Roman"/>
      <w:vertAlign w:val="superscript"/>
    </w:rPr>
  </w:style>
  <w:style w:type="character" w:styleId="FollowedHyperlink">
    <w:name w:val="FollowedHyperlink"/>
    <w:basedOn w:val="DefaultParagraphFont"/>
    <w:uiPriority w:val="99"/>
    <w:rPr>
      <w:rFonts w:cs="Times New Roman"/>
      <w:color w:val="800080"/>
      <w:u w:val="single"/>
    </w:rPr>
  </w:style>
  <w:style w:type="paragraph" w:styleId="Revision">
    <w:name w:val="Revision"/>
    <w:hidden/>
    <w:uiPriority w:val="99"/>
    <w:semiHidden/>
    <w:rsid w:val="000A6BAB"/>
    <w:rPr>
      <w:sz w:val="24"/>
      <w:szCs w:val="24"/>
    </w:rPr>
  </w:style>
  <w:style w:type="character" w:styleId="Strong">
    <w:name w:val="Strong"/>
    <w:basedOn w:val="DefaultParagraphFont"/>
    <w:uiPriority w:val="99"/>
    <w:qFormat/>
    <w:rsid w:val="00370357"/>
    <w:rPr>
      <w:rFonts w:cs="Times New Roman"/>
      <w:b/>
      <w:bCs/>
    </w:rPr>
  </w:style>
  <w:style w:type="paragraph" w:styleId="ListParagraph">
    <w:name w:val="List Paragraph"/>
    <w:basedOn w:val="Normal"/>
    <w:uiPriority w:val="34"/>
    <w:qFormat/>
    <w:rsid w:val="0027143F"/>
    <w:pPr>
      <w:ind w:left="720"/>
      <w:contextualSpacing/>
    </w:pPr>
  </w:style>
  <w:style w:type="character" w:customStyle="1" w:styleId="st">
    <w:name w:val="st"/>
    <w:basedOn w:val="DefaultParagraphFont"/>
    <w:rsid w:val="00B170B0"/>
  </w:style>
  <w:style w:type="character" w:styleId="Emphasis">
    <w:name w:val="Emphasis"/>
    <w:basedOn w:val="DefaultParagraphFont"/>
    <w:uiPriority w:val="20"/>
    <w:qFormat/>
    <w:locked/>
    <w:rsid w:val="00B170B0"/>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nhideWhenUsed="0" w:qFormat="1"/>
    <w:lsdException w:name="heading 2" w:locked="1" w:semiHidden="0" w:unhideWhenUsed="0" w:qFormat="1"/>
    <w:lsdException w:name="heading 3" w:locked="1" w:semiHidden="0" w:unhideWhenUsed="0" w:qFormat="1"/>
    <w:lsdException w:name="heading 4" w:locked="1" w:semiHidden="0" w:unhideWhenUsed="0" w:qFormat="1"/>
    <w:lsdException w:name="heading 5" w:locked="1" w:semiHidden="0" w:unhideWhenUsed="0" w:qFormat="1"/>
    <w:lsdException w:name="heading 6" w:locked="1" w:semiHidden="0" w:unhideWhenUsed="0" w:qFormat="1"/>
    <w:lsdException w:name="heading 7" w:locked="1" w:semiHidden="0" w:unhideWhenUsed="0" w:qFormat="1"/>
    <w:lsdException w:name="heading 8" w:locked="1" w:semiHidden="0" w:unhideWhenUsed="0" w:qFormat="1"/>
    <w:lsdException w:name="heading 9" w:locked="1"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locked="1" w:uiPriority="0" w:qFormat="1"/>
    <w:lsdException w:name="Title" w:locked="1" w:semiHidden="0" w:uiPriority="0" w:unhideWhenUsed="0" w:qFormat="1"/>
    <w:lsdException w:name="Default Paragraph Font" w:uiPriority="1"/>
    <w:lsdException w:name="Subtitle" w:locked="1" w:semiHidden="0" w:uiPriority="0" w:unhideWhenUsed="0" w:qFormat="1"/>
    <w:lsdException w:name="Strong" w:locked="1" w:semiHidden="0" w:unhideWhenUsed="0" w:qFormat="1"/>
    <w:lsdException w:name="Emphasis" w:locked="1"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3959"/>
    <w:rPr>
      <w:sz w:val="24"/>
      <w:szCs w:val="24"/>
    </w:rPr>
  </w:style>
  <w:style w:type="paragraph" w:styleId="Heading1">
    <w:name w:val="heading 1"/>
    <w:aliases w:val="Heading 1 Char1,Heading 1 Char Char,Heading 1 Char2 Char Char,Heading 1 Char Char Char Char,Heading 1 Char1 Char Char Char Char,Heading 1 Char Char Char Char Char Char,Heading 1 Char2 Char Char Char Char Char Char,Heading 1 Char2"/>
    <w:basedOn w:val="Normal"/>
    <w:next w:val="ParaNum"/>
    <w:link w:val="Heading1Char"/>
    <w:uiPriority w:val="99"/>
    <w:qFormat/>
    <w:rsid w:val="00B33959"/>
    <w:pPr>
      <w:keepNext/>
      <w:widowControl w:val="0"/>
      <w:numPr>
        <w:numId w:val="4"/>
      </w:numPr>
      <w:tabs>
        <w:tab w:val="left" w:pos="720"/>
      </w:tabs>
      <w:suppressAutoHyphens/>
      <w:spacing w:after="120"/>
      <w:outlineLvl w:val="0"/>
    </w:pPr>
    <w:rPr>
      <w:rFonts w:ascii="Times New Roman Bold" w:eastAsia="SimSun" w:hAnsi="Times New Roman Bold"/>
      <w:b/>
      <w:caps/>
      <w:kern w:val="28"/>
      <w:sz w:val="22"/>
      <w:szCs w:val="20"/>
    </w:rPr>
  </w:style>
  <w:style w:type="paragraph" w:styleId="Heading2">
    <w:name w:val="heading 2"/>
    <w:aliases w:val="Heading 2 Char,h2 Char,UNDERRUBRIK 1-2 Char,Heading 2 Char2,Heading 2 Char1 Char,Heading 2 Char Char Char,Heading 2 Char4 Char Char Char,Heading 2 Char3 Char Char Char Char,Heading 2 Char Char1 Char Char Char Char,Heading 2 Char Char1"/>
    <w:basedOn w:val="Normal"/>
    <w:next w:val="ParaNum"/>
    <w:link w:val="Heading2Char1"/>
    <w:autoRedefine/>
    <w:uiPriority w:val="99"/>
    <w:qFormat/>
    <w:rsid w:val="00B33959"/>
    <w:pPr>
      <w:keepNext/>
      <w:widowControl w:val="0"/>
      <w:numPr>
        <w:ilvl w:val="1"/>
        <w:numId w:val="4"/>
      </w:numPr>
      <w:spacing w:after="120"/>
      <w:outlineLvl w:val="1"/>
    </w:pPr>
    <w:rPr>
      <w:rFonts w:eastAsia="SimSun"/>
      <w:b/>
      <w:kern w:val="28"/>
      <w:sz w:val="22"/>
      <w:szCs w:val="20"/>
    </w:rPr>
  </w:style>
  <w:style w:type="paragraph" w:styleId="Heading3">
    <w:name w:val="heading 3"/>
    <w:aliases w:val="Heading 3 Char,3 Char,Titre 3 Char,1 Char,31 Char,Titre 31 Char,?? 3 Char,3,Titre 3,1,31,Titre 31,?? 3,Heading 3 Char1,Heading 3 Char Char,Heading 3 Char1 Char,Heading 3 Char Char Char"/>
    <w:basedOn w:val="Normal"/>
    <w:next w:val="ParaNum"/>
    <w:link w:val="Heading3Char2"/>
    <w:uiPriority w:val="99"/>
    <w:qFormat/>
    <w:rsid w:val="00B33959"/>
    <w:pPr>
      <w:keepNext/>
      <w:widowControl w:val="0"/>
      <w:numPr>
        <w:ilvl w:val="2"/>
        <w:numId w:val="4"/>
      </w:numPr>
      <w:tabs>
        <w:tab w:val="left" w:pos="2160"/>
      </w:tabs>
      <w:spacing w:after="120"/>
      <w:outlineLvl w:val="2"/>
    </w:pPr>
    <w:rPr>
      <w:rFonts w:eastAsia="SimSun"/>
      <w:b/>
      <w:kern w:val="28"/>
      <w:sz w:val="22"/>
      <w:szCs w:val="20"/>
    </w:rPr>
  </w:style>
  <w:style w:type="paragraph" w:styleId="Heading4">
    <w:name w:val="heading 4"/>
    <w:aliases w:val="Heading 4 Char2,Heading 4 Char1 Char,Heading 4 Char Char Char,Heading 4 Char Char1,Heading 4 Char1,Heading 4 Char Char,Heading 4 Char"/>
    <w:basedOn w:val="Normal"/>
    <w:next w:val="ParaNum"/>
    <w:link w:val="Heading4Char3"/>
    <w:uiPriority w:val="99"/>
    <w:qFormat/>
    <w:rsid w:val="00B33959"/>
    <w:pPr>
      <w:keepNext/>
      <w:widowControl w:val="0"/>
      <w:numPr>
        <w:ilvl w:val="3"/>
        <w:numId w:val="4"/>
      </w:numPr>
      <w:tabs>
        <w:tab w:val="left" w:pos="2880"/>
      </w:tabs>
      <w:spacing w:after="120"/>
      <w:outlineLvl w:val="3"/>
    </w:pPr>
    <w:rPr>
      <w:rFonts w:eastAsia="SimSun"/>
      <w:b/>
      <w:kern w:val="28"/>
      <w:sz w:val="22"/>
      <w:szCs w:val="20"/>
    </w:rPr>
  </w:style>
  <w:style w:type="paragraph" w:styleId="Heading5">
    <w:name w:val="heading 5"/>
    <w:basedOn w:val="Normal"/>
    <w:next w:val="ParaNum"/>
    <w:link w:val="Heading5Char"/>
    <w:uiPriority w:val="99"/>
    <w:qFormat/>
    <w:rsid w:val="00B33959"/>
    <w:pPr>
      <w:keepNext/>
      <w:widowControl w:val="0"/>
      <w:numPr>
        <w:ilvl w:val="4"/>
        <w:numId w:val="4"/>
      </w:numPr>
      <w:tabs>
        <w:tab w:val="left" w:pos="3600"/>
      </w:tabs>
      <w:suppressAutoHyphens/>
      <w:spacing w:after="120"/>
      <w:outlineLvl w:val="4"/>
    </w:pPr>
    <w:rPr>
      <w:rFonts w:eastAsia="SimSun"/>
      <w:b/>
      <w:kern w:val="28"/>
      <w:sz w:val="22"/>
      <w:szCs w:val="20"/>
    </w:rPr>
  </w:style>
  <w:style w:type="paragraph" w:styleId="Heading6">
    <w:name w:val="heading 6"/>
    <w:aliases w:val="h6"/>
    <w:basedOn w:val="Normal"/>
    <w:next w:val="ParaNum"/>
    <w:link w:val="Heading6Char"/>
    <w:uiPriority w:val="99"/>
    <w:qFormat/>
    <w:rsid w:val="00B33959"/>
    <w:pPr>
      <w:widowControl w:val="0"/>
      <w:numPr>
        <w:ilvl w:val="5"/>
        <w:numId w:val="4"/>
      </w:numPr>
      <w:tabs>
        <w:tab w:val="left" w:pos="4320"/>
      </w:tabs>
      <w:spacing w:after="120"/>
      <w:outlineLvl w:val="5"/>
    </w:pPr>
    <w:rPr>
      <w:rFonts w:eastAsia="SimSun"/>
      <w:b/>
      <w:kern w:val="28"/>
      <w:sz w:val="22"/>
      <w:szCs w:val="20"/>
    </w:rPr>
  </w:style>
  <w:style w:type="paragraph" w:styleId="Heading7">
    <w:name w:val="heading 7"/>
    <w:aliases w:val="Heading 7 Char"/>
    <w:basedOn w:val="Normal"/>
    <w:next w:val="ParaNum"/>
    <w:link w:val="Heading7Char1"/>
    <w:uiPriority w:val="99"/>
    <w:qFormat/>
    <w:rsid w:val="00B33959"/>
    <w:pPr>
      <w:widowControl w:val="0"/>
      <w:numPr>
        <w:ilvl w:val="6"/>
        <w:numId w:val="4"/>
      </w:numPr>
      <w:tabs>
        <w:tab w:val="left" w:pos="5040"/>
      </w:tabs>
      <w:spacing w:after="120"/>
      <w:ind w:left="5040" w:hanging="720"/>
      <w:outlineLvl w:val="6"/>
    </w:pPr>
    <w:rPr>
      <w:rFonts w:eastAsia="SimSun"/>
      <w:b/>
      <w:kern w:val="28"/>
      <w:sz w:val="22"/>
      <w:szCs w:val="20"/>
    </w:rPr>
  </w:style>
  <w:style w:type="paragraph" w:styleId="Heading8">
    <w:name w:val="heading 8"/>
    <w:basedOn w:val="Normal"/>
    <w:next w:val="ParaNum"/>
    <w:link w:val="Heading8Char"/>
    <w:uiPriority w:val="99"/>
    <w:qFormat/>
    <w:rsid w:val="00B33959"/>
    <w:pPr>
      <w:widowControl w:val="0"/>
      <w:numPr>
        <w:ilvl w:val="7"/>
        <w:numId w:val="4"/>
      </w:numPr>
      <w:tabs>
        <w:tab w:val="clear" w:pos="5400"/>
        <w:tab w:val="left" w:pos="5760"/>
      </w:tabs>
      <w:spacing w:after="120"/>
      <w:ind w:left="5760" w:hanging="720"/>
      <w:outlineLvl w:val="7"/>
    </w:pPr>
    <w:rPr>
      <w:rFonts w:eastAsia="SimSun"/>
      <w:b/>
      <w:kern w:val="28"/>
      <w:sz w:val="22"/>
      <w:szCs w:val="20"/>
    </w:rPr>
  </w:style>
  <w:style w:type="paragraph" w:styleId="Heading9">
    <w:name w:val="heading 9"/>
    <w:aliases w:val="Topic,table,t,9,Heading 9.table,Titre 9"/>
    <w:basedOn w:val="Normal"/>
    <w:next w:val="ParaNum"/>
    <w:link w:val="Heading9Char"/>
    <w:uiPriority w:val="99"/>
    <w:qFormat/>
    <w:rsid w:val="00B33959"/>
    <w:pPr>
      <w:widowControl w:val="0"/>
      <w:numPr>
        <w:ilvl w:val="8"/>
        <w:numId w:val="4"/>
      </w:numPr>
      <w:tabs>
        <w:tab w:val="clear" w:pos="6120"/>
        <w:tab w:val="left" w:pos="6480"/>
      </w:tabs>
      <w:spacing w:after="120"/>
      <w:ind w:left="6480" w:hanging="720"/>
      <w:outlineLvl w:val="8"/>
    </w:pPr>
    <w:rPr>
      <w:rFonts w:eastAsia="SimSun"/>
      <w:b/>
      <w:kern w:val="28"/>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 Char1 Char,Heading 1 Char Char Char,Heading 1 Char2 Char Char Char,Heading 1 Char Char Char Char Char,Heading 1 Char1 Char Char Char Char Char,Heading 1 Char Char Char Char Char Char Char,Heading 1 Char2 Char"/>
    <w:basedOn w:val="DefaultParagraphFont"/>
    <w:link w:val="Heading1"/>
    <w:uiPriority w:val="99"/>
    <w:locked/>
    <w:rsid w:val="00B33959"/>
    <w:rPr>
      <w:rFonts w:ascii="Times New Roman Bold" w:eastAsia="SimSun" w:hAnsi="Times New Roman Bold"/>
      <w:b/>
      <w:caps/>
      <w:kern w:val="28"/>
      <w:szCs w:val="20"/>
    </w:rPr>
  </w:style>
  <w:style w:type="character" w:customStyle="1" w:styleId="Heading2Char1">
    <w:name w:val="Heading 2 Char1"/>
    <w:aliases w:val="Heading 2 Char Char,h2 Char Char,UNDERRUBRIK 1-2 Char Char,Heading 2 Char2 Char,Heading 2 Char1 Char Char,Heading 2 Char Char Char Char,Heading 2 Char4 Char Char Char Char,Heading 2 Char3 Char Char Char Char Char"/>
    <w:basedOn w:val="DefaultParagraphFont"/>
    <w:link w:val="Heading2"/>
    <w:uiPriority w:val="99"/>
    <w:locked/>
    <w:rsid w:val="00B33959"/>
    <w:rPr>
      <w:rFonts w:eastAsia="SimSun"/>
      <w:b/>
      <w:kern w:val="28"/>
      <w:szCs w:val="20"/>
    </w:rPr>
  </w:style>
  <w:style w:type="character" w:customStyle="1" w:styleId="Heading3Char2">
    <w:name w:val="Heading 3 Char2"/>
    <w:aliases w:val="Heading 3 Char Char1,3 Char Char,Titre 3 Char Char,1 Char Char,31 Char Char,Titre 31 Char Char,?? 3 Char Char,3 Char1,Titre 3 Char1,1 Char1,31 Char1,Titre 31 Char1,?? 3 Char1,Heading 3 Char1 Char1,Heading 3 Char Char Char1"/>
    <w:basedOn w:val="DefaultParagraphFont"/>
    <w:link w:val="Heading3"/>
    <w:uiPriority w:val="99"/>
    <w:rsid w:val="00C20997"/>
    <w:rPr>
      <w:rFonts w:eastAsia="SimSun"/>
      <w:b/>
      <w:kern w:val="28"/>
      <w:szCs w:val="20"/>
    </w:rPr>
  </w:style>
  <w:style w:type="character" w:customStyle="1" w:styleId="Heading4Char3">
    <w:name w:val="Heading 4 Char3"/>
    <w:aliases w:val="Heading 4 Char2 Char,Heading 4 Char1 Char Char,Heading 4 Char Char Char Char,Heading 4 Char Char1 Char,Heading 4 Char1 Char1,Heading 4 Char Char Char1,Heading 4 Char Char2"/>
    <w:basedOn w:val="DefaultParagraphFont"/>
    <w:link w:val="Heading4"/>
    <w:uiPriority w:val="99"/>
    <w:rsid w:val="00C20997"/>
    <w:rPr>
      <w:rFonts w:eastAsia="SimSun"/>
      <w:b/>
      <w:kern w:val="28"/>
      <w:szCs w:val="20"/>
    </w:rPr>
  </w:style>
  <w:style w:type="character" w:customStyle="1" w:styleId="Heading5Char">
    <w:name w:val="Heading 5 Char"/>
    <w:basedOn w:val="DefaultParagraphFont"/>
    <w:link w:val="Heading5"/>
    <w:uiPriority w:val="99"/>
    <w:rsid w:val="00C20997"/>
    <w:rPr>
      <w:rFonts w:eastAsia="SimSun"/>
      <w:b/>
      <w:kern w:val="28"/>
      <w:szCs w:val="20"/>
    </w:rPr>
  </w:style>
  <w:style w:type="character" w:customStyle="1" w:styleId="Heading6Char">
    <w:name w:val="Heading 6 Char"/>
    <w:aliases w:val="h6 Char"/>
    <w:basedOn w:val="DefaultParagraphFont"/>
    <w:link w:val="Heading6"/>
    <w:uiPriority w:val="99"/>
    <w:rsid w:val="00C20997"/>
    <w:rPr>
      <w:rFonts w:eastAsia="SimSun"/>
      <w:b/>
      <w:kern w:val="28"/>
      <w:szCs w:val="20"/>
    </w:rPr>
  </w:style>
  <w:style w:type="character" w:customStyle="1" w:styleId="Heading7Char1">
    <w:name w:val="Heading 7 Char1"/>
    <w:aliases w:val="Heading 7 Char Char"/>
    <w:basedOn w:val="DefaultParagraphFont"/>
    <w:link w:val="Heading7"/>
    <w:uiPriority w:val="99"/>
    <w:rsid w:val="00C20997"/>
    <w:rPr>
      <w:rFonts w:eastAsia="SimSun"/>
      <w:b/>
      <w:kern w:val="28"/>
      <w:szCs w:val="20"/>
    </w:rPr>
  </w:style>
  <w:style w:type="character" w:customStyle="1" w:styleId="Heading8Char">
    <w:name w:val="Heading 8 Char"/>
    <w:basedOn w:val="DefaultParagraphFont"/>
    <w:link w:val="Heading8"/>
    <w:uiPriority w:val="99"/>
    <w:rsid w:val="00C20997"/>
    <w:rPr>
      <w:rFonts w:eastAsia="SimSun"/>
      <w:b/>
      <w:kern w:val="28"/>
      <w:szCs w:val="20"/>
    </w:rPr>
  </w:style>
  <w:style w:type="character" w:customStyle="1" w:styleId="Heading9Char">
    <w:name w:val="Heading 9 Char"/>
    <w:aliases w:val="Topic Char,table Char,t Char,9 Char,Heading 9.table Char,Titre 9 Char"/>
    <w:basedOn w:val="DefaultParagraphFont"/>
    <w:link w:val="Heading9"/>
    <w:uiPriority w:val="99"/>
    <w:rsid w:val="00C20997"/>
    <w:rPr>
      <w:rFonts w:eastAsia="SimSun"/>
      <w:b/>
      <w:kern w:val="28"/>
      <w:szCs w:val="20"/>
    </w:rPr>
  </w:style>
  <w:style w:type="paragraph" w:customStyle="1" w:styleId="ParaNum">
    <w:name w:val="ParaNum"/>
    <w:basedOn w:val="Normal"/>
    <w:link w:val="ParaNumChar"/>
    <w:uiPriority w:val="99"/>
    <w:rsid w:val="00B33959"/>
    <w:pPr>
      <w:widowControl w:val="0"/>
      <w:numPr>
        <w:numId w:val="2"/>
      </w:numPr>
      <w:tabs>
        <w:tab w:val="clear" w:pos="360"/>
        <w:tab w:val="num" w:pos="1080"/>
      </w:tabs>
      <w:spacing w:after="120"/>
      <w:ind w:left="0" w:firstLine="720"/>
    </w:pPr>
    <w:rPr>
      <w:rFonts w:eastAsia="SimSun"/>
      <w:kern w:val="28"/>
      <w:sz w:val="22"/>
      <w:szCs w:val="20"/>
    </w:rPr>
  </w:style>
  <w:style w:type="character" w:customStyle="1" w:styleId="ParaNumChar">
    <w:name w:val="ParaNum Char"/>
    <w:link w:val="ParaNum"/>
    <w:uiPriority w:val="99"/>
    <w:locked/>
    <w:rsid w:val="00B33959"/>
    <w:rPr>
      <w:rFonts w:eastAsia="SimSun"/>
      <w:kern w:val="28"/>
      <w:sz w:val="22"/>
      <w:lang w:val="en-US" w:eastAsia="en-US"/>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semiHidden/>
    <w:rsid w:val="00C20997"/>
    <w:rPr>
      <w:sz w:val="24"/>
      <w:szCs w:val="24"/>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semiHidden/>
    <w:rsid w:val="00C20997"/>
    <w:rPr>
      <w:sz w:val="24"/>
      <w:szCs w:val="24"/>
    </w:rPr>
  </w:style>
  <w:style w:type="paragraph" w:styleId="BodyText">
    <w:name w:val="Body Text"/>
    <w:basedOn w:val="Normal"/>
    <w:link w:val="BodyTextChar"/>
    <w:uiPriority w:val="99"/>
    <w:pPr>
      <w:spacing w:after="120"/>
    </w:pPr>
  </w:style>
  <w:style w:type="character" w:customStyle="1" w:styleId="BodyTextChar">
    <w:name w:val="Body Text Char"/>
    <w:basedOn w:val="DefaultParagraphFont"/>
    <w:link w:val="BodyText"/>
    <w:uiPriority w:val="99"/>
    <w:semiHidden/>
    <w:rsid w:val="00C20997"/>
    <w:rPr>
      <w:sz w:val="24"/>
      <w:szCs w:val="24"/>
    </w:rPr>
  </w:style>
  <w:style w:type="paragraph" w:styleId="BodyTextFirstIndent">
    <w:name w:val="Body Text First Indent"/>
    <w:basedOn w:val="Normal"/>
    <w:link w:val="BodyTextFirstIndentChar"/>
    <w:uiPriority w:val="99"/>
    <w:pPr>
      <w:ind w:firstLine="210"/>
    </w:pPr>
  </w:style>
  <w:style w:type="character" w:customStyle="1" w:styleId="BodyTextFirstIndentChar">
    <w:name w:val="Body Text First Indent Char"/>
    <w:basedOn w:val="BodyTextChar"/>
    <w:link w:val="BodyTextFirstIndent"/>
    <w:uiPriority w:val="99"/>
    <w:semiHidden/>
    <w:rsid w:val="00C20997"/>
    <w:rPr>
      <w:sz w:val="24"/>
      <w:szCs w:val="24"/>
    </w:rPr>
  </w:style>
  <w:style w:type="paragraph" w:styleId="BodyTextIndent">
    <w:name w:val="Body Text Indent"/>
    <w:basedOn w:val="Normal"/>
    <w:link w:val="BodyTextIndentChar"/>
    <w:uiPriority w:val="99"/>
    <w:pPr>
      <w:spacing w:after="120"/>
      <w:ind w:left="360"/>
    </w:pPr>
  </w:style>
  <w:style w:type="character" w:customStyle="1" w:styleId="BodyTextIndentChar">
    <w:name w:val="Body Text Indent Char"/>
    <w:basedOn w:val="DefaultParagraphFont"/>
    <w:link w:val="BodyTextIndent"/>
    <w:uiPriority w:val="99"/>
    <w:semiHidden/>
    <w:rsid w:val="00C20997"/>
    <w:rPr>
      <w:sz w:val="24"/>
      <w:szCs w:val="24"/>
    </w:rPr>
  </w:style>
  <w:style w:type="paragraph" w:styleId="BodyTextFirstIndent2">
    <w:name w:val="Body Text First Indent 2"/>
    <w:basedOn w:val="BodyTextIndent"/>
    <w:link w:val="BodyTextFirstIndent2Char"/>
    <w:uiPriority w:val="99"/>
    <w:pPr>
      <w:ind w:firstLine="210"/>
    </w:pPr>
  </w:style>
  <w:style w:type="character" w:customStyle="1" w:styleId="BodyTextFirstIndent2Char">
    <w:name w:val="Body Text First Indent 2 Char"/>
    <w:basedOn w:val="BodyTextIndentChar"/>
    <w:link w:val="BodyTextFirstIndent2"/>
    <w:uiPriority w:val="99"/>
    <w:semiHidden/>
    <w:rsid w:val="00C20997"/>
    <w:rPr>
      <w:sz w:val="24"/>
      <w:szCs w:val="24"/>
    </w:rPr>
  </w:style>
  <w:style w:type="paragraph" w:styleId="BodyTextIndent2">
    <w:name w:val="Body Text Indent 2"/>
    <w:basedOn w:val="Normal"/>
    <w:link w:val="BodyTextIndent2Char"/>
    <w:uiPriority w:val="99"/>
    <w:pPr>
      <w:spacing w:after="120" w:line="480" w:lineRule="auto"/>
      <w:ind w:left="360"/>
    </w:pPr>
  </w:style>
  <w:style w:type="character" w:customStyle="1" w:styleId="BodyTextIndent2Char">
    <w:name w:val="Body Text Indent 2 Char"/>
    <w:basedOn w:val="DefaultParagraphFont"/>
    <w:link w:val="BodyTextIndent2"/>
    <w:uiPriority w:val="99"/>
    <w:semiHidden/>
    <w:rsid w:val="00C20997"/>
    <w:rPr>
      <w:sz w:val="24"/>
      <w:szCs w:val="24"/>
    </w:rPr>
  </w:style>
  <w:style w:type="paragraph" w:styleId="ListBullet">
    <w:name w:val="List Bullet"/>
    <w:basedOn w:val="Normal"/>
    <w:uiPriority w:val="99"/>
  </w:style>
  <w:style w:type="paragraph" w:customStyle="1" w:styleId="ColorfulList-Accent11">
    <w:name w:val="Colorful List - Accent 11"/>
    <w:basedOn w:val="Normal"/>
    <w:uiPriority w:val="99"/>
    <w:pPr>
      <w:ind w:left="720"/>
      <w:contextualSpacing/>
    </w:pPr>
  </w:style>
  <w:style w:type="paragraph" w:styleId="FootnoteText">
    <w:name w:val="footnote text"/>
    <w:aliases w:val="Footnote Text Char1,Footnote Text Char Char,Footnote Text Char5 Char Char,Footnote Text Char Char Char Char,Footnote Text Char4 Char Char1 Char Char,Footnote Text Char2 Char Char2 Char2 Char Char,Footnote Text Char,Footnote Text Char5 Cha"/>
    <w:basedOn w:val="Normal"/>
    <w:link w:val="FootnoteTextChar2"/>
    <w:uiPriority w:val="99"/>
    <w:semiHidden/>
    <w:pPr>
      <w:spacing w:after="60"/>
    </w:pPr>
    <w:rPr>
      <w:sz w:val="20"/>
      <w:szCs w:val="20"/>
    </w:rPr>
  </w:style>
  <w:style w:type="character" w:customStyle="1" w:styleId="FootnoteTextChar2">
    <w:name w:val="Footnote Text Char2"/>
    <w:aliases w:val="Footnote Text Char1 Char,Footnote Text Char Char Char,Footnote Text Char5 Char Char Char,Footnote Text Char Char Char Char Char,Footnote Text Char4 Char Char1 Char Char Char,Footnote Text Char2 Char Char2 Char2 Char Char Char"/>
    <w:basedOn w:val="DefaultParagraphFont"/>
    <w:link w:val="FootnoteText"/>
    <w:uiPriority w:val="99"/>
    <w:semiHidden/>
    <w:locked/>
    <w:rPr>
      <w:lang w:val="en-US" w:eastAsia="en-US"/>
    </w:rPr>
  </w:style>
  <w:style w:type="character" w:styleId="FootnoteReference">
    <w:name w:val="footnote reference"/>
    <w:aliases w:val="Appel note de bas de p,Style 12,(NECG) Footnote Reference,Style 124,o,fr,Style 3,Style 17,FR,Style 13,Style 6,Footnote Reference/"/>
    <w:basedOn w:val="DefaultParagraphFont"/>
    <w:uiPriority w:val="99"/>
    <w:semiHidden/>
    <w:rPr>
      <w:rFonts w:cs="Times New Roman"/>
      <w:vertAlign w:val="superscript"/>
    </w:rPr>
  </w:style>
  <w:style w:type="character" w:styleId="CommentReference">
    <w:name w:val="annotation reference"/>
    <w:basedOn w:val="DefaultParagraphFont"/>
    <w:uiPriority w:val="99"/>
    <w:rPr>
      <w:rFonts w:cs="Times New Roman"/>
      <w:sz w:val="16"/>
    </w:rPr>
  </w:style>
  <w:style w:type="paragraph" w:styleId="CommentText">
    <w:name w:val="annotation text"/>
    <w:basedOn w:val="Normal"/>
    <w:link w:val="CommentTextChar"/>
    <w:uiPriority w:val="99"/>
    <w:rPr>
      <w:sz w:val="20"/>
      <w:szCs w:val="20"/>
    </w:rPr>
  </w:style>
  <w:style w:type="character" w:customStyle="1" w:styleId="CommentTextChar">
    <w:name w:val="Comment Text Char"/>
    <w:basedOn w:val="DefaultParagraphFont"/>
    <w:link w:val="CommentText"/>
    <w:uiPriority w:val="99"/>
    <w:locked/>
    <w:rPr>
      <w:rFonts w:cs="Times New Roman"/>
    </w:rPr>
  </w:style>
  <w:style w:type="paragraph" w:styleId="CommentSubject">
    <w:name w:val="annotation subject"/>
    <w:basedOn w:val="CommentText"/>
    <w:next w:val="CommentText"/>
    <w:link w:val="CommentSubjectChar"/>
    <w:uiPriority w:val="99"/>
    <w:rPr>
      <w:b/>
      <w:bCs/>
    </w:rPr>
  </w:style>
  <w:style w:type="character" w:customStyle="1" w:styleId="CommentSubjectChar">
    <w:name w:val="Comment Subject Char"/>
    <w:basedOn w:val="CommentTextChar"/>
    <w:link w:val="CommentSubject"/>
    <w:uiPriority w:val="99"/>
    <w:locked/>
    <w:rPr>
      <w:rFonts w:cs="Times New Roman"/>
      <w:b/>
    </w:rPr>
  </w:style>
  <w:style w:type="paragraph" w:styleId="BalloonText">
    <w:name w:val="Balloon Text"/>
    <w:basedOn w:val="Normal"/>
    <w:link w:val="BalloonTextChar"/>
    <w:uiPriority w:val="99"/>
    <w:rPr>
      <w:rFonts w:ascii="Tahoma" w:hAnsi="Tahoma"/>
      <w:sz w:val="16"/>
      <w:szCs w:val="16"/>
    </w:rPr>
  </w:style>
  <w:style w:type="character" w:customStyle="1" w:styleId="BalloonTextChar">
    <w:name w:val="Balloon Text Char"/>
    <w:basedOn w:val="DefaultParagraphFont"/>
    <w:link w:val="BalloonText"/>
    <w:uiPriority w:val="99"/>
    <w:locked/>
    <w:rPr>
      <w:rFonts w:ascii="Tahoma" w:hAnsi="Tahoma"/>
      <w:sz w:val="16"/>
    </w:rPr>
  </w:style>
  <w:style w:type="table" w:styleId="TableGrid">
    <w:name w:val="Table Grid"/>
    <w:basedOn w:val="TableNormal"/>
    <w:uiPriority w:val="99"/>
    <w:rPr>
      <w:rFonts w:eastAsia="MS Mincho"/>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rPr>
      <w:rFonts w:cs="Times New Roman"/>
      <w:color w:val="0000FF"/>
      <w:u w:val="single"/>
    </w:rPr>
  </w:style>
  <w:style w:type="character" w:styleId="PageNumber">
    <w:name w:val="page number"/>
    <w:basedOn w:val="DefaultParagraphFont"/>
    <w:uiPriority w:val="99"/>
    <w:rPr>
      <w:rFonts w:cs="Times New Roman"/>
    </w:rPr>
  </w:style>
  <w:style w:type="character" w:customStyle="1" w:styleId="apple-converted-space">
    <w:name w:val="apple-converted-space"/>
    <w:basedOn w:val="DefaultParagraphFont"/>
    <w:uiPriority w:val="99"/>
    <w:rPr>
      <w:rFonts w:cs="Times New Roman"/>
    </w:rPr>
  </w:style>
  <w:style w:type="character" w:styleId="EndnoteReference">
    <w:name w:val="endnote reference"/>
    <w:basedOn w:val="DefaultParagraphFont"/>
    <w:uiPriority w:val="99"/>
    <w:rPr>
      <w:rFonts w:cs="Times New Roman"/>
      <w:vertAlign w:val="superscript"/>
    </w:rPr>
  </w:style>
  <w:style w:type="character" w:styleId="FollowedHyperlink">
    <w:name w:val="FollowedHyperlink"/>
    <w:basedOn w:val="DefaultParagraphFont"/>
    <w:uiPriority w:val="99"/>
    <w:rPr>
      <w:rFonts w:cs="Times New Roman"/>
      <w:color w:val="800080"/>
      <w:u w:val="single"/>
    </w:rPr>
  </w:style>
  <w:style w:type="paragraph" w:styleId="Revision">
    <w:name w:val="Revision"/>
    <w:hidden/>
    <w:uiPriority w:val="99"/>
    <w:semiHidden/>
    <w:rsid w:val="000A6BAB"/>
    <w:rPr>
      <w:sz w:val="24"/>
      <w:szCs w:val="24"/>
    </w:rPr>
  </w:style>
  <w:style w:type="character" w:styleId="Strong">
    <w:name w:val="Strong"/>
    <w:basedOn w:val="DefaultParagraphFont"/>
    <w:uiPriority w:val="99"/>
    <w:qFormat/>
    <w:rsid w:val="00370357"/>
    <w:rPr>
      <w:rFonts w:cs="Times New Roman"/>
      <w:b/>
      <w:bCs/>
    </w:rPr>
  </w:style>
  <w:style w:type="paragraph" w:styleId="ListParagraph">
    <w:name w:val="List Paragraph"/>
    <w:basedOn w:val="Normal"/>
    <w:uiPriority w:val="34"/>
    <w:qFormat/>
    <w:rsid w:val="0027143F"/>
    <w:pPr>
      <w:ind w:left="720"/>
      <w:contextualSpacing/>
    </w:pPr>
  </w:style>
  <w:style w:type="character" w:customStyle="1" w:styleId="st">
    <w:name w:val="st"/>
    <w:basedOn w:val="DefaultParagraphFont"/>
    <w:rsid w:val="00B170B0"/>
  </w:style>
  <w:style w:type="character" w:styleId="Emphasis">
    <w:name w:val="Emphasis"/>
    <w:basedOn w:val="DefaultParagraphFont"/>
    <w:uiPriority w:val="20"/>
    <w:qFormat/>
    <w:locked/>
    <w:rsid w:val="00B170B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3908583">
      <w:bodyDiv w:val="1"/>
      <w:marLeft w:val="0"/>
      <w:marRight w:val="0"/>
      <w:marTop w:val="0"/>
      <w:marBottom w:val="0"/>
      <w:divBdr>
        <w:top w:val="none" w:sz="0" w:space="0" w:color="auto"/>
        <w:left w:val="none" w:sz="0" w:space="0" w:color="auto"/>
        <w:bottom w:val="none" w:sz="0" w:space="0" w:color="auto"/>
        <w:right w:val="none" w:sz="0" w:space="0" w:color="auto"/>
      </w:divBdr>
    </w:div>
    <w:div w:id="937250940">
      <w:bodyDiv w:val="1"/>
      <w:marLeft w:val="0"/>
      <w:marRight w:val="0"/>
      <w:marTop w:val="0"/>
      <w:marBottom w:val="0"/>
      <w:divBdr>
        <w:top w:val="none" w:sz="0" w:space="0" w:color="auto"/>
        <w:left w:val="none" w:sz="0" w:space="0" w:color="auto"/>
        <w:bottom w:val="none" w:sz="0" w:space="0" w:color="auto"/>
        <w:right w:val="none" w:sz="0" w:space="0" w:color="auto"/>
      </w:divBdr>
    </w:div>
    <w:div w:id="1162891802">
      <w:marLeft w:val="0"/>
      <w:marRight w:val="0"/>
      <w:marTop w:val="0"/>
      <w:marBottom w:val="0"/>
      <w:divBdr>
        <w:top w:val="none" w:sz="0" w:space="0" w:color="auto"/>
        <w:left w:val="none" w:sz="0" w:space="0" w:color="auto"/>
        <w:bottom w:val="none" w:sz="0" w:space="0" w:color="auto"/>
        <w:right w:val="none" w:sz="0" w:space="0" w:color="auto"/>
      </w:divBdr>
    </w:div>
    <w:div w:id="1162891803">
      <w:marLeft w:val="0"/>
      <w:marRight w:val="0"/>
      <w:marTop w:val="0"/>
      <w:marBottom w:val="0"/>
      <w:divBdr>
        <w:top w:val="none" w:sz="0" w:space="0" w:color="auto"/>
        <w:left w:val="none" w:sz="0" w:space="0" w:color="auto"/>
        <w:bottom w:val="none" w:sz="0" w:space="0" w:color="auto"/>
        <w:right w:val="none" w:sz="0" w:space="0" w:color="auto"/>
      </w:divBdr>
    </w:div>
    <w:div w:id="1162891804">
      <w:marLeft w:val="0"/>
      <w:marRight w:val="0"/>
      <w:marTop w:val="0"/>
      <w:marBottom w:val="0"/>
      <w:divBdr>
        <w:top w:val="none" w:sz="0" w:space="0" w:color="auto"/>
        <w:left w:val="none" w:sz="0" w:space="0" w:color="auto"/>
        <w:bottom w:val="none" w:sz="0" w:space="0" w:color="auto"/>
        <w:right w:val="none" w:sz="0" w:space="0" w:color="auto"/>
      </w:divBdr>
    </w:div>
    <w:div w:id="1162891805">
      <w:marLeft w:val="0"/>
      <w:marRight w:val="0"/>
      <w:marTop w:val="0"/>
      <w:marBottom w:val="0"/>
      <w:divBdr>
        <w:top w:val="none" w:sz="0" w:space="0" w:color="auto"/>
        <w:left w:val="none" w:sz="0" w:space="0" w:color="auto"/>
        <w:bottom w:val="none" w:sz="0" w:space="0" w:color="auto"/>
        <w:right w:val="none" w:sz="0" w:space="0" w:color="auto"/>
      </w:divBdr>
      <w:divsChild>
        <w:div w:id="1162891812">
          <w:marLeft w:val="0"/>
          <w:marRight w:val="0"/>
          <w:marTop w:val="0"/>
          <w:marBottom w:val="0"/>
          <w:divBdr>
            <w:top w:val="none" w:sz="0" w:space="0" w:color="auto"/>
            <w:left w:val="none" w:sz="0" w:space="0" w:color="auto"/>
            <w:bottom w:val="none" w:sz="0" w:space="0" w:color="auto"/>
            <w:right w:val="none" w:sz="0" w:space="0" w:color="auto"/>
          </w:divBdr>
        </w:div>
      </w:divsChild>
    </w:div>
    <w:div w:id="1162891806">
      <w:marLeft w:val="0"/>
      <w:marRight w:val="0"/>
      <w:marTop w:val="0"/>
      <w:marBottom w:val="0"/>
      <w:divBdr>
        <w:top w:val="none" w:sz="0" w:space="0" w:color="auto"/>
        <w:left w:val="none" w:sz="0" w:space="0" w:color="auto"/>
        <w:bottom w:val="none" w:sz="0" w:space="0" w:color="auto"/>
        <w:right w:val="none" w:sz="0" w:space="0" w:color="auto"/>
      </w:divBdr>
    </w:div>
    <w:div w:id="1162891807">
      <w:marLeft w:val="0"/>
      <w:marRight w:val="0"/>
      <w:marTop w:val="0"/>
      <w:marBottom w:val="0"/>
      <w:divBdr>
        <w:top w:val="none" w:sz="0" w:space="0" w:color="auto"/>
        <w:left w:val="none" w:sz="0" w:space="0" w:color="auto"/>
        <w:bottom w:val="none" w:sz="0" w:space="0" w:color="auto"/>
        <w:right w:val="none" w:sz="0" w:space="0" w:color="auto"/>
      </w:divBdr>
    </w:div>
    <w:div w:id="1162891808">
      <w:marLeft w:val="0"/>
      <w:marRight w:val="0"/>
      <w:marTop w:val="0"/>
      <w:marBottom w:val="0"/>
      <w:divBdr>
        <w:top w:val="none" w:sz="0" w:space="0" w:color="auto"/>
        <w:left w:val="none" w:sz="0" w:space="0" w:color="auto"/>
        <w:bottom w:val="none" w:sz="0" w:space="0" w:color="auto"/>
        <w:right w:val="none" w:sz="0" w:space="0" w:color="auto"/>
      </w:divBdr>
    </w:div>
    <w:div w:id="1162891809">
      <w:marLeft w:val="0"/>
      <w:marRight w:val="0"/>
      <w:marTop w:val="0"/>
      <w:marBottom w:val="0"/>
      <w:divBdr>
        <w:top w:val="none" w:sz="0" w:space="0" w:color="auto"/>
        <w:left w:val="none" w:sz="0" w:space="0" w:color="auto"/>
        <w:bottom w:val="none" w:sz="0" w:space="0" w:color="auto"/>
        <w:right w:val="none" w:sz="0" w:space="0" w:color="auto"/>
      </w:divBdr>
    </w:div>
    <w:div w:id="1162891810">
      <w:marLeft w:val="0"/>
      <w:marRight w:val="0"/>
      <w:marTop w:val="0"/>
      <w:marBottom w:val="0"/>
      <w:divBdr>
        <w:top w:val="none" w:sz="0" w:space="0" w:color="auto"/>
        <w:left w:val="none" w:sz="0" w:space="0" w:color="auto"/>
        <w:bottom w:val="none" w:sz="0" w:space="0" w:color="auto"/>
        <w:right w:val="none" w:sz="0" w:space="0" w:color="auto"/>
      </w:divBdr>
    </w:div>
    <w:div w:id="1162891811">
      <w:marLeft w:val="0"/>
      <w:marRight w:val="0"/>
      <w:marTop w:val="0"/>
      <w:marBottom w:val="0"/>
      <w:divBdr>
        <w:top w:val="none" w:sz="0" w:space="0" w:color="auto"/>
        <w:left w:val="none" w:sz="0" w:space="0" w:color="auto"/>
        <w:bottom w:val="none" w:sz="0" w:space="0" w:color="auto"/>
        <w:right w:val="none" w:sz="0" w:space="0" w:color="auto"/>
      </w:divBdr>
    </w:div>
    <w:div w:id="1162891813">
      <w:marLeft w:val="0"/>
      <w:marRight w:val="0"/>
      <w:marTop w:val="0"/>
      <w:marBottom w:val="0"/>
      <w:divBdr>
        <w:top w:val="none" w:sz="0" w:space="0" w:color="auto"/>
        <w:left w:val="none" w:sz="0" w:space="0" w:color="auto"/>
        <w:bottom w:val="none" w:sz="0" w:space="0" w:color="auto"/>
        <w:right w:val="none" w:sz="0" w:space="0" w:color="auto"/>
      </w:divBdr>
    </w:div>
    <w:div w:id="1162891814">
      <w:marLeft w:val="0"/>
      <w:marRight w:val="0"/>
      <w:marTop w:val="0"/>
      <w:marBottom w:val="0"/>
      <w:divBdr>
        <w:top w:val="none" w:sz="0" w:space="0" w:color="auto"/>
        <w:left w:val="none" w:sz="0" w:space="0" w:color="auto"/>
        <w:bottom w:val="none" w:sz="0" w:space="0" w:color="auto"/>
        <w:right w:val="none" w:sz="0" w:space="0" w:color="auto"/>
      </w:divBdr>
    </w:div>
    <w:div w:id="1162891815">
      <w:marLeft w:val="0"/>
      <w:marRight w:val="0"/>
      <w:marTop w:val="0"/>
      <w:marBottom w:val="0"/>
      <w:divBdr>
        <w:top w:val="none" w:sz="0" w:space="0" w:color="auto"/>
        <w:left w:val="none" w:sz="0" w:space="0" w:color="auto"/>
        <w:bottom w:val="none" w:sz="0" w:space="0" w:color="auto"/>
        <w:right w:val="none" w:sz="0" w:space="0" w:color="auto"/>
      </w:divBdr>
    </w:div>
    <w:div w:id="1162891816">
      <w:marLeft w:val="0"/>
      <w:marRight w:val="0"/>
      <w:marTop w:val="0"/>
      <w:marBottom w:val="0"/>
      <w:divBdr>
        <w:top w:val="none" w:sz="0" w:space="0" w:color="auto"/>
        <w:left w:val="none" w:sz="0" w:space="0" w:color="auto"/>
        <w:bottom w:val="none" w:sz="0" w:space="0" w:color="auto"/>
        <w:right w:val="none" w:sz="0" w:space="0" w:color="auto"/>
      </w:divBdr>
    </w:div>
    <w:div w:id="1162891818">
      <w:marLeft w:val="0"/>
      <w:marRight w:val="0"/>
      <w:marTop w:val="0"/>
      <w:marBottom w:val="0"/>
      <w:divBdr>
        <w:top w:val="none" w:sz="0" w:space="0" w:color="auto"/>
        <w:left w:val="none" w:sz="0" w:space="0" w:color="auto"/>
        <w:bottom w:val="none" w:sz="0" w:space="0" w:color="auto"/>
        <w:right w:val="none" w:sz="0" w:space="0" w:color="auto"/>
      </w:divBdr>
    </w:div>
    <w:div w:id="1162891819">
      <w:marLeft w:val="0"/>
      <w:marRight w:val="0"/>
      <w:marTop w:val="0"/>
      <w:marBottom w:val="0"/>
      <w:divBdr>
        <w:top w:val="none" w:sz="0" w:space="0" w:color="auto"/>
        <w:left w:val="none" w:sz="0" w:space="0" w:color="auto"/>
        <w:bottom w:val="none" w:sz="0" w:space="0" w:color="auto"/>
        <w:right w:val="none" w:sz="0" w:space="0" w:color="auto"/>
      </w:divBdr>
    </w:div>
    <w:div w:id="1162891820">
      <w:marLeft w:val="0"/>
      <w:marRight w:val="0"/>
      <w:marTop w:val="0"/>
      <w:marBottom w:val="0"/>
      <w:divBdr>
        <w:top w:val="none" w:sz="0" w:space="0" w:color="auto"/>
        <w:left w:val="none" w:sz="0" w:space="0" w:color="auto"/>
        <w:bottom w:val="none" w:sz="0" w:space="0" w:color="auto"/>
        <w:right w:val="none" w:sz="0" w:space="0" w:color="auto"/>
      </w:divBdr>
    </w:div>
    <w:div w:id="1162891821">
      <w:marLeft w:val="0"/>
      <w:marRight w:val="0"/>
      <w:marTop w:val="0"/>
      <w:marBottom w:val="0"/>
      <w:divBdr>
        <w:top w:val="none" w:sz="0" w:space="0" w:color="auto"/>
        <w:left w:val="none" w:sz="0" w:space="0" w:color="auto"/>
        <w:bottom w:val="none" w:sz="0" w:space="0" w:color="auto"/>
        <w:right w:val="none" w:sz="0" w:space="0" w:color="auto"/>
      </w:divBdr>
    </w:div>
    <w:div w:id="1162891822">
      <w:marLeft w:val="0"/>
      <w:marRight w:val="0"/>
      <w:marTop w:val="0"/>
      <w:marBottom w:val="0"/>
      <w:divBdr>
        <w:top w:val="none" w:sz="0" w:space="0" w:color="auto"/>
        <w:left w:val="none" w:sz="0" w:space="0" w:color="auto"/>
        <w:bottom w:val="none" w:sz="0" w:space="0" w:color="auto"/>
        <w:right w:val="none" w:sz="0" w:space="0" w:color="auto"/>
      </w:divBdr>
    </w:div>
    <w:div w:id="1162891823">
      <w:marLeft w:val="0"/>
      <w:marRight w:val="0"/>
      <w:marTop w:val="0"/>
      <w:marBottom w:val="0"/>
      <w:divBdr>
        <w:top w:val="none" w:sz="0" w:space="0" w:color="auto"/>
        <w:left w:val="none" w:sz="0" w:space="0" w:color="auto"/>
        <w:bottom w:val="none" w:sz="0" w:space="0" w:color="auto"/>
        <w:right w:val="none" w:sz="0" w:space="0" w:color="auto"/>
      </w:divBdr>
    </w:div>
    <w:div w:id="1162891824">
      <w:marLeft w:val="0"/>
      <w:marRight w:val="0"/>
      <w:marTop w:val="0"/>
      <w:marBottom w:val="0"/>
      <w:divBdr>
        <w:top w:val="none" w:sz="0" w:space="0" w:color="auto"/>
        <w:left w:val="none" w:sz="0" w:space="0" w:color="auto"/>
        <w:bottom w:val="none" w:sz="0" w:space="0" w:color="auto"/>
        <w:right w:val="none" w:sz="0" w:space="0" w:color="auto"/>
      </w:divBdr>
    </w:div>
    <w:div w:id="1162891825">
      <w:marLeft w:val="0"/>
      <w:marRight w:val="0"/>
      <w:marTop w:val="0"/>
      <w:marBottom w:val="0"/>
      <w:divBdr>
        <w:top w:val="none" w:sz="0" w:space="0" w:color="auto"/>
        <w:left w:val="none" w:sz="0" w:space="0" w:color="auto"/>
        <w:bottom w:val="none" w:sz="0" w:space="0" w:color="auto"/>
        <w:right w:val="none" w:sz="0" w:space="0" w:color="auto"/>
      </w:divBdr>
    </w:div>
    <w:div w:id="1162891826">
      <w:marLeft w:val="0"/>
      <w:marRight w:val="0"/>
      <w:marTop w:val="0"/>
      <w:marBottom w:val="0"/>
      <w:divBdr>
        <w:top w:val="none" w:sz="0" w:space="0" w:color="auto"/>
        <w:left w:val="none" w:sz="0" w:space="0" w:color="auto"/>
        <w:bottom w:val="none" w:sz="0" w:space="0" w:color="auto"/>
        <w:right w:val="none" w:sz="0" w:space="0" w:color="auto"/>
      </w:divBdr>
      <w:divsChild>
        <w:div w:id="1162891817">
          <w:marLeft w:val="0"/>
          <w:marRight w:val="0"/>
          <w:marTop w:val="0"/>
          <w:marBottom w:val="0"/>
          <w:divBdr>
            <w:top w:val="none" w:sz="0" w:space="0" w:color="auto"/>
            <w:left w:val="none" w:sz="0" w:space="0" w:color="auto"/>
            <w:bottom w:val="none" w:sz="0" w:space="0" w:color="auto"/>
            <w:right w:val="none" w:sz="0" w:space="0" w:color="auto"/>
          </w:divBdr>
        </w:div>
      </w:divsChild>
    </w:div>
    <w:div w:id="1186678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hyperlink" Target="http://www.tele.soumu.go.jp/resource/e/freq/process/actionplan.pdf" TargetMode="External"/><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s://webmail.fcc.gov/owa/redir.aspx?C=716f251e65e84f849acf0890658c6255&amp;URL=http%3a%2f%2fec.europa.eu%2finformation_society%2fpolicy%2fecomm%2fradio_spectrum%2f_document_storage%2fstudies%2finventory_2012%2fcion_spectrum_inventory_final_report.pdf" TargetMode="External"/><Relationship Id="rId25" Type="http://schemas.openxmlformats.org/officeDocument/2006/relationships/hyperlink" Target="http://www.cept.org/eco/deliverables/eco-reports" TargetMode="External"/><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header" Target="header3.xml"/><Relationship Id="rId10" Type="http://schemas.openxmlformats.org/officeDocument/2006/relationships/image" Target="media/image3.jpe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eg"/><Relationship Id="rId22" Type="http://schemas.openxmlformats.org/officeDocument/2006/relationships/footer" Target="footer2.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6312</Words>
  <Characters>35982</Characters>
  <Application>Microsoft Office Word</Application>
  <DocSecurity>0</DocSecurity>
  <Lines>299</Lines>
  <Paragraphs>84</Paragraphs>
  <ScaleCrop>false</ScaleCrop>
  <HeadingPairs>
    <vt:vector size="2" baseType="variant">
      <vt:variant>
        <vt:lpstr>Title</vt:lpstr>
      </vt:variant>
      <vt:variant>
        <vt:i4>1</vt:i4>
      </vt:variant>
    </vt:vector>
  </HeadingPairs>
  <TitlesOfParts>
    <vt:vector size="1" baseType="lpstr">
      <vt:lpstr>_</vt:lpstr>
    </vt:vector>
  </TitlesOfParts>
  <LinksUpToDate>false</LinksUpToDate>
  <CharactersWithSpaces>42210</CharactersWithSpaces>
  <SharedDoc>false</SharedDoc>
  <HyperlinkBase>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_</dc:title>
  <dc:creator/>
  <cp:lastModifiedBy/>
  <cp:revision>1</cp:revision>
  <cp:lastPrinted>2013-02-25T21:04:00Z</cp:lastPrinted>
  <dcterms:created xsi:type="dcterms:W3CDTF">2013-02-27T16:17:00Z</dcterms:created>
  <dcterms:modified xsi:type="dcterms:W3CDTF">2013-02-27T16:17:00Z</dcterms:modified>
</cp:coreProperties>
</file>