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Component Inventory &amp; Storybook Implementation Specification</w:t>
      </w:r>
    </w:p>
    <w:p>
      <w:pPr>
        <w:pStyle w:val="Subtitle"/>
      </w:pPr>
      <w:r>
        <w:t xml:space="preserve">Version 0.1.1 — Approved Internal Specification Baseline (tag v0.1.1-spec)</w:t>
      </w:r>
    </w:p>
    <w:p>
      <w:pPr>
        <w:pStyle w:val="Date"/>
      </w:pPr>
      <w:r>
        <w:t xml:space="preserve">2026-10-08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p>
      <w:pPr>
        <w:pStyle w:val="FirstParagraph"/>
      </w:pPr>
      <w:r>
        <w:rPr>
          <w:b/>
          <w:bCs/>
        </w:rPr>
        <w:t xml:space="preserve">CS-AML</w:t>
      </w:r>
    </w:p>
    <w:p>
      <w:pPr>
        <w:pStyle w:val="BodyText"/>
      </w:pPr>
      <w:r>
        <w:rPr>
          <w:b/>
          <w:bCs/>
        </w:rPr>
        <w:t xml:space="preserve">Component Inventory &amp; Storybook</w:t>
      </w:r>
      <w:r>
        <w:br/>
      </w:r>
      <w:r>
        <w:rPr>
          <w:b/>
          <w:bCs/>
        </w:rPr>
        <w:t xml:space="preserve">Implementation Specification</w:t>
      </w:r>
    </w:p>
    <w:p>
      <w:pPr>
        <w:pStyle w:val="BodyText"/>
      </w:pPr>
      <w:r>
        <w:t xml:space="preserve">Version 0.1.1</w:t>
      </w:r>
    </w:p>
    <w:p>
      <w:pPr>
        <w:pStyle w:val="BlockText"/>
      </w:pPr>
      <w:r>
        <w:rPr>
          <w:b/>
          <w:bCs/>
        </w:rPr>
        <w:t xml:space="preserve">Document status — v0.1.1</w:t>
      </w:r>
      <w:r>
        <w:br/>
      </w:r>
      <w:r>
        <w:t xml:space="preserve">Version: 0.1.1 — Approved Internal Specification Baseline (2026-10-08, tag v0.1.1-spec).</w:t>
      </w:r>
      <w:r>
        <w:t xml:space="preserve"> </w:t>
      </w:r>
      <w:r>
        <w:rPr>
          <w:i/>
          <w:iCs/>
        </w:rPr>
        <w:t xml:space="preserve">[v0.1.1 · A01]</w:t>
      </w:r>
      <w:r>
        <w:br/>
      </w:r>
      <w:r>
        <w:t xml:space="preserve">Supersedes: CS-AML Component Inventory &amp; Storybook Implementation Specification v0.1. The DOCX/PDF files in this repository are the unchanged v0.1 baseline (legacy); this Markdown file is the canonical source.</w:t>
      </w:r>
      <w:r>
        <w:br/>
      </w:r>
      <w:r>
        <w:t xml:space="preserve">Validation: approved by the product owner as the internal specification baseline on 2026-10-08 (decision register and release gates in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). No implementation test result or independent audit exists yet. Acceptance criteria in this document are targets, not evidence that tests have passed.</w:t>
      </w:r>
      <w:r>
        <w:br/>
      </w:r>
      <w:r>
        <w:t xml:space="preserve">CS-AML is not an external standard or certification. References to FATF, Wolfsberg, PPATK, UNODC or other bodies do not imply their endorsement.</w:t>
      </w:r>
      <w:r>
        <w:br/>
      </w:r>
      <w:r>
        <w:t xml:space="preserve">Changes in 0.1.1: see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t xml:space="preserve">at the repository root (audit findings A01–A16).</w:t>
      </w:r>
    </w:p>
    <w:p>
      <w:pPr>
        <w:pStyle w:val="BlockText"/>
      </w:pPr>
      <w:r>
        <w:rPr>
          <w:b/>
          <w:bCs/>
        </w:rPr>
        <w:t xml:space="preserve">Implementation axiom</w:t>
      </w:r>
      <w:r>
        <w:br/>
      </w:r>
      <w:r>
        <w:t xml:space="preserve">A UI component SHALL encode reusable visual and interaction semantics, not feature-specific assumptions. Storybook SHALL make those semantics inspectable, testable, accessible, and regression-safe before components are composed into production screens.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44"/>
        <w:gridCol w:w="6975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Field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Document ID</w:t>
            </w:r>
          </w:p>
        </w:tc>
        <w:tc>
          <w:tcPr/>
          <w:p>
            <w:pPr>
              <w:pStyle w:val="TableText"/>
            </w:pPr>
            <w:r>
              <w:t xml:space="preserve">CSAML-CISB-0.1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Version</w:t>
            </w:r>
          </w:p>
        </w:tc>
        <w:tc>
          <w:tcPr/>
          <w:p>
            <w:pPr>
              <w:pStyle w:val="TableText"/>
            </w:pPr>
            <w:r>
              <w:t xml:space="preserve">0.1.1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Status</w:t>
            </w:r>
          </w:p>
        </w:tc>
        <w:tc>
          <w:tcPr/>
          <w:p>
            <w:pPr>
              <w:pStyle w:val="TableText"/>
            </w:pPr>
            <w:r>
              <w:t xml:space="preserve">Approved Internal Specification Baseline (2026-10-08, tag v0.1.1-spec) — frontend implementation baseline for MVP 0.1</w:t>
            </w:r>
            <w:r>
              <w:t xml:space="preserve"> </w:t>
            </w:r>
            <w:r>
              <w:rPr>
                <w:i/>
                <w:iCs/>
              </w:rPr>
              <w:t xml:space="preserve">[v0.1.1 · A01]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owners</w:t>
            </w:r>
          </w:p>
        </w:tc>
        <w:tc>
          <w:tcPr/>
          <w:p>
            <w:pPr>
              <w:pStyle w:val="TableText"/>
            </w:pPr>
            <w:r>
              <w:t xml:space="preserve">Frontend Engineering / Design System Engineering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Inputs</w:t>
            </w:r>
          </w:p>
        </w:tc>
        <w:tc>
          <w:tcPr/>
          <w:p>
            <w:pPr>
              <w:pStyle w:val="TableText"/>
            </w:pPr>
            <w:r>
              <w:t xml:space="preserve">UX, IA, Screen Inventory, Wireframe, UI Design System, High-Fidelity UI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output</w:t>
            </w:r>
          </w:p>
        </w:tc>
        <w:tc>
          <w:tcPr/>
          <w:p>
            <w:pPr>
              <w:pStyle w:val="TableText"/>
            </w:pPr>
            <w:r>
              <w:t xml:space="preserve">Reusable component library + Storybook contract + testable component documentation</w:t>
            </w:r>
          </w:p>
        </w:tc>
      </w:tr>
    </w:tbl>
    <w:bookmarkStart w:id="9" w:name="X4666c8db187a468bd7c4d1efd69e1ca31a62544"/>
    <w:p>
      <w:pPr>
        <w:pStyle w:val="Heading1"/>
      </w:pPr>
      <w:r>
        <w:t xml:space="preserve">1. Purpose and Scope</w:t>
      </w:r>
    </w:p>
    <w:p>
      <w:pPr>
        <w:pStyle w:val="FirstParagraph"/>
      </w:pPr>
      <w:r>
        <w:t xml:space="preserve">This specification defines the reusable CS-AML frontend component inventory and the Storybook implementation contract for MVP 0.1. It is the implementation bridge between the UI specifications (draft for review) and production React code.</w:t>
      </w:r>
      <w:r>
        <w:t xml:space="preserve"> </w:t>
      </w:r>
      <w:r>
        <w:rPr>
          <w:i/>
          <w:iCs/>
        </w:rPr>
        <w:t xml:space="preserve">[v0.1.1 · A01]</w:t>
      </w:r>
      <w:r>
        <w:t xml:space="preserve"> </w:t>
      </w:r>
      <w:r>
        <w:t xml:space="preserve">It defines component boundaries, ownership, variants, accessibility expectations, stories, testing, visual regression, documentation, and release criteria.</w:t>
      </w:r>
    </w:p>
    <w:p>
      <w:pPr>
        <w:pStyle w:val="BlockText"/>
      </w:pPr>
      <w:r>
        <w:rPr>
          <w:b/>
          <w:bCs/>
        </w:rPr>
        <w:t xml:space="preserve">Boundary</w:t>
      </w:r>
      <w:r>
        <w:br/>
      </w:r>
      <w:r>
        <w:t xml:space="preserve">This document does not redefine screen navigation, workflow, wireframe composition, or visual semantics. Those remain governed by IA, UX, Wireframe, UI Design System, and High-Fidelity UI specifications. This document converts those decisions into reusable frontend implementation units.</w:t>
      </w:r>
    </w:p>
    <w:bookmarkEnd w:id="9"/>
    <w:bookmarkStart w:id="10" w:name="Xf28927577efa5d73038e0365e3b2f0c54cabaaa"/>
    <w:p>
      <w:pPr>
        <w:pStyle w:val="Heading1"/>
      </w:pPr>
      <w:r>
        <w:t xml:space="preserve">2. Objectives</w:t>
      </w:r>
    </w:p>
    <w:p>
      <w:pPr>
        <w:numPr>
          <w:ilvl w:val="0"/>
          <w:numId w:val="1001"/>
        </w:numPr>
      </w:pPr>
      <w:r>
        <w:t xml:space="preserve">Prevent feature teams from recreating near-duplicate controls and analytical visuals.</w:t>
      </w:r>
    </w:p>
    <w:p>
      <w:pPr>
        <w:numPr>
          <w:ilvl w:val="0"/>
          <w:numId w:val="1001"/>
        </w:numPr>
      </w:pPr>
      <w:r>
        <w:t xml:space="preserve">Make uncertainty, provenance, review state, permission state, and value-flow epistemics reusable rather than screen-specific.</w:t>
      </w:r>
    </w:p>
    <w:p>
      <w:pPr>
        <w:numPr>
          <w:ilvl w:val="0"/>
          <w:numId w:val="1001"/>
        </w:numPr>
      </w:pPr>
      <w:r>
        <w:t xml:space="preserve">Provide a single inspectable catalogue for designers, frontend engineers, QA, accessibility review, and product review.</w:t>
      </w:r>
    </w:p>
    <w:p>
      <w:pPr>
        <w:numPr>
          <w:ilvl w:val="0"/>
          <w:numId w:val="1001"/>
        </w:numPr>
      </w:pPr>
      <w:r>
        <w:t xml:space="preserve">Support isolated accessibility and interaction testing before components are integrated into full screens.</w:t>
      </w:r>
    </w:p>
    <w:p>
      <w:pPr>
        <w:numPr>
          <w:ilvl w:val="0"/>
          <w:numId w:val="1001"/>
        </w:numPr>
      </w:pPr>
      <w:r>
        <w:t xml:space="preserve">Enable visual regression detection for design-system changes.</w:t>
      </w:r>
    </w:p>
    <w:p>
      <w:pPr>
        <w:numPr>
          <w:ilvl w:val="0"/>
          <w:numId w:val="1001"/>
        </w:numPr>
      </w:pPr>
      <w:r>
        <w:t xml:space="preserve">Maintain screen-to-component traceability for critical MVP screens.</w:t>
      </w:r>
    </w:p>
    <w:bookmarkEnd w:id="10"/>
    <w:bookmarkStart w:id="11" w:name="X1009ead944c5cd3cc49233bdc6c9f7afa27b0b6"/>
    <w:p>
      <w:pPr>
        <w:pStyle w:val="Heading1"/>
      </w:pPr>
      <w:r>
        <w:t xml:space="preserve">3. Component Architecture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78"/>
        <w:gridCol w:w="2437"/>
        <w:gridCol w:w="4403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Layer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Dependency rule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Foundation</w:t>
            </w:r>
          </w:p>
        </w:tc>
        <w:tc>
          <w:tcPr/>
          <w:p>
            <w:pPr>
              <w:pStyle w:val="TableText"/>
            </w:pPr>
            <w:r>
              <w:t xml:space="preserve">Tokens, typography, surfaces, icon wrapper, layout primitives</w:t>
            </w:r>
          </w:p>
        </w:tc>
        <w:tc>
          <w:tcPr/>
          <w:p>
            <w:pPr>
              <w:pStyle w:val="TableText"/>
            </w:pPr>
            <w:r>
              <w:t xml:space="preserve">May depend only on framework/runtime and token definitions.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General UI</w:t>
            </w:r>
          </w:p>
        </w:tc>
        <w:tc>
          <w:tcPr/>
          <w:p>
            <w:pPr>
              <w:pStyle w:val="TableText"/>
            </w:pPr>
            <w:r>
              <w:t xml:space="preserve">Reusable controls and generic states</w:t>
            </w:r>
          </w:p>
        </w:tc>
        <w:tc>
          <w:tcPr/>
          <w:p>
            <w:pPr>
              <w:pStyle w:val="TableText"/>
            </w:pPr>
            <w:r>
              <w:t xml:space="preserve">May depend on Foundation; SHALL NOT import domain feature modules.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Analytical / Domain</w:t>
            </w:r>
          </w:p>
        </w:tc>
        <w:tc>
          <w:tcPr/>
          <w:p>
            <w:pPr>
              <w:pStyle w:val="TableText"/>
            </w:pPr>
            <w:r>
              <w:t xml:space="preserve">CS-AML semantic components</w:t>
            </w:r>
          </w:p>
        </w:tc>
        <w:tc>
          <w:tcPr/>
          <w:p>
            <w:pPr>
              <w:pStyle w:val="TableText"/>
            </w:pPr>
            <w:r>
              <w:t xml:space="preserve">May depend on Foundation + General UI; SHALL expose analytical semantics explicitly.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Compound Patterns</w:t>
            </w:r>
          </w:p>
        </w:tc>
        <w:tc>
          <w:tcPr/>
          <w:p>
            <w:pPr>
              <w:pStyle w:val="TableText"/>
            </w:pPr>
            <w:r>
              <w:t xml:space="preserve">Reusable page/workspace compositions</w:t>
            </w:r>
          </w:p>
        </w:tc>
        <w:tc>
          <w:tcPr/>
          <w:p>
            <w:pPr>
              <w:pStyle w:val="TableText"/>
            </w:pPr>
            <w:r>
              <w:t xml:space="preserve">May depend on all shared components; SHALL remain feature-agnostic enough to support multiple screens.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Feature Screens</w:t>
            </w:r>
          </w:p>
        </w:tc>
        <w:tc>
          <w:tcPr/>
          <w:p>
            <w:pPr>
              <w:pStyle w:val="TableText"/>
            </w:pPr>
            <w:r>
              <w:t xml:space="preserve">Route-specific composition and data binding</w:t>
            </w:r>
          </w:p>
        </w:tc>
        <w:tc>
          <w:tcPr/>
          <w:p>
            <w:pPr>
              <w:pStyle w:val="TableText"/>
            </w:pPr>
            <w:r>
              <w:t xml:space="preserve">Consumes shared components; new local primitives require design-system review.</w:t>
            </w:r>
          </w:p>
        </w:tc>
      </w:tr>
    </w:tbl>
    <w:p>
      <w:pPr>
        <w:pStyle w:val="BodyText"/>
      </w:pPr>
      <w:r>
        <w:rPr>
          <w:b/>
          <w:bCs/>
        </w:rPr>
        <w:t xml:space="preserve">CISB-001 —</w:t>
      </w:r>
      <w:r>
        <w:t xml:space="preserve"> </w:t>
      </w:r>
      <w:r>
        <w:t xml:space="preserve">Feature modules SHALL consume shared design-system components before introducing local equivalents.</w:t>
      </w:r>
    </w:p>
    <w:p>
      <w:pPr>
        <w:pStyle w:val="BodyText"/>
      </w:pPr>
      <w:r>
        <w:rPr>
          <w:b/>
          <w:bCs/>
        </w:rPr>
        <w:t xml:space="preserve">CISB-002 —</w:t>
      </w:r>
      <w:r>
        <w:t xml:space="preserve"> </w:t>
      </w:r>
      <w:r>
        <w:t xml:space="preserve">A shared component SHALL NOT encode business-specific API calls or permission decisions internally unless the component is explicitly an authorization-aware system component.</w:t>
      </w:r>
    </w:p>
    <w:p>
      <w:pPr>
        <w:pStyle w:val="BodyText"/>
      </w:pPr>
      <w:r>
        <w:rPr>
          <w:b/>
          <w:bCs/>
        </w:rPr>
        <w:t xml:space="preserve">CISB-003 —</w:t>
      </w:r>
      <w:r>
        <w:t xml:space="preserve"> </w:t>
      </w:r>
      <w:r>
        <w:t xml:space="preserve">Analytical semantics such as Fact, Inference, Confidence, DIRECT, or RECONSTRUCTED SHALL be represented through typed component variants rather than arbitrary CSS classes.</w:t>
      </w:r>
    </w:p>
    <w:bookmarkEnd w:id="11"/>
    <w:bookmarkStart w:id="12" w:name="X906bd465467c95140372651f99dbdd6210b1218"/>
    <w:p>
      <w:pPr>
        <w:pStyle w:val="Heading1"/>
      </w:pPr>
      <w:r>
        <w:t xml:space="preserve">4. Naming and Package Conventions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84"/>
        <w:gridCol w:w="6935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Concern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Convention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Component IDs</w:t>
            </w:r>
          </w:p>
        </w:tc>
        <w:tc>
          <w:tcPr/>
          <w:p>
            <w:pPr>
              <w:pStyle w:val="TableText"/>
            </w:pPr>
            <w:r>
              <w:t xml:space="preserve">Stable inventory IDs: FND-###, GEN-###, ANA-###, CMP-###.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React names</w:t>
            </w:r>
          </w:p>
        </w:tc>
        <w:tc>
          <w:tcPr/>
          <w:p>
            <w:pPr>
              <w:pStyle w:val="TableText"/>
            </w:pPr>
            <w:r>
              <w:t xml:space="preserve">PascalCase and semantic: EvidenceCitation, FlowClassBadge, ReviewDecisionPanel.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Files</w:t>
            </w:r>
          </w:p>
        </w:tc>
        <w:tc>
          <w:tcPr/>
          <w:p>
            <w:pPr>
              <w:pStyle w:val="TableText"/>
            </w:pPr>
            <w:r>
              <w:t xml:space="preserve">ComponentName.tsx, ComponentName.stories.tsx, ComponentName.test.tsx, ComponentName.types.ts.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Exports</w:t>
            </w:r>
          </w:p>
        </w:tc>
        <w:tc>
          <w:tcPr/>
          <w:p>
            <w:pPr>
              <w:pStyle w:val="TableText"/>
            </w:pPr>
            <w:r>
              <w:t xml:space="preserve">Public exports through package barrel; internal helpers remain private.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Variants</w:t>
            </w:r>
          </w:p>
        </w:tc>
        <w:tc>
          <w:tcPr/>
          <w:p>
            <w:pPr>
              <w:pStyle w:val="TableText"/>
            </w:pPr>
            <w:r>
              <w:t xml:space="preserve">Typed unions/enums; avoid free-form string variant names.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Styling</w:t>
            </w:r>
          </w:p>
        </w:tc>
        <w:tc>
          <w:tcPr/>
          <w:p>
            <w:pPr>
              <w:pStyle w:val="TableText"/>
            </w:pPr>
            <w:r>
              <w:t xml:space="preserve">Semantic tokens/CSS variables + shared Tailwind mappings; no feature-specific raw hex where semantic token exists.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Events</w:t>
            </w:r>
          </w:p>
        </w:tc>
        <w:tc>
          <w:tcPr/>
          <w:p>
            <w:pPr>
              <w:pStyle w:val="TableText"/>
            </w:pPr>
            <w:r>
              <w:t xml:space="preserve">Intent-oriented names: onApprove, onResolve, onOpenEvidence; not onButtonClick.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Data</w:t>
            </w:r>
          </w:p>
        </w:tc>
        <w:tc>
          <w:tcPr/>
          <w:p>
            <w:pPr>
              <w:pStyle w:val="TableText"/>
            </w:pPr>
            <w:r>
              <w:t xml:space="preserve">Presentational components receive explicit view models; canonical API response shape SHOULD NOT leak directly into low-level components.</w:t>
            </w:r>
          </w:p>
        </w:tc>
      </w:tr>
    </w:tbl>
    <w:bookmarkEnd w:id="12"/>
    <w:bookmarkStart w:id="17" w:name="Xd9eebed965e4c4d555c90a3d95acc28321411f7"/>
    <w:p>
      <w:pPr>
        <w:pStyle w:val="Heading1"/>
      </w:pPr>
      <w:r>
        <w:t xml:space="preserve">5. Component Inventory</w:t>
      </w:r>
    </w:p>
    <w:p>
      <w:pPr>
        <w:pStyle w:val="FirstParagraph"/>
      </w:pPr>
      <w:r>
        <w:t xml:space="preserve">The MVP baseline contains 65 shared components across foundation, general, analytical/domain, and compound pattern layers.</w:t>
      </w:r>
    </w:p>
    <w:p>
      <w:pPr>
        <w:pStyle w:val="BlockText"/>
      </w:pPr>
      <w:r>
        <w:t xml:space="preserve">The 65 component IDs below are implementation requirements. They are not evidence that any component has been built, and no Storybook, interaction-test, axe or visual-regression results exist for CS-AML at this baseline.</w:t>
      </w:r>
      <w:r>
        <w:t xml:space="preserve"> </w:t>
      </w:r>
      <w:r>
        <w:rPr>
          <w:i/>
          <w:iCs/>
        </w:rPr>
        <w:t xml:space="preserve">[v0.1.1 · A01; N07]</w:t>
      </w:r>
    </w:p>
    <w:bookmarkStart w:id="13" w:name="foundation-components"/>
    <w:p>
      <w:pPr>
        <w:pStyle w:val="Heading2"/>
      </w:pPr>
      <w:r>
        <w:t xml:space="preserve">Foundation components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85"/>
        <w:gridCol w:w="1434"/>
        <w:gridCol w:w="783"/>
        <w:gridCol w:w="3106"/>
        <w:gridCol w:w="742"/>
        <w:gridCol w:w="1168"/>
      </w:tblGrid>
      <w:tr>
        <w:trPr>
          <w:tblHeader w:val="on"/>
        </w:trPr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Component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Primary usage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Semantic owner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FND-001</w:t>
            </w:r>
          </w:p>
        </w:tc>
        <w:tc>
          <w:tcPr/>
          <w:p>
            <w:pPr>
              <w:pStyle w:val="TableTextSmall"/>
            </w:pPr>
            <w:r>
              <w:t xml:space="preserve">Semantic Token Provider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CSS variable/theme provider</w:t>
            </w:r>
          </w:p>
        </w:tc>
        <w:tc>
          <w:tcPr/>
          <w:p>
            <w:pPr>
              <w:pStyle w:val="TableTextSmall"/>
            </w:pPr>
            <w:r>
              <w:t xml:space="preserve">All</w:t>
            </w:r>
          </w:p>
        </w:tc>
        <w:tc>
          <w:tcPr/>
          <w:p>
            <w:pPr>
              <w:pStyle w:val="TableTextSmall"/>
            </w:pPr>
            <w:r>
              <w:t xml:space="preserve">DS tokens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FND-002</w:t>
            </w:r>
          </w:p>
        </w:tc>
        <w:tc>
          <w:tcPr/>
          <w:p>
            <w:pPr>
              <w:pStyle w:val="TableTextSmall"/>
            </w:pPr>
            <w:r>
              <w:t xml:space="preserve">Icon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Accessible icon wrapper</w:t>
            </w:r>
          </w:p>
        </w:tc>
        <w:tc>
          <w:tcPr/>
          <w:p>
            <w:pPr>
              <w:pStyle w:val="TableTextSmall"/>
            </w:pPr>
            <w:r>
              <w:t xml:space="preserve">All</w:t>
            </w:r>
          </w:p>
        </w:tc>
        <w:tc>
          <w:tcPr/>
          <w:p>
            <w:pPr>
              <w:pStyle w:val="TableTextSmall"/>
            </w:pPr>
            <w:r>
              <w:t xml:space="preserve">iconography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FND-003</w:t>
            </w:r>
          </w:p>
        </w:tc>
        <w:tc>
          <w:tcPr/>
          <w:p>
            <w:pPr>
              <w:pStyle w:val="TableTextSmall"/>
            </w:pPr>
            <w:r>
              <w:t xml:space="preserve">Text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Typography primitive with semantic variants</w:t>
            </w:r>
          </w:p>
        </w:tc>
        <w:tc>
          <w:tcPr/>
          <w:p>
            <w:pPr>
              <w:pStyle w:val="TableTextSmall"/>
            </w:pPr>
            <w:r>
              <w:t xml:space="preserve">All</w:t>
            </w:r>
          </w:p>
        </w:tc>
        <w:tc>
          <w:tcPr/>
          <w:p>
            <w:pPr>
              <w:pStyle w:val="TableTextSmall"/>
            </w:pPr>
            <w:r>
              <w:t xml:space="preserve">typography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FND-004</w:t>
            </w:r>
          </w:p>
        </w:tc>
        <w:tc>
          <w:tcPr/>
          <w:p>
            <w:pPr>
              <w:pStyle w:val="TableTextSmall"/>
            </w:pPr>
            <w:r>
              <w:t xml:space="preserve">Stack / Inline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Spacing/layout primitives</w:t>
            </w:r>
          </w:p>
        </w:tc>
        <w:tc>
          <w:tcPr/>
          <w:p>
            <w:pPr>
              <w:pStyle w:val="TableTextSmall"/>
            </w:pPr>
            <w:r>
              <w:t xml:space="preserve">All</w:t>
            </w:r>
          </w:p>
        </w:tc>
        <w:tc>
          <w:tcPr/>
          <w:p>
            <w:pPr>
              <w:pStyle w:val="TableTextSmall"/>
            </w:pPr>
            <w:r>
              <w:t xml:space="preserve">spacing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FND-005</w:t>
            </w:r>
          </w:p>
        </w:tc>
        <w:tc>
          <w:tcPr/>
          <w:p>
            <w:pPr>
              <w:pStyle w:val="TableTextSmall"/>
            </w:pPr>
            <w:r>
              <w:t xml:space="preserve">Surface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Canvas/panel/elevated surface</w:t>
            </w:r>
          </w:p>
        </w:tc>
        <w:tc>
          <w:tcPr/>
          <w:p>
            <w:pPr>
              <w:pStyle w:val="TableTextSmall"/>
            </w:pPr>
            <w:r>
              <w:t xml:space="preserve">All</w:t>
            </w:r>
          </w:p>
        </w:tc>
        <w:tc>
          <w:tcPr/>
          <w:p>
            <w:pPr>
              <w:pStyle w:val="TableTextSmall"/>
            </w:pPr>
            <w:r>
              <w:t xml:space="preserve">surface tokens</w:t>
            </w:r>
          </w:p>
        </w:tc>
      </w:tr>
    </w:tbl>
    <w:bookmarkEnd w:id="13"/>
    <w:bookmarkStart w:id="14" w:name="general-components"/>
    <w:p>
      <w:pPr>
        <w:pStyle w:val="Heading2"/>
      </w:pPr>
      <w:r>
        <w:t xml:space="preserve">General components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3"/>
        <w:gridCol w:w="1674"/>
        <w:gridCol w:w="717"/>
        <w:gridCol w:w="3083"/>
        <w:gridCol w:w="864"/>
        <w:gridCol w:w="937"/>
      </w:tblGrid>
      <w:tr>
        <w:trPr>
          <w:tblHeader w:val="on"/>
        </w:trPr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Component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Primary usage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Semantic owner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GEN-001</w:t>
            </w:r>
          </w:p>
        </w:tc>
        <w:tc>
          <w:tcPr/>
          <w:p>
            <w:pPr>
              <w:pStyle w:val="TableTextSmall"/>
            </w:pPr>
            <w:r>
              <w:t xml:space="preserve">Button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Primary/secondary/quiet/destructive actions</w:t>
            </w:r>
          </w:p>
        </w:tc>
        <w:tc>
          <w:tcPr/>
          <w:p>
            <w:pPr>
              <w:pStyle w:val="TableTextSmall"/>
            </w:pPr>
            <w:r>
              <w:t xml:space="preserve">All</w:t>
            </w:r>
          </w:p>
        </w:tc>
        <w:tc>
          <w:tcPr/>
          <w:p>
            <w:pPr>
              <w:pStyle w:val="TableTextSmall"/>
            </w:pPr>
            <w:r>
              <w:t xml:space="preserve">action semantics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GEN-002</w:t>
            </w:r>
          </w:p>
        </w:tc>
        <w:tc>
          <w:tcPr/>
          <w:p>
            <w:pPr>
              <w:pStyle w:val="TableTextSmall"/>
            </w:pPr>
            <w:r>
              <w:t xml:space="preserve">IconButton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Compact labelled action</w:t>
            </w:r>
          </w:p>
        </w:tc>
        <w:tc>
          <w:tcPr/>
          <w:p>
            <w:pPr>
              <w:pStyle w:val="TableTextSmall"/>
            </w:pPr>
            <w:r>
              <w:t xml:space="preserve">All</w:t>
            </w:r>
          </w:p>
        </w:tc>
        <w:tc>
          <w:tcPr/>
          <w:p>
            <w:pPr>
              <w:pStyle w:val="TableTextSmall"/>
            </w:pPr>
            <w:r>
              <w:t xml:space="preserve">action semantics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GEN-003</w:t>
            </w:r>
          </w:p>
        </w:tc>
        <w:tc>
          <w:tcPr/>
          <w:p>
            <w:pPr>
              <w:pStyle w:val="TableTextSmall"/>
            </w:pPr>
            <w:r>
              <w:t xml:space="preserve">Link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Internal/external navigation link</w:t>
            </w:r>
          </w:p>
        </w:tc>
        <w:tc>
          <w:tcPr/>
          <w:p>
            <w:pPr>
              <w:pStyle w:val="TableTextSmall"/>
            </w:pPr>
            <w:r>
              <w:t xml:space="preserve">All</w:t>
            </w:r>
          </w:p>
        </w:tc>
        <w:tc>
          <w:tcPr/>
          <w:p>
            <w:pPr>
              <w:pStyle w:val="TableTextSmall"/>
            </w:pPr>
            <w:r>
              <w:t xml:space="preserve">navigation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GEN-004</w:t>
            </w:r>
          </w:p>
        </w:tc>
        <w:tc>
          <w:tcPr/>
          <w:p>
            <w:pPr>
              <w:pStyle w:val="TableTextSmall"/>
            </w:pPr>
            <w:r>
              <w:t xml:space="preserve">TextInput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Single-line text field</w:t>
            </w:r>
          </w:p>
        </w:tc>
        <w:tc>
          <w:tcPr/>
          <w:p>
            <w:pPr>
              <w:pStyle w:val="TableTextSmall"/>
            </w:pPr>
            <w:r>
              <w:t xml:space="preserve">Forms</w:t>
            </w:r>
          </w:p>
        </w:tc>
        <w:tc>
          <w:tcPr/>
          <w:p>
            <w:pPr>
              <w:pStyle w:val="TableTextSmall"/>
            </w:pPr>
            <w:r>
              <w:t xml:space="preserve">form controls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GEN-005</w:t>
            </w:r>
          </w:p>
        </w:tc>
        <w:tc>
          <w:tcPr/>
          <w:p>
            <w:pPr>
              <w:pStyle w:val="TableTextSmall"/>
            </w:pPr>
            <w:r>
              <w:t xml:space="preserve">TextArea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Long-form input.</w:t>
            </w:r>
            <w:r>
              <w:t xml:space="preserve"> </w:t>
            </w:r>
            <w:r>
              <w:rPr>
                <w:rStyle w:val="VerbatimChar"/>
              </w:rPr>
              <w:t xml:space="preserve">rationale</w:t>
            </w:r>
            <w:r>
              <w:t xml:space="preserve"> </w:t>
            </w:r>
            <w:r>
              <w:t xml:space="preserve">variant (required, with guidance text) used for decision rationale on verification, resolution and review decisions (HiFi "RationaleField")</w:t>
            </w:r>
            <w:r>
              <w:t xml:space="preserve"> </w:t>
            </w:r>
            <w:r>
              <w:rPr>
                <w:i/>
                <w:iCs/>
              </w:rPr>
              <w:t xml:space="preserve">[v0.1.1 · C17]</w:t>
            </w:r>
          </w:p>
        </w:tc>
        <w:tc>
          <w:tcPr/>
          <w:p>
            <w:pPr>
              <w:pStyle w:val="TableTextSmall"/>
            </w:pPr>
            <w:r>
              <w:t xml:space="preserve">Editors</w:t>
            </w:r>
          </w:p>
        </w:tc>
        <w:tc>
          <w:tcPr/>
          <w:p>
            <w:pPr>
              <w:pStyle w:val="TableTextSmall"/>
            </w:pPr>
            <w:r>
              <w:t xml:space="preserve">form controls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GEN-006</w:t>
            </w:r>
          </w:p>
        </w:tc>
        <w:tc>
          <w:tcPr/>
          <w:p>
            <w:pPr>
              <w:pStyle w:val="TableTextSmall"/>
            </w:pPr>
            <w:r>
              <w:t xml:space="preserve">Select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Controlled vocabulary selection</w:t>
            </w:r>
          </w:p>
        </w:tc>
        <w:tc>
          <w:tcPr/>
          <w:p>
            <w:pPr>
              <w:pStyle w:val="TableTextSmall"/>
            </w:pPr>
            <w:r>
              <w:t xml:space="preserve">Forms</w:t>
            </w:r>
          </w:p>
        </w:tc>
        <w:tc>
          <w:tcPr/>
          <w:p>
            <w:pPr>
              <w:pStyle w:val="TableTextSmall"/>
            </w:pPr>
            <w:r>
              <w:t xml:space="preserve">form controls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GEN-007</w:t>
            </w:r>
          </w:p>
        </w:tc>
        <w:tc>
          <w:tcPr/>
          <w:p>
            <w:pPr>
              <w:pStyle w:val="TableTextSmall"/>
            </w:pPr>
            <w:r>
              <w:t xml:space="preserve">Combobox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Search/select canonical object or term</w:t>
            </w:r>
          </w:p>
        </w:tc>
        <w:tc>
          <w:tcPr/>
          <w:p>
            <w:pPr>
              <w:pStyle w:val="TableTextSmall"/>
            </w:pPr>
            <w:r>
              <w:t xml:space="preserve">Forms</w:t>
            </w:r>
          </w:p>
        </w:tc>
        <w:tc>
          <w:tcPr/>
          <w:p>
            <w:pPr>
              <w:pStyle w:val="TableTextSmall"/>
            </w:pPr>
            <w:r>
              <w:t xml:space="preserve">findability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GEN-008</w:t>
            </w:r>
          </w:p>
        </w:tc>
        <w:tc>
          <w:tcPr/>
          <w:p>
            <w:pPr>
              <w:pStyle w:val="TableTextSmall"/>
            </w:pPr>
            <w:r>
              <w:t xml:space="preserve">Checkbox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Independent binary selection</w:t>
            </w:r>
          </w:p>
        </w:tc>
        <w:tc>
          <w:tcPr/>
          <w:p>
            <w:pPr>
              <w:pStyle w:val="TableTextSmall"/>
            </w:pPr>
            <w:r>
              <w:t xml:space="preserve">Forms</w:t>
            </w:r>
          </w:p>
        </w:tc>
        <w:tc>
          <w:tcPr/>
          <w:p>
            <w:pPr>
              <w:pStyle w:val="TableTextSmall"/>
            </w:pPr>
            <w:r>
              <w:t xml:space="preserve">form controls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GEN-009</w:t>
            </w:r>
          </w:p>
        </w:tc>
        <w:tc>
          <w:tcPr/>
          <w:p>
            <w:pPr>
              <w:pStyle w:val="TableTextSmall"/>
            </w:pPr>
            <w:r>
              <w:t xml:space="preserve">RadioGroup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Mutually exclusive selection</w:t>
            </w:r>
          </w:p>
        </w:tc>
        <w:tc>
          <w:tcPr/>
          <w:p>
            <w:pPr>
              <w:pStyle w:val="TableTextSmall"/>
            </w:pPr>
            <w:r>
              <w:t xml:space="preserve">Forms</w:t>
            </w:r>
          </w:p>
        </w:tc>
        <w:tc>
          <w:tcPr/>
          <w:p>
            <w:pPr>
              <w:pStyle w:val="TableTextSmall"/>
            </w:pPr>
            <w:r>
              <w:t xml:space="preserve">form controls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GEN-010</w:t>
            </w:r>
          </w:p>
        </w:tc>
        <w:tc>
          <w:tcPr/>
          <w:p>
            <w:pPr>
              <w:pStyle w:val="TableTextSmall"/>
            </w:pPr>
            <w:r>
              <w:t xml:space="preserve">Switch</w:t>
            </w:r>
          </w:p>
        </w:tc>
        <w:tc>
          <w:tcPr/>
          <w:p>
            <w:pPr>
              <w:pStyle w:val="TableTextSmall"/>
            </w:pPr>
            <w:r>
              <w:t xml:space="preserve">P1</w:t>
            </w:r>
          </w:p>
        </w:tc>
        <w:tc>
          <w:tcPr/>
          <w:p>
            <w:pPr>
              <w:pStyle w:val="TableTextSmall"/>
            </w:pPr>
            <w:r>
              <w:t xml:space="preserve">Immediate reversible setting</w:t>
            </w:r>
          </w:p>
        </w:tc>
        <w:tc>
          <w:tcPr/>
          <w:p>
            <w:pPr>
              <w:pStyle w:val="TableTextSmall"/>
            </w:pPr>
            <w:r>
              <w:t xml:space="preserve">Admin</w:t>
            </w:r>
          </w:p>
        </w:tc>
        <w:tc>
          <w:tcPr/>
          <w:p>
            <w:pPr>
              <w:pStyle w:val="TableTextSmall"/>
            </w:pPr>
            <w:r>
              <w:t xml:space="preserve">form controls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GEN-011</w:t>
            </w:r>
          </w:p>
        </w:tc>
        <w:tc>
          <w:tcPr/>
          <w:p>
            <w:pPr>
              <w:pStyle w:val="TableTextSmall"/>
            </w:pPr>
            <w:r>
              <w:t xml:space="preserve">DatePrecisionField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Exact/month/year/range/unknown dates</w:t>
            </w:r>
          </w:p>
        </w:tc>
        <w:tc>
          <w:tcPr/>
          <w:p>
            <w:pPr>
              <w:pStyle w:val="TableTextSmall"/>
            </w:pPr>
            <w:r>
              <w:t xml:space="preserve">Timeline</w:t>
            </w:r>
          </w:p>
        </w:tc>
        <w:tc>
          <w:tcPr/>
          <w:p>
            <w:pPr>
              <w:pStyle w:val="TableTextSmall"/>
            </w:pPr>
            <w:r>
              <w:t xml:space="preserve">temporal semantics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GEN-012</w:t>
            </w:r>
          </w:p>
        </w:tc>
        <w:tc>
          <w:tcPr/>
          <w:p>
            <w:pPr>
              <w:pStyle w:val="TableTextSmall"/>
            </w:pPr>
            <w:r>
              <w:t xml:space="preserve">CurrencyValueField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Known/range/approximate/unknown values</w:t>
            </w:r>
          </w:p>
        </w:tc>
        <w:tc>
          <w:tcPr/>
          <w:p>
            <w:pPr>
              <w:pStyle w:val="TableTextSmall"/>
            </w:pPr>
            <w:r>
              <w:t xml:space="preserve">Value Flow</w:t>
            </w:r>
          </w:p>
        </w:tc>
        <w:tc>
          <w:tcPr/>
          <w:p>
            <w:pPr>
              <w:pStyle w:val="TableTextSmall"/>
            </w:pPr>
            <w:r>
              <w:t xml:space="preserve">value semantics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GEN-013</w:t>
            </w:r>
          </w:p>
        </w:tc>
        <w:tc>
          <w:tcPr/>
          <w:p>
            <w:pPr>
              <w:pStyle w:val="TableTextSmall"/>
            </w:pPr>
            <w:r>
              <w:t xml:space="preserve">Badge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Compact non-interactive semantic label</w:t>
            </w:r>
          </w:p>
        </w:tc>
        <w:tc>
          <w:tcPr/>
          <w:p>
            <w:pPr>
              <w:pStyle w:val="TableTextSmall"/>
            </w:pPr>
            <w:r>
              <w:t xml:space="preserve">All</w:t>
            </w:r>
          </w:p>
        </w:tc>
        <w:tc>
          <w:tcPr/>
          <w:p>
            <w:pPr>
              <w:pStyle w:val="TableTextSmall"/>
            </w:pPr>
            <w:r>
              <w:t xml:space="preserve">status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GEN-014</w:t>
            </w:r>
          </w:p>
        </w:tc>
        <w:tc>
          <w:tcPr/>
          <w:p>
            <w:pPr>
              <w:pStyle w:val="TableTextSmall"/>
            </w:pPr>
            <w:r>
              <w:t xml:space="preserve">Chip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Removable/filter/token item</w:t>
            </w:r>
          </w:p>
        </w:tc>
        <w:tc>
          <w:tcPr/>
          <w:p>
            <w:pPr>
              <w:pStyle w:val="TableTextSmall"/>
            </w:pPr>
            <w:r>
              <w:t xml:space="preserve">Search/filters</w:t>
            </w:r>
          </w:p>
        </w:tc>
        <w:tc>
          <w:tcPr/>
          <w:p>
            <w:pPr>
              <w:pStyle w:val="TableTextSmall"/>
            </w:pPr>
            <w:r>
              <w:t xml:space="preserve">filters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GEN-015</w:t>
            </w:r>
          </w:p>
        </w:tc>
        <w:tc>
          <w:tcPr/>
          <w:p>
            <w:pPr>
              <w:pStyle w:val="TableTextSmall"/>
            </w:pPr>
            <w:r>
              <w:t xml:space="preserve">Alert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Inline message with severity</w:t>
            </w:r>
          </w:p>
        </w:tc>
        <w:tc>
          <w:tcPr/>
          <w:p>
            <w:pPr>
              <w:pStyle w:val="TableTextSmall"/>
            </w:pPr>
            <w:r>
              <w:t xml:space="preserve">All</w:t>
            </w:r>
          </w:p>
        </w:tc>
        <w:tc>
          <w:tcPr/>
          <w:p>
            <w:pPr>
              <w:pStyle w:val="TableTextSmall"/>
            </w:pPr>
            <w:r>
              <w:t xml:space="preserve">feedback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GEN-016</w:t>
            </w:r>
          </w:p>
        </w:tc>
        <w:tc>
          <w:tcPr/>
          <w:p>
            <w:pPr>
              <w:pStyle w:val="TableTextSmall"/>
            </w:pPr>
            <w:r>
              <w:t xml:space="preserve">Toast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Transient action feedback</w:t>
            </w:r>
          </w:p>
        </w:tc>
        <w:tc>
          <w:tcPr/>
          <w:p>
            <w:pPr>
              <w:pStyle w:val="TableTextSmall"/>
            </w:pPr>
            <w:r>
              <w:t xml:space="preserve">All</w:t>
            </w:r>
          </w:p>
        </w:tc>
        <w:tc>
          <w:tcPr/>
          <w:p>
            <w:pPr>
              <w:pStyle w:val="TableTextSmall"/>
            </w:pPr>
            <w:r>
              <w:t xml:space="preserve">feedback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GEN-017</w:t>
            </w:r>
          </w:p>
        </w:tc>
        <w:tc>
          <w:tcPr/>
          <w:p>
            <w:pPr>
              <w:pStyle w:val="TableTextSmall"/>
            </w:pPr>
            <w:r>
              <w:t xml:space="preserve">Modal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Blocking confirmation/dialog</w:t>
            </w:r>
          </w:p>
        </w:tc>
        <w:tc>
          <w:tcPr/>
          <w:p>
            <w:pPr>
              <w:pStyle w:val="TableTextSmall"/>
            </w:pPr>
            <w:r>
              <w:t xml:space="preserve">All</w:t>
            </w:r>
          </w:p>
        </w:tc>
        <w:tc>
          <w:tcPr/>
          <w:p>
            <w:pPr>
              <w:pStyle w:val="TableTextSmall"/>
            </w:pPr>
            <w:r>
              <w:t xml:space="preserve">high-impact action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GEN-018</w:t>
            </w:r>
          </w:p>
        </w:tc>
        <w:tc>
          <w:tcPr/>
          <w:p>
            <w:pPr>
              <w:pStyle w:val="TableTextSmall"/>
            </w:pPr>
            <w:r>
              <w:t xml:space="preserve">Drawer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Context/inspector panel</w:t>
            </w:r>
          </w:p>
        </w:tc>
        <w:tc>
          <w:tcPr/>
          <w:p>
            <w:pPr>
              <w:pStyle w:val="TableTextSmall"/>
            </w:pPr>
            <w:r>
              <w:t xml:space="preserve">Analytical</w:t>
            </w:r>
          </w:p>
        </w:tc>
        <w:tc>
          <w:tcPr/>
          <w:p>
            <w:pPr>
              <w:pStyle w:val="TableTextSmall"/>
            </w:pPr>
            <w:r>
              <w:t xml:space="preserve">context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GEN-019</w:t>
            </w:r>
          </w:p>
        </w:tc>
        <w:tc>
          <w:tcPr/>
          <w:p>
            <w:pPr>
              <w:pStyle w:val="TableTextSmall"/>
            </w:pPr>
            <w:r>
              <w:t xml:space="preserve">Tabs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Local subnavigation</w:t>
            </w:r>
          </w:p>
        </w:tc>
        <w:tc>
          <w:tcPr/>
          <w:p>
            <w:pPr>
              <w:pStyle w:val="TableTextSmall"/>
            </w:pPr>
            <w:r>
              <w:t xml:space="preserve">Object pages</w:t>
            </w:r>
          </w:p>
        </w:tc>
        <w:tc>
          <w:tcPr/>
          <w:p>
            <w:pPr>
              <w:pStyle w:val="TableTextSmall"/>
            </w:pPr>
            <w:r>
              <w:t xml:space="preserve">local navigation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GEN-020</w:t>
            </w:r>
          </w:p>
        </w:tc>
        <w:tc>
          <w:tcPr/>
          <w:p>
            <w:pPr>
              <w:pStyle w:val="TableTextSmall"/>
            </w:pPr>
            <w:r>
              <w:t xml:space="preserve">Breadcrumbs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Context path/deep-link cue</w:t>
            </w:r>
          </w:p>
        </w:tc>
        <w:tc>
          <w:tcPr/>
          <w:p>
            <w:pPr>
              <w:pStyle w:val="TableTextSmall"/>
            </w:pPr>
            <w:r>
              <w:t xml:space="preserve">Object pages</w:t>
            </w:r>
          </w:p>
        </w:tc>
        <w:tc>
          <w:tcPr/>
          <w:p>
            <w:pPr>
              <w:pStyle w:val="TableTextSmall"/>
            </w:pPr>
            <w:r>
              <w:t xml:space="preserve">navigation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GEN-021</w:t>
            </w:r>
          </w:p>
        </w:tc>
        <w:tc>
          <w:tcPr/>
          <w:p>
            <w:pPr>
              <w:pStyle w:val="TableTextSmall"/>
            </w:pPr>
            <w:r>
              <w:t xml:space="preserve">DataTable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Sortable/faceted permission-aware table</w:t>
            </w:r>
          </w:p>
        </w:tc>
        <w:tc>
          <w:tcPr/>
          <w:p>
            <w:pPr>
              <w:pStyle w:val="TableTextSmall"/>
            </w:pPr>
            <w:r>
              <w:t xml:space="preserve">Registers</w:t>
            </w:r>
          </w:p>
        </w:tc>
        <w:tc>
          <w:tcPr/>
          <w:p>
            <w:pPr>
              <w:pStyle w:val="TableTextSmall"/>
            </w:pPr>
            <w:r>
              <w:t xml:space="preserve">data dense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GEN-022</w:t>
            </w:r>
          </w:p>
        </w:tc>
        <w:tc>
          <w:tcPr/>
          <w:p>
            <w:pPr>
              <w:pStyle w:val="TableTextSmall"/>
            </w:pPr>
            <w:r>
              <w:t xml:space="preserve">Pagination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Paged large result navigation</w:t>
            </w:r>
          </w:p>
        </w:tc>
        <w:tc>
          <w:tcPr/>
          <w:p>
            <w:pPr>
              <w:pStyle w:val="TableTextSmall"/>
            </w:pPr>
            <w:r>
              <w:t xml:space="preserve">Registers/Search</w:t>
            </w:r>
          </w:p>
        </w:tc>
        <w:tc>
          <w:tcPr/>
          <w:p>
            <w:pPr>
              <w:pStyle w:val="TableTextSmall"/>
            </w:pPr>
            <w:r>
              <w:t xml:space="preserve">navigation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GEN-023</w:t>
            </w:r>
          </w:p>
        </w:tc>
        <w:tc>
          <w:tcPr/>
          <w:p>
            <w:pPr>
              <w:pStyle w:val="TableTextSmall"/>
            </w:pPr>
            <w:r>
              <w:t xml:space="preserve">FilterBar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Filters/facets/query chips</w:t>
            </w:r>
          </w:p>
        </w:tc>
        <w:tc>
          <w:tcPr/>
          <w:p>
            <w:pPr>
              <w:pStyle w:val="TableTextSmall"/>
            </w:pPr>
            <w:r>
              <w:t xml:space="preserve">Registers/Search</w:t>
            </w:r>
          </w:p>
        </w:tc>
        <w:tc>
          <w:tcPr/>
          <w:p>
            <w:pPr>
              <w:pStyle w:val="TableTextSmall"/>
            </w:pPr>
            <w:r>
              <w:t xml:space="preserve">findability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GEN-024</w:t>
            </w:r>
          </w:p>
        </w:tc>
        <w:tc>
          <w:tcPr/>
          <w:p>
            <w:pPr>
              <w:pStyle w:val="TableTextSmall"/>
            </w:pPr>
            <w:r>
              <w:t xml:space="preserve">EmptyState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No-data/no-result guidance</w:t>
            </w:r>
          </w:p>
        </w:tc>
        <w:tc>
          <w:tcPr/>
          <w:p>
            <w:pPr>
              <w:pStyle w:val="TableTextSmall"/>
            </w:pPr>
            <w:r>
              <w:t xml:space="preserve">All</w:t>
            </w:r>
          </w:p>
        </w:tc>
        <w:tc>
          <w:tcPr/>
          <w:p>
            <w:pPr>
              <w:pStyle w:val="TableTextSmall"/>
            </w:pPr>
            <w:r>
              <w:t xml:space="preserve">states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GEN-025</w:t>
            </w:r>
          </w:p>
        </w:tc>
        <w:tc>
          <w:tcPr/>
          <w:p>
            <w:pPr>
              <w:pStyle w:val="TableTextSmall"/>
            </w:pPr>
            <w:r>
              <w:t xml:space="preserve">LoadingState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Skeleton/progress state</w:t>
            </w:r>
          </w:p>
        </w:tc>
        <w:tc>
          <w:tcPr/>
          <w:p>
            <w:pPr>
              <w:pStyle w:val="TableTextSmall"/>
            </w:pPr>
            <w:r>
              <w:t xml:space="preserve">All</w:t>
            </w:r>
          </w:p>
        </w:tc>
        <w:tc>
          <w:tcPr/>
          <w:p>
            <w:pPr>
              <w:pStyle w:val="TableTextSmall"/>
            </w:pPr>
            <w:r>
              <w:t xml:space="preserve">states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GEN-026</w:t>
            </w:r>
          </w:p>
        </w:tc>
        <w:tc>
          <w:tcPr/>
          <w:p>
            <w:pPr>
              <w:pStyle w:val="TableTextSmall"/>
            </w:pPr>
            <w:r>
              <w:t xml:space="preserve">AccessDeniedState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Non-disclosing permission denial</w:t>
            </w:r>
          </w:p>
        </w:tc>
        <w:tc>
          <w:tcPr/>
          <w:p>
            <w:pPr>
              <w:pStyle w:val="TableTextSmall"/>
            </w:pPr>
            <w:r>
              <w:t xml:space="preserve">System</w:t>
            </w:r>
          </w:p>
        </w:tc>
        <w:tc>
          <w:tcPr/>
          <w:p>
            <w:pPr>
              <w:pStyle w:val="TableTextSmall"/>
            </w:pPr>
            <w:r>
              <w:t xml:space="preserve">security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GEN-027</w:t>
            </w:r>
          </w:p>
        </w:tc>
        <w:tc>
          <w:tcPr/>
          <w:p>
            <w:pPr>
              <w:pStyle w:val="TableTextSmall"/>
            </w:pPr>
            <w:r>
              <w:t xml:space="preserve">IntegrityWarningState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Evidence integrity mismatch warning</w:t>
            </w:r>
          </w:p>
        </w:tc>
        <w:tc>
          <w:tcPr/>
          <w:p>
            <w:pPr>
              <w:pStyle w:val="TableTextSmall"/>
            </w:pPr>
            <w:r>
              <w:t xml:space="preserve">Evidence</w:t>
            </w:r>
          </w:p>
        </w:tc>
        <w:tc>
          <w:tcPr/>
          <w:p>
            <w:pPr>
              <w:pStyle w:val="TableTextSmall"/>
            </w:pPr>
            <w:r>
              <w:t xml:space="preserve">security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GEN-028</w:t>
            </w:r>
          </w:p>
        </w:tc>
        <w:tc>
          <w:tcPr/>
          <w:p>
            <w:pPr>
              <w:pStyle w:val="TableTextSmall"/>
            </w:pPr>
            <w:r>
              <w:t xml:space="preserve">ConflictState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Stale/concurrent edit conflict ("record changed"): shown when the API returns 412 PRECONDITION_FAILED (stale If-Match, or a stale</w:t>
            </w:r>
            <w:r>
              <w:t xml:space="preserve"> </w:t>
            </w:r>
            <w:r>
              <w:rPr>
                <w:rStyle w:val="VerbatimChar"/>
              </w:rPr>
              <w:t xml:space="preserve">expected_versions</w:t>
            </w:r>
            <w:r>
              <w:t xml:space="preserve"> </w:t>
            </w:r>
            <w:r>
              <w:t xml:space="preserve">entry on merge/unmerge/resolution decisions); a 409 STATE_CONFLICT is a workflow-state error, not this state. Multi-entity variant lists every entity in</w:t>
            </w:r>
            <w:r>
              <w:t xml:space="preserve"> </w:t>
            </w:r>
            <w:r>
              <w:rPr>
                <w:rStyle w:val="VerbatimChar"/>
              </w:rPr>
              <w:t xml:space="preserve">details.current_record_versions</w:t>
            </w:r>
            <w:r>
              <w:t xml:space="preserve"> </w:t>
            </w:r>
            <w:r>
              <w:t xml:space="preserve">that changed, with reload/re-confirm per entity</w:t>
            </w:r>
            <w:r>
              <w:t xml:space="preserve"> </w:t>
            </w:r>
            <w:r>
              <w:rPr>
                <w:i/>
                <w:iCs/>
              </w:rPr>
              <w:t xml:space="preserve">[v0.1.1 · C03]</w:t>
            </w:r>
          </w:p>
        </w:tc>
        <w:tc>
          <w:tcPr/>
          <w:p>
            <w:pPr>
              <w:pStyle w:val="TableTextSmall"/>
            </w:pPr>
            <w:r>
              <w:t xml:space="preserve">Editors</w:t>
            </w:r>
          </w:p>
        </w:tc>
        <w:tc>
          <w:tcPr/>
          <w:p>
            <w:pPr>
              <w:pStyle w:val="TableTextSmall"/>
            </w:pPr>
            <w:r>
              <w:t xml:space="preserve">versioning</w:t>
            </w:r>
            <w:r>
              <w:t xml:space="preserve"> </w:t>
            </w:r>
            <w:r>
              <w:rPr>
                <w:i/>
                <w:iCs/>
              </w:rPr>
              <w:t xml:space="preserve">[v0.1.1 · A04]</w:t>
            </w:r>
          </w:p>
        </w:tc>
      </w:tr>
    </w:tbl>
    <w:bookmarkEnd w:id="14"/>
    <w:bookmarkStart w:id="15" w:name="analytical-components"/>
    <w:p>
      <w:pPr>
        <w:pStyle w:val="Heading2"/>
      </w:pPr>
      <w:r>
        <w:t xml:space="preserve">Analytical components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36"/>
        <w:gridCol w:w="1656"/>
        <w:gridCol w:w="709"/>
        <w:gridCol w:w="3062"/>
        <w:gridCol w:w="854"/>
        <w:gridCol w:w="1000"/>
      </w:tblGrid>
      <w:tr>
        <w:trPr>
          <w:tblHeader w:val="on"/>
        </w:trPr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Component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Primary usage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Semantic owner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ANA-001</w:t>
            </w:r>
          </w:p>
        </w:tc>
        <w:tc>
          <w:tcPr/>
          <w:p>
            <w:pPr>
              <w:pStyle w:val="TableTextSmall"/>
            </w:pPr>
            <w:r>
              <w:t xml:space="preserve">AnalyticalStateBadge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Claim/Fact/Inference/Candidate/Disputed/Unknown; a claim never receives the Fact variant without a recorded verification decision. Status variants for every</w:t>
            </w:r>
            <w:r>
              <w:t xml:space="preserve"> </w:t>
            </w:r>
            <w:r>
              <w:rPr>
                <w:rStyle w:val="VerbatimChar"/>
              </w:rPr>
              <w:t xml:space="preserve">claim_status</w:t>
            </w:r>
            <w:r>
              <w:t xml:space="preserve"> </w:t>
            </w:r>
            <w:r>
              <w:t xml:space="preserve">(RECORDED, UNDER_REVIEW, CORROBORATED, CONTRADICTED, UNRESOLVED) and</w:t>
            </w:r>
            <w:r>
              <w:t xml:space="preserve"> </w:t>
            </w:r>
            <w:r>
              <w:rPr>
                <w:rStyle w:val="VerbatimChar"/>
              </w:rPr>
              <w:t xml:space="preserve">fact_status</w:t>
            </w:r>
            <w:r>
              <w:t xml:space="preserve"> </w:t>
            </w:r>
            <w:r>
              <w:t xml:space="preserve">(PROVISIONAL, ESTABLISHED, DISPUTED, SUPERSEDED) wire value, plus a</w:t>
            </w:r>
            <w:r>
              <w:t xml:space="preserve"> </w:t>
            </w:r>
            <w:r>
              <w:rPr>
                <w:rStyle w:val="VerbatimChar"/>
              </w:rPr>
              <w:t xml:space="preserve">review-required</w:t>
            </w:r>
            <w:r>
              <w:t xml:space="preserve"> </w:t>
            </w:r>
            <w:r>
              <w:t xml:space="preserve">variant for Assessments/IntelligenceProducts flagged</w:t>
            </w:r>
            <w:r>
              <w:t xml:space="preserve"> </w:t>
            </w:r>
            <w:r>
              <w:rPr>
                <w:rStyle w:val="VerbatimChar"/>
              </w:rPr>
              <w:t xml:space="preserve">review_required</w:t>
            </w:r>
            <w:r>
              <w:t xml:space="preserve"> </w:t>
            </w:r>
            <w:r>
              <w:t xml:space="preserve">(links to</w:t>
            </w:r>
            <w:r>
              <w:t xml:space="preserve"> </w:t>
            </w:r>
            <w:r>
              <w:rPr>
                <w:rStyle w:val="VerbatimChar"/>
              </w:rPr>
              <w:t xml:space="preserve">review_trigger_ref</w:t>
            </w:r>
            <w:r>
              <w:t xml:space="preserve">)</w:t>
            </w:r>
            <w:r>
              <w:t xml:space="preserve"> </w:t>
            </w:r>
            <w:r>
              <w:rPr>
                <w:i/>
                <w:iCs/>
              </w:rPr>
              <w:t xml:space="preserve">[v0.1.1 · C17]</w:t>
            </w:r>
          </w:p>
        </w:tc>
        <w:tc>
          <w:tcPr/>
          <w:p>
            <w:pPr>
              <w:pStyle w:val="TableTextSmall"/>
            </w:pPr>
            <w:r>
              <w:t xml:space="preserve">Analysis</w:t>
            </w:r>
          </w:p>
        </w:tc>
        <w:tc>
          <w:tcPr/>
          <w:p>
            <w:pPr>
              <w:pStyle w:val="TableTextSmall"/>
            </w:pPr>
            <w:r>
              <w:t xml:space="preserve">uncertainty</w:t>
            </w:r>
            <w:r>
              <w:t xml:space="preserve"> </w:t>
            </w:r>
            <w:r>
              <w:rPr>
                <w:i/>
                <w:iCs/>
              </w:rPr>
              <w:t xml:space="preserve">[v0.1.1 · A10]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ANA-002</w:t>
            </w:r>
          </w:p>
        </w:tc>
        <w:tc>
          <w:tcPr/>
          <w:p>
            <w:pPr>
              <w:pStyle w:val="TableTextSmall"/>
            </w:pPr>
            <w:r>
              <w:t xml:space="preserve">ConfidenceBadge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Controlled confidence label + rationale affordance; variants</w:t>
            </w:r>
            <w:r>
              <w:t xml:space="preserve"> </w:t>
            </w:r>
            <w:r>
              <w:rPr>
                <w:rStyle w:val="VerbatimChar"/>
              </w:rPr>
              <w:t xml:space="preserve">HIGH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MODERATE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INSUFFICIENT_BASIS</w:t>
            </w:r>
            <w:r>
              <w:t xml:space="preserve"> </w:t>
            </w:r>
            <w:r>
              <w:t xml:space="preserve">(neutral, not adverse, not rendered as Low)</w:t>
            </w:r>
          </w:p>
        </w:tc>
        <w:tc>
          <w:tcPr/>
          <w:p>
            <w:pPr>
              <w:pStyle w:val="TableTextSmall"/>
            </w:pPr>
            <w:r>
              <w:t xml:space="preserve">Assessment</w:t>
            </w:r>
          </w:p>
        </w:tc>
        <w:tc>
          <w:tcPr/>
          <w:p>
            <w:pPr>
              <w:pStyle w:val="TableTextSmall"/>
            </w:pPr>
            <w:r>
              <w:t xml:space="preserve">confidence</w:t>
            </w:r>
            <w:r>
              <w:t xml:space="preserve"> </w:t>
            </w:r>
            <w:r>
              <w:rPr>
                <w:i/>
                <w:iCs/>
              </w:rPr>
              <w:t xml:space="preserve">[v0.1.1 · A09]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ANA-003</w:t>
            </w:r>
          </w:p>
        </w:tc>
        <w:tc>
          <w:tcPr/>
          <w:p>
            <w:pPr>
              <w:pStyle w:val="TableTextSmall"/>
            </w:pPr>
            <w:r>
              <w:t xml:space="preserve">FlowClassBadge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rPr>
                <w:rStyle w:val="VerbatimChar"/>
              </w:rPr>
              <w:t xml:space="preserve">flow_class</w:t>
            </w:r>
            <w:r>
              <w:t xml:space="preserve"> </w:t>
            </w:r>
            <w:r>
              <w:t xml:space="preserve">variants DIRECT/DOCUMENTED/RECONSTRUCTED/HYPOTHETICAL (wire values)</w:t>
            </w:r>
          </w:p>
        </w:tc>
        <w:tc>
          <w:tcPr/>
          <w:p>
            <w:pPr>
              <w:pStyle w:val="TableTextSmall"/>
            </w:pPr>
            <w:r>
              <w:t xml:space="preserve">Value Flow</w:t>
            </w:r>
          </w:p>
        </w:tc>
        <w:tc>
          <w:tcPr/>
          <w:p>
            <w:pPr>
              <w:pStyle w:val="TableTextSmall"/>
            </w:pPr>
            <w:r>
              <w:t xml:space="preserve">epistemic class</w:t>
            </w:r>
            <w:r>
              <w:t xml:space="preserve"> </w:t>
            </w:r>
            <w:r>
              <w:rPr>
                <w:i/>
                <w:iCs/>
              </w:rPr>
              <w:t xml:space="preserve">[v0.1.1 · A09]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ANA-004</w:t>
            </w:r>
          </w:p>
        </w:tc>
        <w:tc>
          <w:tcPr/>
          <w:p>
            <w:pPr>
              <w:pStyle w:val="TableTextSmall"/>
            </w:pPr>
            <w:r>
              <w:t xml:space="preserve">EvidenceCitation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Canonical evidence citation with location</w:t>
            </w:r>
          </w:p>
        </w:tc>
        <w:tc>
          <w:tcPr/>
          <w:p>
            <w:pPr>
              <w:pStyle w:val="TableTextSmall"/>
            </w:pPr>
            <w:r>
              <w:t xml:space="preserve">Evidence/Product</w:t>
            </w:r>
          </w:p>
        </w:tc>
        <w:tc>
          <w:tcPr/>
          <w:p>
            <w:pPr>
              <w:pStyle w:val="TableTextSmall"/>
            </w:pPr>
            <w:r>
              <w:t xml:space="preserve">provenance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ANA-005</w:t>
            </w:r>
          </w:p>
        </w:tc>
        <w:tc>
          <w:tcPr/>
          <w:p>
            <w:pPr>
              <w:pStyle w:val="TableTextSmall"/>
            </w:pPr>
            <w:r>
              <w:t xml:space="preserve">ProvenanceTrail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Source→Evidence→Derivative lineage summary.</w:t>
            </w:r>
            <w:r>
              <w:t xml:space="preserve"> </w:t>
            </w:r>
            <w:r>
              <w:rPr>
                <w:rStyle w:val="VerbatimChar"/>
              </w:rPr>
              <w:t xml:space="preserve">decision-history</w:t>
            </w:r>
            <w:r>
              <w:t xml:space="preserve"> </w:t>
            </w:r>
            <w:r>
              <w:t xml:space="preserve">variant: append-only, chronological list of VerificationDecisions (claims/facts) or ResolutionDecisions (entities) with decision, rationale, evidence, decided_by and decided_at; no edit/delete affordance</w:t>
            </w:r>
            <w:r>
              <w:t xml:space="preserve"> </w:t>
            </w:r>
            <w:r>
              <w:rPr>
                <w:i/>
                <w:iCs/>
              </w:rPr>
              <w:t xml:space="preserve">[v0.1.1 · C17]</w:t>
            </w:r>
          </w:p>
        </w:tc>
        <w:tc>
          <w:tcPr/>
          <w:p>
            <w:pPr>
              <w:pStyle w:val="TableTextSmall"/>
            </w:pPr>
            <w:r>
              <w:t xml:space="preserve">Evidence</w:t>
            </w:r>
          </w:p>
        </w:tc>
        <w:tc>
          <w:tcPr/>
          <w:p>
            <w:pPr>
              <w:pStyle w:val="TableTextSmall"/>
            </w:pPr>
            <w:r>
              <w:t xml:space="preserve">provenance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ANA-006</w:t>
            </w:r>
          </w:p>
        </w:tc>
        <w:tc>
          <w:tcPr/>
          <w:p>
            <w:pPr>
              <w:pStyle w:val="TableTextSmall"/>
            </w:pPr>
            <w:r>
              <w:t xml:space="preserve">SourceRating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A-F reliability display/input</w:t>
            </w:r>
          </w:p>
        </w:tc>
        <w:tc>
          <w:tcPr/>
          <w:p>
            <w:pPr>
              <w:pStyle w:val="TableTextSmall"/>
            </w:pPr>
            <w:r>
              <w:t xml:space="preserve">Source</w:t>
            </w:r>
          </w:p>
        </w:tc>
        <w:tc>
          <w:tcPr/>
          <w:p>
            <w:pPr>
              <w:pStyle w:val="TableTextSmall"/>
            </w:pPr>
            <w:r>
              <w:t xml:space="preserve">source evaluation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ANA-007</w:t>
            </w:r>
          </w:p>
        </w:tc>
        <w:tc>
          <w:tcPr/>
          <w:p>
            <w:pPr>
              <w:pStyle w:val="TableTextSmall"/>
            </w:pPr>
            <w:r>
              <w:t xml:space="preserve">CredibilityRating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1-6 information credibility</w:t>
            </w:r>
          </w:p>
        </w:tc>
        <w:tc>
          <w:tcPr/>
          <w:p>
            <w:pPr>
              <w:pStyle w:val="TableTextSmall"/>
            </w:pPr>
            <w:r>
              <w:t xml:space="preserve">Claims</w:t>
            </w:r>
          </w:p>
        </w:tc>
        <w:tc>
          <w:tcPr/>
          <w:p>
            <w:pPr>
              <w:pStyle w:val="TableTextSmall"/>
            </w:pPr>
            <w:r>
              <w:t xml:space="preserve">information evaluation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ANA-008</w:t>
            </w:r>
          </w:p>
        </w:tc>
        <w:tc>
          <w:tcPr/>
          <w:p>
            <w:pPr>
              <w:pStyle w:val="TableTextSmall"/>
            </w:pPr>
            <w:r>
              <w:t xml:space="preserve">EntitySummaryCard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Canonical identity summary without accusation</w:t>
            </w:r>
          </w:p>
        </w:tc>
        <w:tc>
          <w:tcPr/>
          <w:p>
            <w:pPr>
              <w:pStyle w:val="TableTextSmall"/>
            </w:pPr>
            <w:r>
              <w:t xml:space="preserve">Entity</w:t>
            </w:r>
          </w:p>
        </w:tc>
        <w:tc>
          <w:tcPr/>
          <w:p>
            <w:pPr>
              <w:pStyle w:val="TableTextSmall"/>
            </w:pPr>
            <w:r>
              <w:t xml:space="preserve">identity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ANA-009</w:t>
            </w:r>
          </w:p>
        </w:tc>
        <w:tc>
          <w:tcPr/>
          <w:p>
            <w:pPr>
              <w:pStyle w:val="TableTextSmall"/>
            </w:pPr>
            <w:r>
              <w:t xml:space="preserve">RelationshipSummary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Typed evidence-backed relationship summary</w:t>
            </w:r>
          </w:p>
        </w:tc>
        <w:tc>
          <w:tcPr/>
          <w:p>
            <w:pPr>
              <w:pStyle w:val="TableTextSmall"/>
            </w:pPr>
            <w:r>
              <w:t xml:space="preserve">Entity/Graph</w:t>
            </w:r>
          </w:p>
        </w:tc>
        <w:tc>
          <w:tcPr/>
          <w:p>
            <w:pPr>
              <w:pStyle w:val="TableTextSmall"/>
            </w:pPr>
            <w:r>
              <w:t xml:space="preserve">relationship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ANA-010</w:t>
            </w:r>
          </w:p>
        </w:tc>
        <w:tc>
          <w:tcPr/>
          <w:p>
            <w:pPr>
              <w:pStyle w:val="TableTextSmall"/>
            </w:pPr>
            <w:r>
              <w:t xml:space="preserve">AssetAttribution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Ownership/control/use attribution display</w:t>
            </w:r>
          </w:p>
        </w:tc>
        <w:tc>
          <w:tcPr/>
          <w:p>
            <w:pPr>
              <w:pStyle w:val="TableTextSmall"/>
            </w:pPr>
            <w:r>
              <w:t xml:space="preserve">Asset</w:t>
            </w:r>
          </w:p>
        </w:tc>
        <w:tc>
          <w:tcPr/>
          <w:p>
            <w:pPr>
              <w:pStyle w:val="TableTextSmall"/>
            </w:pPr>
            <w:r>
              <w:t xml:space="preserve">asset attribution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ANA-011</w:t>
            </w:r>
          </w:p>
        </w:tc>
        <w:tc>
          <w:tcPr/>
          <w:p>
            <w:pPr>
              <w:pStyle w:val="TableTextSmall"/>
            </w:pPr>
            <w:r>
              <w:t xml:space="preserve">TemporalPrecision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Exact/approx/range/unknown date cue</w:t>
            </w:r>
          </w:p>
        </w:tc>
        <w:tc>
          <w:tcPr/>
          <w:p>
            <w:pPr>
              <w:pStyle w:val="TableTextSmall"/>
            </w:pPr>
            <w:r>
              <w:t xml:space="preserve">Timeline</w:t>
            </w:r>
          </w:p>
        </w:tc>
        <w:tc>
          <w:tcPr/>
          <w:p>
            <w:pPr>
              <w:pStyle w:val="TableTextSmall"/>
            </w:pPr>
            <w:r>
              <w:t xml:space="preserve">temporal semantics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ANA-012</w:t>
            </w:r>
          </w:p>
        </w:tc>
        <w:tc>
          <w:tcPr/>
          <w:p>
            <w:pPr>
              <w:pStyle w:val="TableTextSmall"/>
            </w:pPr>
            <w:r>
              <w:t xml:space="preserve">EvidenceInspector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Evidence/provenance/context rail</w:t>
            </w:r>
          </w:p>
        </w:tc>
        <w:tc>
          <w:tcPr/>
          <w:p>
            <w:pPr>
              <w:pStyle w:val="TableTextSmall"/>
            </w:pPr>
            <w:r>
              <w:t xml:space="preserve">Evidence/Analysis</w:t>
            </w:r>
          </w:p>
        </w:tc>
        <w:tc>
          <w:tcPr/>
          <w:p>
            <w:pPr>
              <w:pStyle w:val="TableTextSmall"/>
            </w:pPr>
            <w:r>
              <w:t xml:space="preserve">provenance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ANA-013</w:t>
            </w:r>
          </w:p>
        </w:tc>
        <w:tc>
          <w:tcPr/>
          <w:p>
            <w:pPr>
              <w:pStyle w:val="TableTextSmall"/>
            </w:pPr>
            <w:r>
              <w:t xml:space="preserve">GraphNode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Neutral canonical-object node</w:t>
            </w:r>
          </w:p>
        </w:tc>
        <w:tc>
          <w:tcPr/>
          <w:p>
            <w:pPr>
              <w:pStyle w:val="TableTextSmall"/>
            </w:pPr>
            <w:r>
              <w:t xml:space="preserve">Graph</w:t>
            </w:r>
          </w:p>
        </w:tc>
        <w:tc>
          <w:tcPr/>
          <w:p>
            <w:pPr>
              <w:pStyle w:val="TableTextSmall"/>
            </w:pPr>
            <w:r>
              <w:t xml:space="preserve">graph semantics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ANA-014</w:t>
            </w:r>
          </w:p>
        </w:tc>
        <w:tc>
          <w:tcPr/>
          <w:p>
            <w:pPr>
              <w:pStyle w:val="TableTextSmall"/>
            </w:pPr>
            <w:r>
              <w:t xml:space="preserve">GraphEdge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Evidence-backed relationship/value-flow edge</w:t>
            </w:r>
          </w:p>
        </w:tc>
        <w:tc>
          <w:tcPr/>
          <w:p>
            <w:pPr>
              <w:pStyle w:val="TableTextSmall"/>
            </w:pPr>
            <w:r>
              <w:t xml:space="preserve">Graph</w:t>
            </w:r>
          </w:p>
        </w:tc>
        <w:tc>
          <w:tcPr/>
          <w:p>
            <w:pPr>
              <w:pStyle w:val="TableTextSmall"/>
            </w:pPr>
            <w:r>
              <w:t xml:space="preserve">graph semantics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ANA-015</w:t>
            </w:r>
          </w:p>
        </w:tc>
        <w:tc>
          <w:tcPr/>
          <w:p>
            <w:pPr>
              <w:pStyle w:val="TableTextSmall"/>
            </w:pPr>
            <w:r>
              <w:t xml:space="preserve">GraphLegend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Visible relationship/flow semantics</w:t>
            </w:r>
          </w:p>
        </w:tc>
        <w:tc>
          <w:tcPr/>
          <w:p>
            <w:pPr>
              <w:pStyle w:val="TableTextSmall"/>
            </w:pPr>
            <w:r>
              <w:t xml:space="preserve">Graph</w:t>
            </w:r>
          </w:p>
        </w:tc>
        <w:tc>
          <w:tcPr/>
          <w:p>
            <w:pPr>
              <w:pStyle w:val="TableTextSmall"/>
            </w:pPr>
            <w:r>
              <w:t xml:space="preserve">legend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ANA-016</w:t>
            </w:r>
          </w:p>
        </w:tc>
        <w:tc>
          <w:tcPr/>
          <w:p>
            <w:pPr>
              <w:pStyle w:val="TableTextSmall"/>
            </w:pPr>
            <w:r>
              <w:t xml:space="preserve">TimelineItem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Evidence-linked event item</w:t>
            </w:r>
          </w:p>
        </w:tc>
        <w:tc>
          <w:tcPr/>
          <w:p>
            <w:pPr>
              <w:pStyle w:val="TableTextSmall"/>
            </w:pPr>
            <w:r>
              <w:t xml:space="preserve">Timeline</w:t>
            </w:r>
          </w:p>
        </w:tc>
        <w:tc>
          <w:tcPr/>
          <w:p>
            <w:pPr>
              <w:pStyle w:val="TableTextSmall"/>
            </w:pPr>
            <w:r>
              <w:t xml:space="preserve">chronology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ANA-017</w:t>
            </w:r>
          </w:p>
        </w:tc>
        <w:tc>
          <w:tcPr/>
          <w:p>
            <w:pPr>
              <w:pStyle w:val="TableTextSmall"/>
            </w:pPr>
            <w:r>
              <w:t xml:space="preserve">HypothesisCard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Hypothesis state, rationale and evidence balance</w:t>
            </w:r>
          </w:p>
        </w:tc>
        <w:tc>
          <w:tcPr/>
          <w:p>
            <w:pPr>
              <w:pStyle w:val="TableTextSmall"/>
            </w:pPr>
            <w:r>
              <w:t xml:space="preserve">Hypothesis</w:t>
            </w:r>
          </w:p>
        </w:tc>
        <w:tc>
          <w:tcPr/>
          <w:p>
            <w:pPr>
              <w:pStyle w:val="TableTextSmall"/>
            </w:pPr>
            <w:r>
              <w:t xml:space="preserve">reasoning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ANA-018</w:t>
            </w:r>
          </w:p>
        </w:tc>
        <w:tc>
          <w:tcPr/>
          <w:p>
            <w:pPr>
              <w:pStyle w:val="TableTextSmall"/>
            </w:pPr>
            <w:r>
              <w:t xml:space="preserve">EvidenceBalanceMatrix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Support/contradict/neutral/unknown matrix</w:t>
            </w:r>
          </w:p>
        </w:tc>
        <w:tc>
          <w:tcPr/>
          <w:p>
            <w:pPr>
              <w:pStyle w:val="TableTextSmall"/>
            </w:pPr>
            <w:r>
              <w:t xml:space="preserve">Hypothesis</w:t>
            </w:r>
          </w:p>
        </w:tc>
        <w:tc>
          <w:tcPr/>
          <w:p>
            <w:pPr>
              <w:pStyle w:val="TableTextSmall"/>
            </w:pPr>
            <w:r>
              <w:t xml:space="preserve">reasoning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ANA-019</w:t>
            </w:r>
          </w:p>
        </w:tc>
        <w:tc>
          <w:tcPr/>
          <w:p>
            <w:pPr>
              <w:pStyle w:val="TableTextSmall"/>
            </w:pPr>
            <w:r>
              <w:t xml:space="preserve">IntelligenceGapItem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Explicit unknown/gap display</w:t>
            </w:r>
          </w:p>
        </w:tc>
        <w:tc>
          <w:tcPr/>
          <w:p>
            <w:pPr>
              <w:pStyle w:val="TableTextSmall"/>
            </w:pPr>
            <w:r>
              <w:t xml:space="preserve">Assessment</w:t>
            </w:r>
          </w:p>
        </w:tc>
        <w:tc>
          <w:tcPr/>
          <w:p>
            <w:pPr>
              <w:pStyle w:val="TableTextSmall"/>
            </w:pPr>
            <w:r>
              <w:t xml:space="preserve">uncertainty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ANA-020</w:t>
            </w:r>
          </w:p>
        </w:tc>
        <w:tc>
          <w:tcPr/>
          <w:p>
            <w:pPr>
              <w:pStyle w:val="TableTextSmall"/>
            </w:pPr>
            <w:r>
              <w:t xml:space="preserve">TypologyMatchPanel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Indicators/counter-indicators/alternatives</w:t>
            </w:r>
          </w:p>
        </w:tc>
        <w:tc>
          <w:tcPr/>
          <w:p>
            <w:pPr>
              <w:pStyle w:val="TableTextSmall"/>
            </w:pPr>
            <w:r>
              <w:t xml:space="preserve">Typology</w:t>
            </w:r>
          </w:p>
        </w:tc>
        <w:tc>
          <w:tcPr/>
          <w:p>
            <w:pPr>
              <w:pStyle w:val="TableTextSmall"/>
            </w:pPr>
            <w:r>
              <w:t xml:space="preserve">typology caution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ANA-021</w:t>
            </w:r>
          </w:p>
        </w:tc>
        <w:tc>
          <w:tcPr/>
          <w:p>
            <w:pPr>
              <w:pStyle w:val="TableTextSmall"/>
            </w:pPr>
            <w:r>
              <w:t xml:space="preserve">AssessmentSummary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Judgement, confidence, basis, gaps</w:t>
            </w:r>
          </w:p>
        </w:tc>
        <w:tc>
          <w:tcPr/>
          <w:p>
            <w:pPr>
              <w:pStyle w:val="TableTextSmall"/>
            </w:pPr>
            <w:r>
              <w:t xml:space="preserve">Assessment</w:t>
            </w:r>
          </w:p>
        </w:tc>
        <w:tc>
          <w:tcPr/>
          <w:p>
            <w:pPr>
              <w:pStyle w:val="TableTextSmall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ANA-022</w:t>
            </w:r>
          </w:p>
        </w:tc>
        <w:tc>
          <w:tcPr/>
          <w:p>
            <w:pPr>
              <w:pStyle w:val="TableTextSmall"/>
            </w:pPr>
            <w:r>
              <w:t xml:space="preserve">ReviewDecisionPanel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Comment/request changes/approve/reject</w:t>
            </w:r>
          </w:p>
        </w:tc>
        <w:tc>
          <w:tcPr/>
          <w:p>
            <w:pPr>
              <w:pStyle w:val="TableTextSmall"/>
            </w:pPr>
            <w:r>
              <w:t xml:space="preserve">Review</w:t>
            </w:r>
          </w:p>
        </w:tc>
        <w:tc>
          <w:tcPr/>
          <w:p>
            <w:pPr>
              <w:pStyle w:val="TableTextSmall"/>
            </w:pPr>
            <w:r>
              <w:t xml:space="preserve">review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ANA-023</w:t>
            </w:r>
          </w:p>
        </w:tc>
        <w:tc>
          <w:tcPr/>
          <w:p>
            <w:pPr>
              <w:pStyle w:val="TableTextSmall"/>
            </w:pPr>
            <w:r>
              <w:t xml:space="preserve">ClassificationBanner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Handling/classification context; variants</w:t>
            </w:r>
            <w:r>
              <w:t xml:space="preserve"> </w:t>
            </w:r>
            <w:r>
              <w:rPr>
                <w:rStyle w:val="VerbatimChar"/>
              </w:rPr>
              <w:t xml:space="preserve">PUBLIC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SENSITIVE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RESTRICTED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SOURCE_PROTECTED</w:t>
            </w:r>
            <w:r>
              <w:t xml:space="preserve"> </w:t>
            </w:r>
            <w:r>
              <w:t xml:space="preserve">(display: Public, Internal, Sensitive, Restricted, Source-protected) plus access-label slots; the compact classification badge is the GEN-013 Badge with the same five variants</w:t>
            </w:r>
          </w:p>
        </w:tc>
        <w:tc>
          <w:tcPr/>
          <w:p>
            <w:pPr>
              <w:pStyle w:val="TableTextSmall"/>
            </w:pPr>
            <w:r>
              <w:t xml:space="preserve">All sensitive</w:t>
            </w:r>
          </w:p>
        </w:tc>
        <w:tc>
          <w:tcPr/>
          <w:p>
            <w:pPr>
              <w:pStyle w:val="TableTextSmall"/>
            </w:pPr>
            <w:r>
              <w:t xml:space="preserve">security</w:t>
            </w:r>
            <w:r>
              <w:t xml:space="preserve"> </w:t>
            </w:r>
            <w:r>
              <w:rPr>
                <w:i/>
                <w:iCs/>
              </w:rPr>
              <w:t xml:space="preserve">[v0.1.1 · A08]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ANA-024</w:t>
            </w:r>
          </w:p>
        </w:tc>
        <w:tc>
          <w:tcPr/>
          <w:p>
            <w:pPr>
              <w:pStyle w:val="TableTextSmall"/>
            </w:pPr>
            <w:r>
              <w:t xml:space="preserve">ProtectedSourceMarker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Authorized protected-source presence indicator without identity leak</w:t>
            </w:r>
          </w:p>
        </w:tc>
        <w:tc>
          <w:tcPr/>
          <w:p>
            <w:pPr>
              <w:pStyle w:val="TableTextSmall"/>
            </w:pPr>
            <w:r>
              <w:t xml:space="preserve">Source</w:t>
            </w:r>
          </w:p>
        </w:tc>
        <w:tc>
          <w:tcPr/>
          <w:p>
            <w:pPr>
              <w:pStyle w:val="TableTextSmall"/>
            </w:pPr>
            <w:r>
              <w:t xml:space="preserve">source protection</w:t>
            </w:r>
          </w:p>
        </w:tc>
      </w:tr>
    </w:tbl>
    <w:bookmarkEnd w:id="15"/>
    <w:bookmarkStart w:id="16" w:name="compound-components"/>
    <w:p>
      <w:pPr>
        <w:pStyle w:val="Heading2"/>
      </w:pPr>
      <w:r>
        <w:t xml:space="preserve">Compound components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5"/>
        <w:gridCol w:w="1959"/>
        <w:gridCol w:w="741"/>
        <w:gridCol w:w="2918"/>
        <w:gridCol w:w="817"/>
        <w:gridCol w:w="817"/>
      </w:tblGrid>
      <w:tr>
        <w:trPr>
          <w:tblHeader w:val="on"/>
        </w:trPr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Component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Primary usage</w:t>
            </w:r>
          </w:p>
        </w:tc>
        <w:tc>
          <w:tcPr/>
          <w:p>
            <w:pPr>
              <w:pStyle w:val="TableTextSmall"/>
            </w:pPr>
            <w:r>
              <w:rPr>
                <w:b/>
                <w:bCs/>
              </w:rPr>
              <w:t xml:space="preserve">Semantic owner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CMP-001</w:t>
            </w:r>
          </w:p>
        </w:tc>
        <w:tc>
          <w:tcPr/>
          <w:p>
            <w:pPr>
              <w:pStyle w:val="TableTextSmall"/>
            </w:pPr>
            <w:r>
              <w:t xml:space="preserve">RegisterPageFrame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Header + filters + DataTable + pagination</w:t>
            </w:r>
          </w:p>
        </w:tc>
        <w:tc>
          <w:tcPr/>
          <w:p>
            <w:pPr>
              <w:pStyle w:val="TableTextSmall"/>
            </w:pPr>
            <w:r>
              <w:t xml:space="preserve">Registers</w:t>
            </w:r>
          </w:p>
        </w:tc>
        <w:tc>
          <w:tcPr/>
          <w:p>
            <w:pPr>
              <w:pStyle w:val="TableTextSmall"/>
            </w:pPr>
            <w:r>
              <w:t xml:space="preserve">WF-PAT-01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CMP-002</w:t>
            </w:r>
          </w:p>
        </w:tc>
        <w:tc>
          <w:tcPr/>
          <w:p>
            <w:pPr>
              <w:pStyle w:val="TableTextSmall"/>
            </w:pPr>
            <w:r>
              <w:t xml:space="preserve">CanonicalObjectHeader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Object identity/status/classification/actions</w:t>
            </w:r>
          </w:p>
        </w:tc>
        <w:tc>
          <w:tcPr/>
          <w:p>
            <w:pPr>
              <w:pStyle w:val="TableTextSmall"/>
            </w:pPr>
            <w:r>
              <w:t xml:space="preserve">Object detail</w:t>
            </w:r>
          </w:p>
        </w:tc>
        <w:tc>
          <w:tcPr/>
          <w:p>
            <w:pPr>
              <w:pStyle w:val="TableTextSmall"/>
            </w:pPr>
            <w:r>
              <w:t xml:space="preserve">WF-PAT-02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CMP-003</w:t>
            </w:r>
          </w:p>
        </w:tc>
        <w:tc>
          <w:tcPr/>
          <w:p>
            <w:pPr>
              <w:pStyle w:val="TableTextSmall"/>
            </w:pPr>
            <w:r>
              <w:t xml:space="preserve">ObjectDetailFrame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Context header + tabs + main + inspector</w:t>
            </w:r>
          </w:p>
        </w:tc>
        <w:tc>
          <w:tcPr/>
          <w:p>
            <w:pPr>
              <w:pStyle w:val="TableTextSmall"/>
            </w:pPr>
            <w:r>
              <w:t xml:space="preserve">Object detail</w:t>
            </w:r>
          </w:p>
        </w:tc>
        <w:tc>
          <w:tcPr/>
          <w:p>
            <w:pPr>
              <w:pStyle w:val="TableTextSmall"/>
            </w:pPr>
            <w:r>
              <w:t xml:space="preserve">WF-PAT-02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CMP-004</w:t>
            </w:r>
          </w:p>
        </w:tc>
        <w:tc>
          <w:tcPr/>
          <w:p>
            <w:pPr>
              <w:pStyle w:val="TableTextSmall"/>
            </w:pPr>
            <w:r>
              <w:t xml:space="preserve">EditorFrame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Form sections + validation + action footer</w:t>
            </w:r>
          </w:p>
        </w:tc>
        <w:tc>
          <w:tcPr/>
          <w:p>
            <w:pPr>
              <w:pStyle w:val="TableTextSmall"/>
            </w:pPr>
            <w:r>
              <w:t xml:space="preserve">Editors</w:t>
            </w:r>
          </w:p>
        </w:tc>
        <w:tc>
          <w:tcPr/>
          <w:p>
            <w:pPr>
              <w:pStyle w:val="TableTextSmall"/>
            </w:pPr>
            <w:r>
              <w:t xml:space="preserve">WF-PAT-03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CMP-005</w:t>
            </w:r>
          </w:p>
        </w:tc>
        <w:tc>
          <w:tcPr/>
          <w:p>
            <w:pPr>
              <w:pStyle w:val="TableTextSmall"/>
            </w:pPr>
            <w:r>
              <w:t xml:space="preserve">AnalyticalWorkspaceFrame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Toolbar + canvas + inspector + accessible alternative</w:t>
            </w:r>
          </w:p>
        </w:tc>
        <w:tc>
          <w:tcPr/>
          <w:p>
            <w:pPr>
              <w:pStyle w:val="TableTextSmall"/>
            </w:pPr>
            <w:r>
              <w:t xml:space="preserve">Analysis</w:t>
            </w:r>
          </w:p>
        </w:tc>
        <w:tc>
          <w:tcPr/>
          <w:p>
            <w:pPr>
              <w:pStyle w:val="TableTextSmall"/>
            </w:pPr>
            <w:r>
              <w:t xml:space="preserve">WF-PAT-04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CMP-006</w:t>
            </w:r>
          </w:p>
        </w:tc>
        <w:tc>
          <w:tcPr/>
          <w:p>
            <w:pPr>
              <w:pStyle w:val="TableTextSmall"/>
            </w:pPr>
            <w:r>
              <w:t xml:space="preserve">CompareResolutionFrame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Symmetric A/B comparison + differences + decision. Slots: compare columns (HiFi "CompareColumn"), matching/conflicting attribute signals (HiFi "MatchSignal"/"ConflictSignal", rendered with GEN-013 Badge), decision rail (HiFi "MergeDecisionPanel"; records a ResolutionDecision MERGE, KEEP_SEPARATE, POSSIBLE_MATCH or DEFER with GEN-005</w:t>
            </w:r>
            <w:r>
              <w:t xml:space="preserve"> </w:t>
            </w:r>
            <w:r>
              <w:rPr>
                <w:rStyle w:val="VerbatimChar"/>
              </w:rPr>
              <w:t xml:space="preserve">rationale</w:t>
            </w:r>
            <w:r>
              <w:t xml:space="preserve">)</w:t>
            </w:r>
            <w:r>
              <w:t xml:space="preserve"> </w:t>
            </w:r>
            <w:r>
              <w:rPr>
                <w:i/>
                <w:iCs/>
              </w:rPr>
              <w:t xml:space="preserve">[v0.1.1 · C17]</w:t>
            </w:r>
          </w:p>
        </w:tc>
        <w:tc>
          <w:tcPr/>
          <w:p>
            <w:pPr>
              <w:pStyle w:val="TableTextSmall"/>
            </w:pPr>
            <w:r>
              <w:t xml:space="preserve">Entity match</w:t>
            </w:r>
          </w:p>
        </w:tc>
        <w:tc>
          <w:tcPr/>
          <w:p>
            <w:pPr>
              <w:pStyle w:val="TableTextSmall"/>
            </w:pPr>
            <w:r>
              <w:t xml:space="preserve">WF-PAT-05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CMP-007</w:t>
            </w:r>
          </w:p>
        </w:tc>
        <w:tc>
          <w:tcPr/>
          <w:p>
            <w:pPr>
              <w:pStyle w:val="TableTextSmall"/>
            </w:pPr>
            <w:r>
              <w:t xml:space="preserve">ReviewApprovalFrame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Artifact + review panel + decision controls</w:t>
            </w:r>
          </w:p>
        </w:tc>
        <w:tc>
          <w:tcPr/>
          <w:p>
            <w:pPr>
              <w:pStyle w:val="TableTextSmall"/>
            </w:pPr>
            <w:r>
              <w:t xml:space="preserve">Review</w:t>
            </w:r>
          </w:p>
        </w:tc>
        <w:tc>
          <w:tcPr/>
          <w:p>
            <w:pPr>
              <w:pStyle w:val="TableTextSmall"/>
            </w:pPr>
            <w:r>
              <w:t xml:space="preserve">WF-PAT-06</w:t>
            </w:r>
          </w:p>
        </w:tc>
      </w:tr>
      <w:tr>
        <w:tc>
          <w:tcPr/>
          <w:p>
            <w:pPr>
              <w:pStyle w:val="TableTextSmall"/>
            </w:pPr>
            <w:r>
              <w:t xml:space="preserve">CMP-008</w:t>
            </w:r>
          </w:p>
        </w:tc>
        <w:tc>
          <w:tcPr/>
          <w:p>
            <w:pPr>
              <w:pStyle w:val="TableTextSmall"/>
            </w:pPr>
            <w:r>
              <w:t xml:space="preserve">SystemStateFrame</w:t>
            </w:r>
          </w:p>
        </w:tc>
        <w:tc>
          <w:tcPr/>
          <w:p>
            <w:pPr>
              <w:pStyle w:val="TableTextSmall"/>
            </w:pPr>
            <w:r>
              <w:t xml:space="preserve">P0</w:t>
            </w:r>
          </w:p>
        </w:tc>
        <w:tc>
          <w:tcPr/>
          <w:p>
            <w:pPr>
              <w:pStyle w:val="TableTextSmall"/>
            </w:pPr>
            <w:r>
              <w:t xml:space="preserve">Safe failure/permission/integrity state</w:t>
            </w:r>
          </w:p>
        </w:tc>
        <w:tc>
          <w:tcPr/>
          <w:p>
            <w:pPr>
              <w:pStyle w:val="TableTextSmall"/>
            </w:pPr>
            <w:r>
              <w:t xml:space="preserve">System</w:t>
            </w:r>
          </w:p>
        </w:tc>
        <w:tc>
          <w:tcPr/>
          <w:p>
            <w:pPr>
              <w:pStyle w:val="TableTextSmall"/>
            </w:pPr>
            <w:r>
              <w:t xml:space="preserve">WF-PAT-07</w:t>
            </w:r>
          </w:p>
        </w:tc>
      </w:tr>
    </w:tbl>
    <w:bookmarkEnd w:id="16"/>
    <w:bookmarkEnd w:id="17"/>
    <w:bookmarkStart w:id="18" w:name="Xf5c8b9d71e1ef3725613f9a1a78b363e378e9fb"/>
    <w:p>
      <w:pPr>
        <w:pStyle w:val="Heading1"/>
      </w:pPr>
      <w:r>
        <w:t xml:space="preserve">6. Component API Contract</w:t>
      </w:r>
    </w:p>
    <w:p>
      <w:pPr>
        <w:pStyle w:val="FirstParagraph"/>
      </w:pPr>
      <w:r>
        <w:rPr>
          <w:b/>
          <w:bCs/>
        </w:rPr>
        <w:t xml:space="preserve">CISB-010 —</w:t>
      </w:r>
      <w:r>
        <w:t xml:space="preserve"> </w:t>
      </w:r>
      <w:r>
        <w:t xml:space="preserve">All public components SHALL define explicit TypeScript props and SHALL avoid</w:t>
      </w:r>
      <w:r>
        <w:t xml:space="preserve"> </w:t>
      </w:r>
      <w:r>
        <w:rPr>
          <w:rStyle w:val="VerbatimChar"/>
        </w:rPr>
        <w:t xml:space="preserve">any</w:t>
      </w:r>
      <w:r>
        <w:t xml:space="preserve"> </w:t>
      </w:r>
      <w:r>
        <w:t xml:space="preserve">in public interfaces.</w:t>
      </w:r>
    </w:p>
    <w:p>
      <w:pPr>
        <w:pStyle w:val="BodyText"/>
      </w:pPr>
      <w:r>
        <w:rPr>
          <w:b/>
          <w:bCs/>
        </w:rPr>
        <w:t xml:space="preserve">CISB-011 —</w:t>
      </w:r>
      <w:r>
        <w:t xml:space="preserve"> </w:t>
      </w:r>
      <w:r>
        <w:t xml:space="preserve">Status and analytical variants SHALL use controlled typed values aligned to normative vocabularies. Variant values are the canonical UPPER_SNAKE_CASE wire values from the Data Model Annex A registry; display labels are resolved separately and are translatable.</w:t>
      </w:r>
      <w:r>
        <w:t xml:space="preserve"> </w:t>
      </w:r>
      <w:r>
        <w:rPr>
          <w:i/>
          <w:iCs/>
        </w:rPr>
        <w:t xml:space="preserve">[v0.1.1 · A09]</w:t>
      </w:r>
    </w:p>
    <w:p>
      <w:pPr>
        <w:pStyle w:val="BodyText"/>
      </w:pPr>
      <w:r>
        <w:rPr>
          <w:b/>
          <w:bCs/>
        </w:rPr>
        <w:t xml:space="preserve">CISB-012 —</w:t>
      </w:r>
      <w:r>
        <w:t xml:space="preserve"> </w:t>
      </w:r>
      <w:r>
        <w:t xml:space="preserve">Components that render canonical objects SHOULD accept stable IDs/links separately from display labels so canonical navigation remains explicit.</w:t>
      </w:r>
    </w:p>
    <w:p>
      <w:pPr>
        <w:pStyle w:val="BodyText"/>
      </w:pPr>
      <w:r>
        <w:rPr>
          <w:b/>
          <w:bCs/>
        </w:rPr>
        <w:t xml:space="preserve">CISB-013 —</w:t>
      </w:r>
      <w:r>
        <w:t xml:space="preserve"> </w:t>
      </w:r>
      <w:r>
        <w:t xml:space="preserve">Components rendering restricted content SHALL support redacted/withheld states without leaking hidden metadata through tooltips, DOM labels, or story fixtures.</w:t>
      </w:r>
    </w:p>
    <w:p>
      <w:pPr>
        <w:pStyle w:val="BodyText"/>
      </w:pPr>
      <w:r>
        <w:rPr>
          <w:b/>
          <w:bCs/>
        </w:rPr>
        <w:t xml:space="preserve">CISB-014 —</w:t>
      </w:r>
      <w:r>
        <w:t xml:space="preserve"> </w:t>
      </w:r>
      <w:r>
        <w:t xml:space="preserve">Destructive or high-impact actions SHALL expose disabled, pending, success, failure, and confirmation states where applicable.</w:t>
      </w:r>
    </w:p>
    <w:p>
      <w:pPr>
        <w:pStyle w:val="BodyText"/>
      </w:pPr>
      <w:r>
        <w:rPr>
          <w:b/>
          <w:bCs/>
        </w:rPr>
        <w:t xml:space="preserve">CISB-015 —</w:t>
      </w:r>
      <w:r>
        <w:t xml:space="preserve"> </w:t>
      </w:r>
      <w:r>
        <w:t xml:space="preserve">Components SHALL permit accessible names independent from visible iconography or abbreviated labels.</w:t>
      </w:r>
    </w:p>
    <w:p>
      <w:pPr>
        <w:pStyle w:val="BodyText"/>
      </w:pPr>
      <w:r>
        <w:rPr>
          <w:b/>
          <w:bCs/>
        </w:rPr>
        <w:t xml:space="preserve">CISB-016 —</w:t>
      </w:r>
      <w:r>
        <w:t xml:space="preserve"> </w:t>
      </w:r>
      <w:r>
        <w:t xml:space="preserve">Loading state SHALL not erase surrounding context needed to understand which object is loading.</w:t>
      </w:r>
    </w:p>
    <w:bookmarkEnd w:id="18"/>
    <w:bookmarkStart w:id="19" w:name="X7f5c3430cfb0dc3c7c7e7ffb89cf9c3d6ba14f3"/>
    <w:p>
      <w:pPr>
        <w:pStyle w:val="Heading1"/>
      </w:pPr>
      <w:r>
        <w:t xml:space="preserve">7. Accessibility Contract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80"/>
        <w:gridCol w:w="6539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Component class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Mandatory accessibility behavior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Buttons/actions</w:t>
            </w:r>
          </w:p>
        </w:tc>
        <w:tc>
          <w:tcPr/>
          <w:p>
            <w:pPr>
              <w:pStyle w:val="TableText"/>
            </w:pPr>
            <w:r>
              <w:t xml:space="preserve">Keyboard operable; visible focus; accessible name; disabled vs aria-disabled used intentionally.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Dialogs/drawers</w:t>
            </w:r>
          </w:p>
        </w:tc>
        <w:tc>
          <w:tcPr/>
          <w:p>
            <w:pPr>
              <w:pStyle w:val="TableText"/>
            </w:pPr>
            <w:r>
              <w:t xml:space="preserve">Focus trap where blocking; focus restoration; labelled title; Escape behavior where safe.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Tables</w:t>
            </w:r>
          </w:p>
        </w:tc>
        <w:tc>
          <w:tcPr/>
          <w:p>
            <w:pPr>
              <w:pStyle w:val="TableText"/>
            </w:pPr>
            <w:r>
              <w:t xml:space="preserve">Semantic headers; keyboard/screen-reader discoverable sort state; no permission leak in hidden rows.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Tabs</w:t>
            </w:r>
          </w:p>
        </w:tc>
        <w:tc>
          <w:tcPr/>
          <w:p>
            <w:pPr>
              <w:pStyle w:val="TableText"/>
            </w:pPr>
            <w:r>
              <w:t xml:space="preserve">ARIA tab semantics or equivalent; roving focus; current state announced.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Forms</w:t>
            </w:r>
          </w:p>
        </w:tc>
        <w:tc>
          <w:tcPr/>
          <w:p>
            <w:pPr>
              <w:pStyle w:val="TableText"/>
            </w:pPr>
            <w:r>
              <w:t xml:space="preserve">Programmatic label, help, error association; required state not color-only.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Graph/timeline/value flow</w:t>
            </w:r>
          </w:p>
        </w:tc>
        <w:tc>
          <w:tcPr/>
          <w:p>
            <w:pPr>
              <w:pStyle w:val="TableText"/>
            </w:pPr>
            <w:r>
              <w:t xml:space="preserve">Accessible alternative list/table preserving equivalent analytical semantics.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Analytical states</w:t>
            </w:r>
          </w:p>
        </w:tc>
        <w:tc>
          <w:tcPr/>
          <w:p>
            <w:pPr>
              <w:pStyle w:val="TableText"/>
            </w:pPr>
            <w:r>
              <w:t xml:space="preserve">Color-independent icon/pattern/text label for Claim/Fact/Inference etc.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Flow classes</w:t>
            </w:r>
          </w:p>
        </w:tc>
        <w:tc>
          <w:tcPr/>
          <w:p>
            <w:pPr>
              <w:pStyle w:val="TableText"/>
            </w:pPr>
            <w:r>
              <w:t xml:space="preserve">Line pattern + text/legend; not color-only.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Toast/alerts</w:t>
            </w:r>
          </w:p>
        </w:tc>
        <w:tc>
          <w:tcPr/>
          <w:p>
            <w:pPr>
              <w:pStyle w:val="TableText"/>
            </w:pPr>
            <w:r>
              <w:t xml:space="preserve">Appropriate live-region priority; avoid repeated noisy announcements.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Protected content</w:t>
            </w:r>
          </w:p>
        </w:tc>
        <w:tc>
          <w:tcPr/>
          <w:p>
            <w:pPr>
              <w:pStyle w:val="TableText"/>
            </w:pPr>
            <w:r>
              <w:t xml:space="preserve">Accessible text SHALL not reveal information withheld visually.</w:t>
            </w:r>
          </w:p>
        </w:tc>
      </w:tr>
    </w:tbl>
    <w:p>
      <w:pPr>
        <w:pStyle w:val="BodyText"/>
      </w:pPr>
      <w:r>
        <w:rPr>
          <w:b/>
          <w:bCs/>
        </w:rPr>
        <w:t xml:space="preserve">CISB-020 —</w:t>
      </w:r>
      <w:r>
        <w:t xml:space="preserve"> </w:t>
      </w:r>
      <w:r>
        <w:t xml:space="preserve">Storybook accessibility checks SHALL be required for P0 interactive shared components.</w:t>
      </w:r>
    </w:p>
    <w:bookmarkEnd w:id="19"/>
    <w:bookmarkStart w:id="20" w:name="Xc5a542676bf1b7bac17820bb9915d88f10699e5"/>
    <w:p>
      <w:pPr>
        <w:pStyle w:val="Heading1"/>
      </w:pPr>
      <w:r>
        <w:t xml:space="preserve">8. Storybook Architecture</w:t>
      </w:r>
    </w:p>
    <w:p>
      <w:pPr>
        <w:pStyle w:val="BlockText"/>
      </w:pPr>
      <w:r>
        <w:rPr>
          <w:b/>
          <w:bCs/>
        </w:rPr>
        <w:t xml:space="preserve">Storybook purpose</w:t>
      </w:r>
      <w:r>
        <w:br/>
      </w:r>
      <w:r>
        <w:t xml:space="preserve">Storybook is the executable catalogue of component semantics. It SHALL serve design review, engineering documentation, accessibility review, interaction testing, visual regression, and reference composition. It is not merely a gallery of default states.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37"/>
        <w:gridCol w:w="3289"/>
        <w:gridCol w:w="3192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Storybook group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Coverage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Required story emphasis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Foundations</w:t>
            </w:r>
          </w:p>
        </w:tc>
        <w:tc>
          <w:tcPr/>
          <w:p>
            <w:pPr>
              <w:pStyle w:val="TableText"/>
            </w:pPr>
            <w:r>
              <w:t xml:space="preserve">Tokens, typography, surfaces, icons</w:t>
            </w:r>
          </w:p>
        </w:tc>
        <w:tc>
          <w:tcPr/>
          <w:p>
            <w:pPr>
              <w:pStyle w:val="TableText"/>
            </w:pPr>
            <w:r>
              <w:t xml:space="preserve">Docs only + smoke stories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General/Actions</w:t>
            </w:r>
          </w:p>
        </w:tc>
        <w:tc>
          <w:tcPr/>
          <w:p>
            <w:pPr>
              <w:pStyle w:val="TableText"/>
            </w:pPr>
            <w:r>
              <w:t xml:space="preserve">Button, IconButton, Link</w:t>
            </w:r>
          </w:p>
        </w:tc>
        <w:tc>
          <w:tcPr/>
          <w:p>
            <w:pPr>
              <w:pStyle w:val="TableText"/>
            </w:pPr>
            <w:r>
              <w:t xml:space="preserve">Variants, disabled, loading, keyboard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General/Forms</w:t>
            </w:r>
          </w:p>
        </w:tc>
        <w:tc>
          <w:tcPr/>
          <w:p>
            <w:pPr>
              <w:pStyle w:val="TableText"/>
            </w:pPr>
            <w:r>
              <w:t xml:space="preserve">Inputs, select, combobox, dates, values</w:t>
            </w:r>
          </w:p>
        </w:tc>
        <w:tc>
          <w:tcPr/>
          <w:p>
            <w:pPr>
              <w:pStyle w:val="TableText"/>
            </w:pPr>
            <w:r>
              <w:t xml:space="preserve">Default, error, disabled, readonly, long content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General/Data Display</w:t>
            </w:r>
          </w:p>
        </w:tc>
        <w:tc>
          <w:tcPr/>
          <w:p>
            <w:pPr>
              <w:pStyle w:val="TableText"/>
            </w:pPr>
            <w:r>
              <w:t xml:space="preserve">Badge, chip, table, pagination</w:t>
            </w:r>
          </w:p>
        </w:tc>
        <w:tc>
          <w:tcPr/>
          <w:p>
            <w:pPr>
              <w:pStyle w:val="TableText"/>
            </w:pPr>
            <w:r>
              <w:t xml:space="preserve">Dense, empty, long values, permission-filtered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General/Feedback</w:t>
            </w:r>
          </w:p>
        </w:tc>
        <w:tc>
          <w:tcPr/>
          <w:p>
            <w:pPr>
              <w:pStyle w:val="TableText"/>
            </w:pPr>
            <w:r>
              <w:t xml:space="preserve">Alert, toast, modal, drawer</w:t>
            </w:r>
          </w:p>
        </w:tc>
        <w:tc>
          <w:tcPr/>
          <w:p>
            <w:pPr>
              <w:pStyle w:val="TableText"/>
            </w:pPr>
            <w:r>
              <w:t xml:space="preserve">Severity, focus trap, dismissal, async action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Analytical/Provenance</w:t>
            </w:r>
          </w:p>
        </w:tc>
        <w:tc>
          <w:tcPr/>
          <w:p>
            <w:pPr>
              <w:pStyle w:val="TableText"/>
            </w:pPr>
            <w:r>
              <w:t xml:space="preserve">Citation, provenance, evidence inspector</w:t>
            </w:r>
          </w:p>
        </w:tc>
        <w:tc>
          <w:tcPr/>
          <w:p>
            <w:pPr>
              <w:pStyle w:val="TableText"/>
            </w:pPr>
            <w:r>
              <w:t xml:space="preserve">Complete/missing/restricted/derivative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Analytical/Uncertainty</w:t>
            </w:r>
          </w:p>
        </w:tc>
        <w:tc>
          <w:tcPr/>
          <w:p>
            <w:pPr>
              <w:pStyle w:val="TableText"/>
            </w:pPr>
            <w:r>
              <w:t xml:space="preserve">State badge, confidence, gaps</w:t>
            </w:r>
          </w:p>
        </w:tc>
        <w:tc>
          <w:tcPr/>
          <w:p>
            <w:pPr>
              <w:pStyle w:val="TableText"/>
            </w:pPr>
            <w:r>
              <w:t xml:space="preserve">All epistemic states + accessible labels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Analytical/Entity</w:t>
            </w:r>
          </w:p>
        </w:tc>
        <w:tc>
          <w:tcPr/>
          <w:p>
            <w:pPr>
              <w:pStyle w:val="TableText"/>
            </w:pPr>
            <w:r>
              <w:t xml:space="preserve">Entity card, relationship, asset attribution</w:t>
            </w:r>
          </w:p>
        </w:tc>
        <w:tc>
          <w:tcPr/>
          <w:p>
            <w:pPr>
              <w:pStyle w:val="TableText"/>
            </w:pPr>
            <w:r>
              <w:t xml:space="preserve">Normal/conflicting/disputed/unknown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Analytical/Value Flow</w:t>
            </w:r>
          </w:p>
        </w:tc>
        <w:tc>
          <w:tcPr/>
          <w:p>
            <w:pPr>
              <w:pStyle w:val="TableText"/>
            </w:pPr>
            <w:r>
              <w:t xml:space="preserve">Flow badge, edge, legend, value field</w:t>
            </w:r>
          </w:p>
        </w:tc>
        <w:tc>
          <w:tcPr/>
          <w:p>
            <w:pPr>
              <w:pStyle w:val="TableText"/>
            </w:pPr>
            <w:r>
              <w:t xml:space="preserve">All four classes, grayscale, long chain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Analytical/Reasoning</w:t>
            </w:r>
          </w:p>
        </w:tc>
        <w:tc>
          <w:tcPr/>
          <w:p>
            <w:pPr>
              <w:pStyle w:val="TableText"/>
            </w:pPr>
            <w:r>
              <w:t xml:space="preserve">Hypothesis, evidence matrix, typology, assessment</w:t>
            </w:r>
          </w:p>
        </w:tc>
        <w:tc>
          <w:tcPr/>
          <w:p>
            <w:pPr>
              <w:pStyle w:val="TableText"/>
            </w:pPr>
            <w:r>
              <w:t xml:space="preserve">Support/contradiction/unknown/reviewed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Analytical/Review</w:t>
            </w:r>
          </w:p>
        </w:tc>
        <w:tc>
          <w:tcPr/>
          <w:p>
            <w:pPr>
              <w:pStyle w:val="TableText"/>
            </w:pPr>
            <w:r>
              <w:t xml:space="preserve">Review panel, classification, protected-source marker</w:t>
            </w:r>
          </w:p>
        </w:tc>
        <w:tc>
          <w:tcPr/>
          <w:p>
            <w:pPr>
              <w:pStyle w:val="TableText"/>
            </w:pPr>
            <w:r>
              <w:t xml:space="preserve">Pending/change/approved/rejected/restricted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Patterns</w:t>
            </w:r>
          </w:p>
        </w:tc>
        <w:tc>
          <w:tcPr/>
          <w:p>
            <w:pPr>
              <w:pStyle w:val="TableText"/>
            </w:pPr>
            <w:r>
              <w:t xml:space="preserve">Register/Object/Editor/Workspace/Compare/Review/System</w:t>
            </w:r>
          </w:p>
        </w:tc>
        <w:tc>
          <w:tcPr/>
          <w:p>
            <w:pPr>
              <w:pStyle w:val="TableText"/>
            </w:pPr>
            <w:r>
              <w:t xml:space="preserve">Reference composition stories</w:t>
            </w:r>
          </w:p>
        </w:tc>
      </w:tr>
    </w:tbl>
    <w:bookmarkEnd w:id="20"/>
    <w:bookmarkStart w:id="21" w:name="X2fcc65df8a23f7a08c1983b6c5e9455ef808cd5"/>
    <w:p>
      <w:pPr>
        <w:pStyle w:val="Heading1"/>
      </w:pPr>
      <w:r>
        <w:t xml:space="preserve">9. Required Story Set Per Component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4"/>
        <w:gridCol w:w="6285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Story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Requirement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Default</w:t>
            </w:r>
          </w:p>
        </w:tc>
        <w:tc>
          <w:tcPr/>
          <w:p>
            <w:pPr>
              <w:pStyle w:val="TableText"/>
            </w:pPr>
            <w:r>
              <w:t xml:space="preserve">Representative normal state with realistic but synthetic safe fixture data.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Variants</w:t>
            </w:r>
          </w:p>
        </w:tc>
        <w:tc>
          <w:tcPr/>
          <w:p>
            <w:pPr>
              <w:pStyle w:val="TableText"/>
            </w:pPr>
            <w:r>
              <w:t xml:space="preserve">Every public semantic variant, including all analytical states.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Interactive</w:t>
            </w:r>
          </w:p>
        </w:tc>
        <w:tc>
          <w:tcPr/>
          <w:p>
            <w:pPr>
              <w:pStyle w:val="TableText"/>
            </w:pPr>
            <w:r>
              <w:t xml:space="preserve">User-visible interaction tested via play function where meaningful.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Keyboard</w:t>
            </w:r>
          </w:p>
        </w:tc>
        <w:tc>
          <w:tcPr/>
          <w:p>
            <w:pPr>
              <w:pStyle w:val="TableText"/>
            </w:pPr>
            <w:r>
              <w:t xml:space="preserve">Focus order and keyboard operation demonstrated for complex interactive components.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Error / invalid</w:t>
            </w:r>
          </w:p>
        </w:tc>
        <w:tc>
          <w:tcPr/>
          <w:p>
            <w:pPr>
              <w:pStyle w:val="TableText"/>
            </w:pPr>
            <w:r>
              <w:t xml:space="preserve">Validation or failure state where applicable.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Loading / pending</w:t>
            </w:r>
          </w:p>
        </w:tc>
        <w:tc>
          <w:tcPr/>
          <w:p>
            <w:pPr>
              <w:pStyle w:val="TableText"/>
            </w:pPr>
            <w:r>
              <w:t xml:space="preserve">Async state where applicable.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Empty / unknown</w:t>
            </w:r>
          </w:p>
        </w:tc>
        <w:tc>
          <w:tcPr/>
          <w:p>
            <w:pPr>
              <w:pStyle w:val="TableText"/>
            </w:pPr>
            <w:r>
              <w:t xml:space="preserve">Unknown and missing data distinct from zero/false.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Readonly / approved</w:t>
            </w:r>
          </w:p>
        </w:tc>
        <w:tc>
          <w:tcPr/>
          <w:p>
            <w:pPr>
              <w:pStyle w:val="TableText"/>
            </w:pPr>
            <w:r>
              <w:t xml:space="preserve">Immutable/read-only state where applicable.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Restricted</w:t>
            </w:r>
          </w:p>
        </w:tc>
        <w:tc>
          <w:tcPr/>
          <w:p>
            <w:pPr>
              <w:pStyle w:val="TableText"/>
            </w:pPr>
            <w:r>
              <w:t xml:space="preserve">Permission-safe withheld state for security-sensitive components.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Long content</w:t>
            </w:r>
          </w:p>
        </w:tc>
        <w:tc>
          <w:tcPr/>
          <w:p>
            <w:pPr>
              <w:pStyle w:val="TableText"/>
            </w:pPr>
            <w:r>
              <w:t xml:space="preserve">Long names, identifiers, citations, translations, and wrapped labels.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Narrow viewport</w:t>
            </w:r>
          </w:p>
        </w:tc>
        <w:tc>
          <w:tcPr/>
          <w:p>
            <w:pPr>
              <w:pStyle w:val="TableText"/>
            </w:pPr>
            <w:r>
              <w:t xml:space="preserve">Component behavior under constrained width.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High contrast / grayscale</w:t>
            </w:r>
          </w:p>
        </w:tc>
        <w:tc>
          <w:tcPr/>
          <w:p>
            <w:pPr>
              <w:pStyle w:val="TableText"/>
            </w:pPr>
            <w:r>
              <w:t xml:space="preserve">Critical analytical semantics remain understandable without normal color perception.</w:t>
            </w:r>
          </w:p>
        </w:tc>
      </w:tr>
    </w:tbl>
    <w:p>
      <w:pPr>
        <w:pStyle w:val="BodyText"/>
      </w:pPr>
      <w:r>
        <w:rPr>
          <w:b/>
          <w:bCs/>
        </w:rPr>
        <w:t xml:space="preserve">CISB-030 —</w:t>
      </w:r>
      <w:r>
        <w:t xml:space="preserve"> </w:t>
      </w:r>
      <w:r>
        <w:t xml:space="preserve">A P0 component is not Storybook-complete if only a default happy-path story exists.</w:t>
      </w:r>
    </w:p>
    <w:p>
      <w:pPr>
        <w:pStyle w:val="BodyText"/>
      </w:pPr>
      <w:r>
        <w:rPr>
          <w:b/>
          <w:bCs/>
        </w:rPr>
        <w:t xml:space="preserve">CISB-031 —</w:t>
      </w:r>
      <w:r>
        <w:t xml:space="preserve"> </w:t>
      </w:r>
      <w:r>
        <w:t xml:space="preserve">Fixtures SHALL be synthetic and SHALL NOT include protected-source identities or copied sensitive production evidence.</w:t>
      </w:r>
    </w:p>
    <w:bookmarkEnd w:id="21"/>
    <w:bookmarkStart w:id="30" w:name="Xb4b8e9c317e99fdd4d67ac99fad5ff52bb28e0b"/>
    <w:p>
      <w:pPr>
        <w:pStyle w:val="Heading1"/>
      </w:pPr>
      <w:r>
        <w:t xml:space="preserve">10. Critical Analytical Story Matrices</w:t>
      </w:r>
    </w:p>
    <w:bookmarkStart w:id="22" w:name="analyticalstatebadge"/>
    <w:p>
      <w:pPr>
        <w:pStyle w:val="Heading2"/>
      </w:pPr>
      <w:r>
        <w:t xml:space="preserve">AnalyticalStateBadge</w:t>
      </w:r>
    </w:p>
    <w:p>
      <w:pPr>
        <w:numPr>
          <w:ilvl w:val="0"/>
          <w:numId w:val="1002"/>
        </w:numPr>
      </w:pPr>
      <w:r>
        <w:t xml:space="preserve">Claim</w:t>
      </w:r>
    </w:p>
    <w:p>
      <w:pPr>
        <w:numPr>
          <w:ilvl w:val="0"/>
          <w:numId w:val="1002"/>
        </w:numPr>
      </w:pPr>
      <w:r>
        <w:t xml:space="preserve">Fact</w:t>
      </w:r>
    </w:p>
    <w:p>
      <w:pPr>
        <w:numPr>
          <w:ilvl w:val="0"/>
          <w:numId w:val="1002"/>
        </w:numPr>
      </w:pPr>
      <w:r>
        <w:t xml:space="preserve">Inference</w:t>
      </w:r>
    </w:p>
    <w:p>
      <w:pPr>
        <w:numPr>
          <w:ilvl w:val="0"/>
          <w:numId w:val="1002"/>
        </w:numPr>
      </w:pPr>
      <w:r>
        <w:t xml:space="preserve">Candidate</w:t>
      </w:r>
    </w:p>
    <w:p>
      <w:pPr>
        <w:numPr>
          <w:ilvl w:val="0"/>
          <w:numId w:val="1002"/>
        </w:numPr>
      </w:pPr>
      <w:r>
        <w:t xml:space="preserve">Disputed</w:t>
      </w:r>
    </w:p>
    <w:p>
      <w:pPr>
        <w:numPr>
          <w:ilvl w:val="0"/>
          <w:numId w:val="1002"/>
        </w:numPr>
      </w:pPr>
      <w:r>
        <w:t xml:space="preserve">Unknown</w:t>
      </w:r>
    </w:p>
    <w:p>
      <w:pPr>
        <w:numPr>
          <w:ilvl w:val="0"/>
          <w:numId w:val="1002"/>
        </w:numPr>
      </w:pPr>
      <w:r>
        <w:t xml:space="preserve">With icon hidden (a11y name preserved)</w:t>
      </w:r>
    </w:p>
    <w:p>
      <w:pPr>
        <w:numPr>
          <w:ilvl w:val="0"/>
          <w:numId w:val="1002"/>
        </w:numPr>
      </w:pPr>
      <w:r>
        <w:t xml:space="preserve">Grayscale</w:t>
      </w:r>
    </w:p>
    <w:bookmarkEnd w:id="22"/>
    <w:bookmarkStart w:id="23" w:name="flowclassbadge--graphedge"/>
    <w:p>
      <w:pPr>
        <w:pStyle w:val="Heading2"/>
      </w:pPr>
      <w:r>
        <w:t xml:space="preserve">FlowClassBadge / GraphEdge</w:t>
      </w:r>
    </w:p>
    <w:p>
      <w:pPr>
        <w:numPr>
          <w:ilvl w:val="0"/>
          <w:numId w:val="1003"/>
        </w:numPr>
      </w:pPr>
      <w:r>
        <w:t xml:space="preserve">DIRECT</w:t>
      </w:r>
    </w:p>
    <w:p>
      <w:pPr>
        <w:numPr>
          <w:ilvl w:val="0"/>
          <w:numId w:val="1003"/>
        </w:numPr>
      </w:pPr>
      <w:r>
        <w:t xml:space="preserve">DOCUMENTED</w:t>
      </w:r>
    </w:p>
    <w:p>
      <w:pPr>
        <w:numPr>
          <w:ilvl w:val="0"/>
          <w:numId w:val="1003"/>
        </w:numPr>
      </w:pPr>
      <w:r>
        <w:t xml:space="preserve">RECONSTRUCTED</w:t>
      </w:r>
    </w:p>
    <w:p>
      <w:pPr>
        <w:numPr>
          <w:ilvl w:val="0"/>
          <w:numId w:val="1003"/>
        </w:numPr>
      </w:pPr>
      <w:r>
        <w:t xml:space="preserve">HYPOTHETICAL</w:t>
      </w:r>
    </w:p>
    <w:p>
      <w:pPr>
        <w:numPr>
          <w:ilvl w:val="0"/>
          <w:numId w:val="1003"/>
        </w:numPr>
      </w:pPr>
      <w:r>
        <w:t xml:space="preserve">Mixed flow legend</w:t>
      </w:r>
    </w:p>
    <w:p>
      <w:pPr>
        <w:numPr>
          <w:ilvl w:val="0"/>
          <w:numId w:val="1003"/>
        </w:numPr>
      </w:pPr>
      <w:r>
        <w:t xml:space="preserve">Grayscale/print</w:t>
      </w:r>
    </w:p>
    <w:p>
      <w:pPr>
        <w:numPr>
          <w:ilvl w:val="0"/>
          <w:numId w:val="1003"/>
        </w:numPr>
      </w:pPr>
      <w:r>
        <w:t xml:space="preserve">Unknown amount</w:t>
      </w:r>
    </w:p>
    <w:p>
      <w:pPr>
        <w:numPr>
          <w:ilvl w:val="0"/>
          <w:numId w:val="1003"/>
        </w:numPr>
      </w:pPr>
      <w:r>
        <w:t xml:space="preserve">Range amount</w:t>
      </w:r>
    </w:p>
    <w:bookmarkEnd w:id="23"/>
    <w:bookmarkStart w:id="24" w:name="confidencebadge-v011--a09"/>
    <w:p>
      <w:pPr>
        <w:pStyle w:val="Heading2"/>
      </w:pPr>
      <w:r>
        <w:t xml:space="preserve">ConfidenceBadge</w:t>
      </w:r>
      <w:r>
        <w:t xml:space="preserve"> </w:t>
      </w:r>
      <w:r>
        <w:rPr>
          <w:i/>
          <w:iCs/>
        </w:rPr>
        <w:t xml:space="preserve">[v0.1.1 · A09]</w:t>
      </w:r>
    </w:p>
    <w:p>
      <w:pPr>
        <w:numPr>
          <w:ilvl w:val="0"/>
          <w:numId w:val="1004"/>
        </w:numPr>
      </w:pPr>
      <w:r>
        <w:t xml:space="preserve">High (</w:t>
      </w:r>
      <w:r>
        <w:rPr>
          <w:rStyle w:val="VerbatimChar"/>
        </w:rPr>
        <w:t xml:space="preserve">HIGH</w:t>
      </w:r>
      <w:r>
        <w:t xml:space="preserve">)</w:t>
      </w:r>
    </w:p>
    <w:p>
      <w:pPr>
        <w:numPr>
          <w:ilvl w:val="0"/>
          <w:numId w:val="1004"/>
        </w:numPr>
      </w:pPr>
      <w:r>
        <w:t xml:space="preserve">Moderate (</w:t>
      </w:r>
      <w:r>
        <w:rPr>
          <w:rStyle w:val="VerbatimChar"/>
        </w:rPr>
        <w:t xml:space="preserve">MODERATE</w:t>
      </w:r>
      <w:r>
        <w:t xml:space="preserve">)</w:t>
      </w:r>
    </w:p>
    <w:p>
      <w:pPr>
        <w:numPr>
          <w:ilvl w:val="0"/>
          <w:numId w:val="1004"/>
        </w:numPr>
      </w:pPr>
      <w:r>
        <w:t xml:space="preserve">Low (</w:t>
      </w:r>
      <w:r>
        <w:rPr>
          <w:rStyle w:val="VerbatimChar"/>
        </w:rPr>
        <w:t xml:space="preserve">LOW</w:t>
      </w:r>
      <w:r>
        <w:t xml:space="preserve">)</w:t>
      </w:r>
    </w:p>
    <w:p>
      <w:pPr>
        <w:numPr>
          <w:ilvl w:val="0"/>
          <w:numId w:val="1004"/>
        </w:numPr>
      </w:pPr>
      <w:r>
        <w:t xml:space="preserve">Insufficient basis (</w:t>
      </w:r>
      <w:r>
        <w:rPr>
          <w:rStyle w:val="VerbatimChar"/>
        </w:rPr>
        <w:t xml:space="preserve">INSUFFICIENT_BASIS</w:t>
      </w:r>
      <w:r>
        <w:t xml:space="preserve">) — neutral treatment, visibly not a level below Low</w:t>
      </w:r>
    </w:p>
    <w:p>
      <w:pPr>
        <w:numPr>
          <w:ilvl w:val="0"/>
          <w:numId w:val="1004"/>
        </w:numPr>
      </w:pPr>
      <w:r>
        <w:t xml:space="preserve">Not yet assessed (draft, null level) — distinct from Insufficient basis</w:t>
      </w:r>
    </w:p>
    <w:p>
      <w:pPr>
        <w:numPr>
          <w:ilvl w:val="0"/>
          <w:numId w:val="1004"/>
        </w:numPr>
      </w:pPr>
      <w:r>
        <w:t xml:space="preserve">Rationale expanded / collapsed</w:t>
      </w:r>
    </w:p>
    <w:p>
      <w:pPr>
        <w:numPr>
          <w:ilvl w:val="0"/>
          <w:numId w:val="1004"/>
        </w:numPr>
      </w:pPr>
      <w:r>
        <w:t xml:space="preserve">Grayscale</w:t>
      </w:r>
    </w:p>
    <w:bookmarkEnd w:id="24"/>
    <w:bookmarkStart w:id="25" w:name="X07734aa76d0ac35233f25f10327b995e7196f21"/>
    <w:p>
      <w:pPr>
        <w:pStyle w:val="Heading2"/>
      </w:pPr>
      <w:r>
        <w:t xml:space="preserve">ClassificationBanner / classification Badge</w:t>
      </w:r>
      <w:r>
        <w:t xml:space="preserve"> </w:t>
      </w:r>
      <w:r>
        <w:rPr>
          <w:i/>
          <w:iCs/>
        </w:rPr>
        <w:t xml:space="preserve">[v0.1.1 · A08]</w:t>
      </w:r>
    </w:p>
    <w:p>
      <w:pPr>
        <w:numPr>
          <w:ilvl w:val="0"/>
          <w:numId w:val="1005"/>
        </w:numPr>
      </w:pPr>
      <w:r>
        <w:t xml:space="preserve">Public (</w:t>
      </w:r>
      <w:r>
        <w:rPr>
          <w:rStyle w:val="VerbatimChar"/>
        </w:rPr>
        <w:t xml:space="preserve">PUBLIC</w:t>
      </w:r>
      <w:r>
        <w:t xml:space="preserve">)</w:t>
      </w:r>
    </w:p>
    <w:p>
      <w:pPr>
        <w:numPr>
          <w:ilvl w:val="0"/>
          <w:numId w:val="1005"/>
        </w:numPr>
      </w:pPr>
      <w:r>
        <w:t xml:space="preserve">Internal (</w:t>
      </w:r>
      <w:r>
        <w:rPr>
          <w:rStyle w:val="VerbatimChar"/>
        </w:rPr>
        <w:t xml:space="preserve">INTERNAL</w:t>
      </w:r>
      <w:r>
        <w:t xml:space="preserve">)</w:t>
      </w:r>
    </w:p>
    <w:p>
      <w:pPr>
        <w:numPr>
          <w:ilvl w:val="0"/>
          <w:numId w:val="1005"/>
        </w:numPr>
      </w:pPr>
      <w:r>
        <w:t xml:space="preserve">Sensitive (</w:t>
      </w:r>
      <w:r>
        <w:rPr>
          <w:rStyle w:val="VerbatimChar"/>
        </w:rPr>
        <w:t xml:space="preserve">SENSITIVE</w:t>
      </w:r>
      <w:r>
        <w:t xml:space="preserve">)</w:t>
      </w:r>
    </w:p>
    <w:p>
      <w:pPr>
        <w:numPr>
          <w:ilvl w:val="0"/>
          <w:numId w:val="1005"/>
        </w:numPr>
      </w:pPr>
      <w:r>
        <w:t xml:space="preserve">Restricted (</w:t>
      </w:r>
      <w:r>
        <w:rPr>
          <w:rStyle w:val="VerbatimChar"/>
        </w:rPr>
        <w:t xml:space="preserve">RESTRICTED</w:t>
      </w:r>
      <w:r>
        <w:t xml:space="preserve">)</w:t>
      </w:r>
    </w:p>
    <w:p>
      <w:pPr>
        <w:numPr>
          <w:ilvl w:val="0"/>
          <w:numId w:val="1005"/>
        </w:numPr>
      </w:pPr>
      <w:r>
        <w:t xml:space="preserve">Source-protected (</w:t>
      </w:r>
      <w:r>
        <w:rPr>
          <w:rStyle w:val="VerbatimChar"/>
        </w:rPr>
        <w:t xml:space="preserve">SOURCE_PROTECTED</w:t>
      </w:r>
      <w:r>
        <w:t xml:space="preserve">) — no source identity in label, tooltip or DOM</w:t>
      </w:r>
    </w:p>
    <w:p>
      <w:pPr>
        <w:numPr>
          <w:ilvl w:val="0"/>
          <w:numId w:val="1005"/>
        </w:numPr>
      </w:pPr>
      <w:r>
        <w:t xml:space="preserve">With additive access labels (e.g. embargo, legal-review)</w:t>
      </w:r>
    </w:p>
    <w:p>
      <w:pPr>
        <w:numPr>
          <w:ilvl w:val="0"/>
          <w:numId w:val="1005"/>
        </w:numPr>
      </w:pPr>
      <w:r>
        <w:t xml:space="preserve">Classification missing (fail-closed state)</w:t>
      </w:r>
    </w:p>
    <w:p>
      <w:pPr>
        <w:numPr>
          <w:ilvl w:val="0"/>
          <w:numId w:val="1005"/>
        </w:numPr>
      </w:pPr>
      <w:r>
        <w:t xml:space="preserve">Grayscale</w:t>
      </w:r>
    </w:p>
    <w:bookmarkEnd w:id="25"/>
    <w:bookmarkStart w:id="26" w:name="evidencecitation"/>
    <w:p>
      <w:pPr>
        <w:pStyle w:val="Heading2"/>
      </w:pPr>
      <w:r>
        <w:t xml:space="preserve">EvidenceCitation</w:t>
      </w:r>
    </w:p>
    <w:p>
      <w:pPr>
        <w:numPr>
          <w:ilvl w:val="0"/>
          <w:numId w:val="1006"/>
        </w:numPr>
      </w:pPr>
      <w:r>
        <w:t xml:space="preserve">Page citation</w:t>
      </w:r>
    </w:p>
    <w:p>
      <w:pPr>
        <w:numPr>
          <w:ilvl w:val="0"/>
          <w:numId w:val="1006"/>
        </w:numPr>
      </w:pPr>
      <w:r>
        <w:t xml:space="preserve">Paragraph citation</w:t>
      </w:r>
    </w:p>
    <w:p>
      <w:pPr>
        <w:numPr>
          <w:ilvl w:val="0"/>
          <w:numId w:val="1006"/>
        </w:numPr>
      </w:pPr>
      <w:r>
        <w:t xml:space="preserve">Region citation</w:t>
      </w:r>
    </w:p>
    <w:p>
      <w:pPr>
        <w:numPr>
          <w:ilvl w:val="0"/>
          <w:numId w:val="1006"/>
        </w:numPr>
      </w:pPr>
      <w:r>
        <w:t xml:space="preserve">Derivative citation</w:t>
      </w:r>
    </w:p>
    <w:p>
      <w:pPr>
        <w:numPr>
          <w:ilvl w:val="0"/>
          <w:numId w:val="1006"/>
        </w:numPr>
      </w:pPr>
      <w:r>
        <w:t xml:space="preserve">Restricted evidence</w:t>
      </w:r>
    </w:p>
    <w:p>
      <w:pPr>
        <w:numPr>
          <w:ilvl w:val="0"/>
          <w:numId w:val="1006"/>
        </w:numPr>
      </w:pPr>
      <w:r>
        <w:t xml:space="preserve">Missing parent warning</w:t>
      </w:r>
    </w:p>
    <w:p>
      <w:pPr>
        <w:numPr>
          <w:ilvl w:val="0"/>
          <w:numId w:val="1006"/>
        </w:numPr>
      </w:pPr>
      <w:r>
        <w:t xml:space="preserve">Very long title</w:t>
      </w:r>
    </w:p>
    <w:bookmarkEnd w:id="26"/>
    <w:bookmarkStart w:id="27" w:name="entitysummarycard"/>
    <w:p>
      <w:pPr>
        <w:pStyle w:val="Heading2"/>
      </w:pPr>
      <w:r>
        <w:t xml:space="preserve">EntitySummaryCard</w:t>
      </w:r>
    </w:p>
    <w:p>
      <w:pPr>
        <w:numPr>
          <w:ilvl w:val="0"/>
          <w:numId w:val="1007"/>
        </w:numPr>
      </w:pPr>
      <w:r>
        <w:t xml:space="preserve">Person</w:t>
      </w:r>
    </w:p>
    <w:p>
      <w:pPr>
        <w:numPr>
          <w:ilvl w:val="0"/>
          <w:numId w:val="1007"/>
        </w:numPr>
      </w:pPr>
      <w:r>
        <w:t xml:space="preserve">Company</w:t>
      </w:r>
    </w:p>
    <w:p>
      <w:pPr>
        <w:numPr>
          <w:ilvl w:val="0"/>
          <w:numId w:val="1007"/>
        </w:numPr>
      </w:pPr>
      <w:r>
        <w:t xml:space="preserve">Organization</w:t>
      </w:r>
    </w:p>
    <w:p>
      <w:pPr>
        <w:numPr>
          <w:ilvl w:val="0"/>
          <w:numId w:val="1007"/>
        </w:numPr>
      </w:pPr>
      <w:r>
        <w:t xml:space="preserve">Wallet</w:t>
      </w:r>
    </w:p>
    <w:p>
      <w:pPr>
        <w:numPr>
          <w:ilvl w:val="0"/>
          <w:numId w:val="1007"/>
        </w:numPr>
      </w:pPr>
      <w:r>
        <w:t xml:space="preserve">Disputed identity</w:t>
      </w:r>
    </w:p>
    <w:p>
      <w:pPr>
        <w:numPr>
          <w:ilvl w:val="0"/>
          <w:numId w:val="1007"/>
        </w:numPr>
      </w:pPr>
      <w:r>
        <w:t xml:space="preserve">Unresolved identity</w:t>
      </w:r>
    </w:p>
    <w:p>
      <w:pPr>
        <w:numPr>
          <w:ilvl w:val="0"/>
          <w:numId w:val="1007"/>
        </w:numPr>
      </w:pPr>
      <w:r>
        <w:t xml:space="preserve">Long aliases</w:t>
      </w:r>
    </w:p>
    <w:p>
      <w:pPr>
        <w:numPr>
          <w:ilvl w:val="0"/>
          <w:numId w:val="1007"/>
        </w:numPr>
      </w:pPr>
      <w:r>
        <w:t xml:space="preserve">Restricted identifiers</w:t>
      </w:r>
    </w:p>
    <w:bookmarkEnd w:id="27"/>
    <w:bookmarkStart w:id="28" w:name="evidencebalancematrix"/>
    <w:p>
      <w:pPr>
        <w:pStyle w:val="Heading2"/>
      </w:pPr>
      <w:r>
        <w:t xml:space="preserve">EvidenceBalanceMatrix</w:t>
      </w:r>
    </w:p>
    <w:p>
      <w:pPr>
        <w:numPr>
          <w:ilvl w:val="0"/>
          <w:numId w:val="1008"/>
        </w:numPr>
      </w:pPr>
      <w:r>
        <w:t xml:space="preserve">Balanced</w:t>
      </w:r>
    </w:p>
    <w:p>
      <w:pPr>
        <w:numPr>
          <w:ilvl w:val="0"/>
          <w:numId w:val="1008"/>
        </w:numPr>
      </w:pPr>
      <w:r>
        <w:t xml:space="preserve">Support-heavy</w:t>
      </w:r>
    </w:p>
    <w:p>
      <w:pPr>
        <w:numPr>
          <w:ilvl w:val="0"/>
          <w:numId w:val="1008"/>
        </w:numPr>
      </w:pPr>
      <w:r>
        <w:t xml:space="preserve">Contradiction-heavy</w:t>
      </w:r>
    </w:p>
    <w:p>
      <w:pPr>
        <w:numPr>
          <w:ilvl w:val="0"/>
          <w:numId w:val="1008"/>
        </w:numPr>
      </w:pPr>
      <w:r>
        <w:t xml:space="preserve">Unknown-heavy</w:t>
      </w:r>
    </w:p>
    <w:p>
      <w:pPr>
        <w:numPr>
          <w:ilvl w:val="0"/>
          <w:numId w:val="1008"/>
        </w:numPr>
      </w:pPr>
      <w:r>
        <w:t xml:space="preserve">No evidence</w:t>
      </w:r>
    </w:p>
    <w:p>
      <w:pPr>
        <w:numPr>
          <w:ilvl w:val="0"/>
          <w:numId w:val="1008"/>
        </w:numPr>
      </w:pPr>
      <w:r>
        <w:t xml:space="preserve">Keyboard navigation</w:t>
      </w:r>
    </w:p>
    <w:bookmarkEnd w:id="28"/>
    <w:bookmarkStart w:id="29" w:name="reviewdecisionpanel"/>
    <w:p>
      <w:pPr>
        <w:pStyle w:val="Heading2"/>
      </w:pPr>
      <w:r>
        <w:t xml:space="preserve">ReviewDecisionPanel</w:t>
      </w:r>
    </w:p>
    <w:p>
      <w:pPr>
        <w:numPr>
          <w:ilvl w:val="0"/>
          <w:numId w:val="1009"/>
        </w:numPr>
      </w:pPr>
      <w:r>
        <w:t xml:space="preserve">Pending</w:t>
      </w:r>
    </w:p>
    <w:p>
      <w:pPr>
        <w:numPr>
          <w:ilvl w:val="0"/>
          <w:numId w:val="1009"/>
        </w:numPr>
      </w:pPr>
      <w:r>
        <w:t xml:space="preserve">Changes requested</w:t>
      </w:r>
    </w:p>
    <w:p>
      <w:pPr>
        <w:numPr>
          <w:ilvl w:val="0"/>
          <w:numId w:val="1009"/>
        </w:numPr>
      </w:pPr>
      <w:r>
        <w:t xml:space="preserve">Approved</w:t>
      </w:r>
    </w:p>
    <w:p>
      <w:pPr>
        <w:numPr>
          <w:ilvl w:val="0"/>
          <w:numId w:val="1009"/>
        </w:numPr>
      </w:pPr>
      <w:r>
        <w:t xml:space="preserve">Rejected</w:t>
      </w:r>
    </w:p>
    <w:p>
      <w:pPr>
        <w:numPr>
          <w:ilvl w:val="0"/>
          <w:numId w:val="1009"/>
        </w:numPr>
      </w:pPr>
      <w:r>
        <w:t xml:space="preserve">Self-approval blocked</w:t>
      </w:r>
    </w:p>
    <w:p>
      <w:pPr>
        <w:numPr>
          <w:ilvl w:val="0"/>
          <w:numId w:val="1009"/>
        </w:numPr>
      </w:pPr>
      <w:r>
        <w:t xml:space="preserve">Saving</w:t>
      </w:r>
    </w:p>
    <w:p>
      <w:pPr>
        <w:numPr>
          <w:ilvl w:val="0"/>
          <w:numId w:val="1009"/>
        </w:numPr>
      </w:pPr>
      <w:r>
        <w:t xml:space="preserve">Permission denied</w:t>
      </w:r>
    </w:p>
    <w:bookmarkEnd w:id="29"/>
    <w:bookmarkEnd w:id="30"/>
    <w:bookmarkStart w:id="31" w:name="X021ba6005f0d214bb58a6ec078bf94acd80af97"/>
    <w:p>
      <w:pPr>
        <w:pStyle w:val="Heading1"/>
      </w:pPr>
      <w:r>
        <w:t xml:space="preserve">11. Testing Strategy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1"/>
        <w:gridCol w:w="2601"/>
        <w:gridCol w:w="3957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Test layer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Tooling expectation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Scope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Type/static</w:t>
            </w:r>
          </w:p>
        </w:tc>
        <w:tc>
          <w:tcPr/>
          <w:p>
            <w:pPr>
              <w:pStyle w:val="TableText"/>
            </w:pPr>
            <w:r>
              <w:t xml:space="preserve">TypeScript + lint</w:t>
            </w:r>
          </w:p>
        </w:tc>
        <w:tc>
          <w:tcPr/>
          <w:p>
            <w:pPr>
              <w:pStyle w:val="TableText"/>
            </w:pPr>
            <w:r>
              <w:t xml:space="preserve">Public props, enum exhaustiveness, import boundaries.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Unit</w:t>
            </w:r>
          </w:p>
        </w:tc>
        <w:tc>
          <w:tcPr/>
          <w:p>
            <w:pPr>
              <w:pStyle w:val="TableText"/>
            </w:pPr>
            <w:r>
              <w:t xml:space="preserve">Vitest/Jest equivalent</w:t>
            </w:r>
          </w:p>
        </w:tc>
        <w:tc>
          <w:tcPr/>
          <w:p>
            <w:pPr>
              <w:pStyle w:val="TableText"/>
            </w:pPr>
            <w:r>
              <w:t xml:space="preserve">Pure rendering logic, formatting, variant mapping.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Interaction</w:t>
            </w:r>
          </w:p>
        </w:tc>
        <w:tc>
          <w:tcPr/>
          <w:p>
            <w:pPr>
              <w:pStyle w:val="TableText"/>
            </w:pPr>
            <w:r>
              <w:t xml:space="preserve">Storybook test/play + Testing Library</w:t>
            </w:r>
          </w:p>
        </w:tc>
        <w:tc>
          <w:tcPr/>
          <w:p>
            <w:pPr>
              <w:pStyle w:val="TableText"/>
            </w:pPr>
            <w:r>
              <w:t xml:space="preserve">Keyboard, click, validation, dialogs, menus, async states.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Accessibility</w:t>
            </w:r>
          </w:p>
        </w:tc>
        <w:tc>
          <w:tcPr/>
          <w:p>
            <w:pPr>
              <w:pStyle w:val="TableText"/>
            </w:pPr>
            <w:r>
              <w:t xml:space="preserve">axe integration + manual keyboard/screen-reader checks</w:t>
            </w:r>
          </w:p>
        </w:tc>
        <w:tc>
          <w:tcPr/>
          <w:p>
            <w:pPr>
              <w:pStyle w:val="TableText"/>
            </w:pPr>
            <w:r>
              <w:t xml:space="preserve">P0 shared components and critical compound patterns.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Visual regression</w:t>
            </w:r>
          </w:p>
        </w:tc>
        <w:tc>
          <w:tcPr/>
          <w:p>
            <w:pPr>
              <w:pStyle w:val="TableText"/>
            </w:pPr>
            <w:r>
              <w:t xml:space="preserve">Chromatic/Percy/self-hosted equivalent</w:t>
            </w:r>
          </w:p>
        </w:tc>
        <w:tc>
          <w:tcPr/>
          <w:p>
            <w:pPr>
              <w:pStyle w:val="TableText"/>
            </w:pPr>
            <w:r>
              <w:t xml:space="preserve">Stable stories at reference viewports, especially analytical semantics.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Integration</w:t>
            </w:r>
          </w:p>
        </w:tc>
        <w:tc>
          <w:tcPr/>
          <w:p>
            <w:pPr>
              <w:pStyle w:val="TableText"/>
            </w:pPr>
            <w:r>
              <w:t xml:space="preserve">Application test suite</w:t>
            </w:r>
          </w:p>
        </w:tc>
        <w:tc>
          <w:tcPr/>
          <w:p>
            <w:pPr>
              <w:pStyle w:val="TableText"/>
            </w:pPr>
            <w:r>
              <w:t xml:space="preserve">Data binding, permissions, routing, server-side authorization.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E2E</w:t>
            </w:r>
          </w:p>
        </w:tc>
        <w:tc>
          <w:tcPr/>
          <w:p>
            <w:pPr>
              <w:pStyle w:val="TableText"/>
            </w:pPr>
            <w:r>
              <w:t xml:space="preserve">Playwright/equivalent</w:t>
            </w:r>
          </w:p>
        </w:tc>
        <w:tc>
          <w:tcPr/>
          <w:p>
            <w:pPr>
              <w:pStyle w:val="TableText"/>
            </w:pPr>
            <w:r>
              <w:t xml:space="preserve">Critical user journeys across composed screens.</w:t>
            </w:r>
          </w:p>
        </w:tc>
      </w:tr>
    </w:tbl>
    <w:p>
      <w:pPr>
        <w:pStyle w:val="BodyText"/>
      </w:pPr>
      <w:r>
        <w:rPr>
          <w:b/>
          <w:bCs/>
        </w:rPr>
        <w:t xml:space="preserve">CISB-040 —</w:t>
      </w:r>
      <w:r>
        <w:t xml:space="preserve"> </w:t>
      </w:r>
      <w:r>
        <w:t xml:space="preserve">Visual regression approval SHALL require semantic review when a change affects analytical-state, confidence, provenance, classification, or value-flow presentation.</w:t>
      </w:r>
    </w:p>
    <w:p>
      <w:pPr>
        <w:pStyle w:val="BodyText"/>
      </w:pPr>
      <w:r>
        <w:rPr>
          <w:b/>
          <w:bCs/>
        </w:rPr>
        <w:t xml:space="preserve">CISB-041 —</w:t>
      </w:r>
      <w:r>
        <w:t xml:space="preserve"> </w:t>
      </w:r>
      <w:r>
        <w:t xml:space="preserve">A pixel-diff approval SHALL NOT override a normative semantic violation.</w:t>
      </w:r>
    </w:p>
    <w:bookmarkEnd w:id="31"/>
    <w:bookmarkStart w:id="32" w:name="X1caf144ee18cf7f7edfa316c306fcc6e61a5f59"/>
    <w:p>
      <w:pPr>
        <w:pStyle w:val="Heading1"/>
      </w:pPr>
      <w:r>
        <w:t xml:space="preserve">12. Storybook Viewport Baseline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1753"/>
        <w:gridCol w:w="4809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Viewport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Reference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Use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Desktop review</w:t>
            </w:r>
          </w:p>
        </w:tc>
        <w:tc>
          <w:tcPr/>
          <w:p>
            <w:pPr>
              <w:pStyle w:val="TableText"/>
            </w:pPr>
            <w:r>
              <w:t xml:space="preserve">1440 × 900</w:t>
            </w:r>
          </w:p>
        </w:tc>
        <w:tc>
          <w:tcPr/>
          <w:p>
            <w:pPr>
              <w:pStyle w:val="TableText"/>
            </w:pPr>
            <w:r>
              <w:t xml:space="preserve">Primary high-fidelity composition and data-density review.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Laptop</w:t>
            </w:r>
          </w:p>
        </w:tc>
        <w:tc>
          <w:tcPr/>
          <w:p>
            <w:pPr>
              <w:pStyle w:val="TableText"/>
            </w:pPr>
            <w:r>
              <w:t xml:space="preserve">1280 × 800</w:t>
            </w:r>
          </w:p>
        </w:tc>
        <w:tc>
          <w:tcPr/>
          <w:p>
            <w:pPr>
              <w:pStyle w:val="TableText"/>
            </w:pPr>
            <w:r>
              <w:t xml:space="preserve">Constrained desktop and common field laptop.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Tablet landscape</w:t>
            </w:r>
          </w:p>
        </w:tc>
        <w:tc>
          <w:tcPr/>
          <w:p>
            <w:pPr>
              <w:pStyle w:val="TableText"/>
            </w:pPr>
            <w:r>
              <w:t xml:space="preserve">1024 × 768</w:t>
            </w:r>
          </w:p>
        </w:tc>
        <w:tc>
          <w:tcPr/>
          <w:p>
            <w:pPr>
              <w:pStyle w:val="TableText"/>
            </w:pPr>
            <w:r>
              <w:t xml:space="preserve">Collapsed secondary rails and adaptive analytical workspaces.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Narrow</w:t>
            </w:r>
          </w:p>
        </w:tc>
        <w:tc>
          <w:tcPr/>
          <w:p>
            <w:pPr>
              <w:pStyle w:val="TableText"/>
            </w:pPr>
            <w:r>
              <w:t xml:space="preserve">768 px wide</w:t>
            </w:r>
          </w:p>
        </w:tc>
        <w:tc>
          <w:tcPr/>
          <w:p>
            <w:pPr>
              <w:pStyle w:val="TableText"/>
            </w:pPr>
            <w:r>
              <w:t xml:space="preserve">Stacking behavior and essential task preservation.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Component intrinsic</w:t>
            </w:r>
          </w:p>
        </w:tc>
        <w:tc>
          <w:tcPr/>
          <w:p>
            <w:pPr>
              <w:pStyle w:val="TableText"/>
            </w:pPr>
            <w:r>
              <w:t xml:space="preserve">Auto/min-content/max-content</w:t>
            </w:r>
          </w:p>
        </w:tc>
        <w:tc>
          <w:tcPr/>
          <w:p>
            <w:pPr>
              <w:pStyle w:val="TableText"/>
            </w:pPr>
            <w:r>
              <w:t xml:space="preserve">Atomic component resilience to label/data length.</w:t>
            </w:r>
          </w:p>
        </w:tc>
      </w:tr>
    </w:tbl>
    <w:bookmarkEnd w:id="32"/>
    <w:bookmarkStart w:id="33" w:name="Xc12f90d803b989a879ebe754a86ddb30fb7d882"/>
    <w:p>
      <w:pPr>
        <w:pStyle w:val="Heading1"/>
      </w:pPr>
      <w:r>
        <w:t xml:space="preserve">13. Story Documentation Requirements</w:t>
      </w:r>
    </w:p>
    <w:p>
      <w:pPr>
        <w:numPr>
          <w:ilvl w:val="0"/>
          <w:numId w:val="1010"/>
        </w:numPr>
      </w:pPr>
      <w:r>
        <w:t xml:space="preserve">Purpose and when to use / when not to use.</w:t>
      </w:r>
    </w:p>
    <w:p>
      <w:pPr>
        <w:numPr>
          <w:ilvl w:val="0"/>
          <w:numId w:val="1010"/>
        </w:numPr>
      </w:pPr>
      <w:r>
        <w:t xml:space="preserve">Public props and semantic variants.</w:t>
      </w:r>
    </w:p>
    <w:p>
      <w:pPr>
        <w:numPr>
          <w:ilvl w:val="0"/>
          <w:numId w:val="1010"/>
        </w:numPr>
      </w:pPr>
      <w:r>
        <w:t xml:space="preserve">Accessibility notes and keyboard behavior.</w:t>
      </w:r>
    </w:p>
    <w:p>
      <w:pPr>
        <w:numPr>
          <w:ilvl w:val="0"/>
          <w:numId w:val="1010"/>
        </w:numPr>
      </w:pPr>
      <w:r>
        <w:t xml:space="preserve">Content rules and prohibited uses.</w:t>
      </w:r>
    </w:p>
    <w:p>
      <w:pPr>
        <w:numPr>
          <w:ilvl w:val="0"/>
          <w:numId w:val="1010"/>
        </w:numPr>
      </w:pPr>
      <w:r>
        <w:t xml:space="preserve">Relevant normative references (UX/UI/IA/High-Fidelity/Screen IDs).</w:t>
      </w:r>
    </w:p>
    <w:p>
      <w:pPr>
        <w:numPr>
          <w:ilvl w:val="0"/>
          <w:numId w:val="1010"/>
        </w:numPr>
      </w:pPr>
      <w:r>
        <w:t xml:space="preserve">Known limitations.</w:t>
      </w:r>
    </w:p>
    <w:p>
      <w:pPr>
        <w:numPr>
          <w:ilvl w:val="0"/>
          <w:numId w:val="1010"/>
        </w:numPr>
      </w:pPr>
      <w:r>
        <w:t xml:space="preserve">Examples of correct and incorrect semantic usage for high-risk analytical components.</w:t>
      </w:r>
    </w:p>
    <w:bookmarkEnd w:id="33"/>
    <w:bookmarkStart w:id="34" w:name="X2c7267c37f8cd619e4ae1b0a8b220ed80d3695e"/>
    <w:p>
      <w:pPr>
        <w:pStyle w:val="Heading1"/>
      </w:pPr>
      <w:r>
        <w:t xml:space="preserve">14. Critical Screen-to-Component Traceability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Screen ID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Screen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Mandatory shared component baseline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SCR-EVD-003</w:t>
            </w:r>
          </w:p>
        </w:tc>
        <w:tc>
          <w:tcPr/>
          <w:p>
            <w:pPr>
              <w:pStyle w:val="TableText"/>
            </w:pPr>
            <w:r>
              <w:t xml:space="preserve">Evidence Reader</w:t>
            </w:r>
          </w:p>
        </w:tc>
        <w:tc>
          <w:tcPr/>
          <w:p>
            <w:pPr>
              <w:pStyle w:val="TableText"/>
            </w:pPr>
            <w:r>
              <w:t xml:space="preserve">CMP-003, ANA-004, ANA-005, ANA-012, ANA-023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SCR-ENT-003</w:t>
            </w:r>
          </w:p>
        </w:tc>
        <w:tc>
          <w:tcPr/>
          <w:p>
            <w:pPr>
              <w:pStyle w:val="TableText"/>
            </w:pPr>
            <w:r>
              <w:t xml:space="preserve">Entity Detail</w:t>
            </w:r>
          </w:p>
        </w:tc>
        <w:tc>
          <w:tcPr/>
          <w:p>
            <w:pPr>
              <w:pStyle w:val="TableText"/>
            </w:pPr>
            <w:r>
              <w:t xml:space="preserve">CMP-003, CMP-002, ANA-008, ANA-009, ANA-010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SCR-ENT-005</w:t>
            </w:r>
          </w:p>
        </w:tc>
        <w:tc>
          <w:tcPr/>
          <w:p>
            <w:pPr>
              <w:pStyle w:val="TableText"/>
            </w:pPr>
            <w:r>
              <w:t xml:space="preserve">Entity Match Compare</w:t>
            </w:r>
          </w:p>
        </w:tc>
        <w:tc>
          <w:tcPr/>
          <w:p>
            <w:pPr>
              <w:pStyle w:val="TableText"/>
            </w:pPr>
            <w:r>
              <w:t xml:space="preserve">CMP-006, ANA-008, ANA-004, ANA-001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SCR-TIM-001</w:t>
            </w:r>
          </w:p>
        </w:tc>
        <w:tc>
          <w:tcPr/>
          <w:p>
            <w:pPr>
              <w:pStyle w:val="TableText"/>
            </w:pPr>
            <w:r>
              <w:t xml:space="preserve">Timeline</w:t>
            </w:r>
          </w:p>
        </w:tc>
        <w:tc>
          <w:tcPr/>
          <w:p>
            <w:pPr>
              <w:pStyle w:val="TableText"/>
            </w:pPr>
            <w:r>
              <w:t xml:space="preserve">CMP-005, ANA-016, ANA-011, ANA-012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SCR-VAL-001</w:t>
            </w:r>
          </w:p>
        </w:tc>
        <w:tc>
          <w:tcPr/>
          <w:p>
            <w:pPr>
              <w:pStyle w:val="TableText"/>
            </w:pPr>
            <w:r>
              <w:t xml:space="preserve">Value Flow Workspace</w:t>
            </w:r>
          </w:p>
        </w:tc>
        <w:tc>
          <w:tcPr/>
          <w:p>
            <w:pPr>
              <w:pStyle w:val="TableText"/>
            </w:pPr>
            <w:r>
              <w:t xml:space="preserve">CMP-005, ANA-003, ANA-014, ANA-015, GEN-012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SCR-TYP-002</w:t>
            </w:r>
          </w:p>
        </w:tc>
        <w:tc>
          <w:tcPr/>
          <w:p>
            <w:pPr>
              <w:pStyle w:val="TableText"/>
            </w:pPr>
            <w:r>
              <w:t xml:space="preserve">Typology Match</w:t>
            </w:r>
          </w:p>
        </w:tc>
        <w:tc>
          <w:tcPr/>
          <w:p>
            <w:pPr>
              <w:pStyle w:val="TableText"/>
            </w:pPr>
            <w:r>
              <w:t xml:space="preserve">CMP-005, ANA-020, ANA-004, ANA-019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SCR-HYP-001</w:t>
            </w:r>
          </w:p>
        </w:tc>
        <w:tc>
          <w:tcPr/>
          <w:p>
            <w:pPr>
              <w:pStyle w:val="TableText"/>
            </w:pPr>
            <w:r>
              <w:t xml:space="preserve">Hypothesis Workspace</w:t>
            </w:r>
          </w:p>
        </w:tc>
        <w:tc>
          <w:tcPr/>
          <w:p>
            <w:pPr>
              <w:pStyle w:val="TableText"/>
            </w:pPr>
            <w:r>
              <w:t xml:space="preserve">CMP-005, ANA-017, ANA-018, ANA-019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SCR-ASM-001</w:t>
            </w:r>
          </w:p>
        </w:tc>
        <w:tc>
          <w:tcPr/>
          <w:p>
            <w:pPr>
              <w:pStyle w:val="TableText"/>
            </w:pPr>
            <w:r>
              <w:t xml:space="preserve">Assessment Draft</w:t>
            </w:r>
          </w:p>
        </w:tc>
        <w:tc>
          <w:tcPr/>
          <w:p>
            <w:pPr>
              <w:pStyle w:val="TableText"/>
            </w:pPr>
            <w:r>
              <w:t xml:space="preserve">CMP-004, ANA-021, ANA-002, ANA-019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SCR-GRF-001</w:t>
            </w:r>
          </w:p>
        </w:tc>
        <w:tc>
          <w:tcPr/>
          <w:p>
            <w:pPr>
              <w:pStyle w:val="TableText"/>
            </w:pPr>
            <w:r>
              <w:t xml:space="preserve">Investigation Graph</w:t>
            </w:r>
          </w:p>
        </w:tc>
        <w:tc>
          <w:tcPr/>
          <w:p>
            <w:pPr>
              <w:pStyle w:val="TableText"/>
            </w:pPr>
            <w:r>
              <w:t xml:space="preserve">CMP-005, ANA-013, ANA-014, ANA-015, ANA-012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SCR-PRD-003</w:t>
            </w:r>
          </w:p>
        </w:tc>
        <w:tc>
          <w:tcPr/>
          <w:p>
            <w:pPr>
              <w:pStyle w:val="TableText"/>
            </w:pPr>
            <w:r>
              <w:t xml:space="preserve">Product Editor</w:t>
            </w:r>
          </w:p>
        </w:tc>
        <w:tc>
          <w:tcPr/>
          <w:p>
            <w:pPr>
              <w:pStyle w:val="TableText"/>
            </w:pPr>
            <w:r>
              <w:t xml:space="preserve">CMP-004, ANA-004, ANA-001, ANA-021, ANA-023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SCR-REV-002</w:t>
            </w:r>
          </w:p>
        </w:tc>
        <w:tc>
          <w:tcPr/>
          <w:p>
            <w:pPr>
              <w:pStyle w:val="TableText"/>
            </w:pPr>
            <w:r>
              <w:t xml:space="preserve">Peer Review</w:t>
            </w:r>
          </w:p>
        </w:tc>
        <w:tc>
          <w:tcPr/>
          <w:p>
            <w:pPr>
              <w:pStyle w:val="TableText"/>
            </w:pPr>
            <w:r>
              <w:t xml:space="preserve">CMP-007, ANA-022, ANA-021, ANA-004, ANA-023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SCR-DIS-002</w:t>
            </w:r>
          </w:p>
        </w:tc>
        <w:tc>
          <w:tcPr/>
          <w:p>
            <w:pPr>
              <w:pStyle w:val="TableText"/>
            </w:pPr>
            <w:r>
              <w:t xml:space="preserve">Export Package Builder</w:t>
            </w:r>
          </w:p>
        </w:tc>
        <w:tc>
          <w:tcPr/>
          <w:p>
            <w:pPr>
              <w:pStyle w:val="TableText"/>
            </w:pPr>
            <w:r>
              <w:t xml:space="preserve">CMP-005, ANA-023, ANA-004, GEN-008, GEN-017</w:t>
            </w:r>
          </w:p>
        </w:tc>
      </w:tr>
    </w:tbl>
    <w:p>
      <w:pPr>
        <w:pStyle w:val="BodyText"/>
      </w:pPr>
      <w:r>
        <w:rPr>
          <w:b/>
          <w:bCs/>
        </w:rPr>
        <w:t xml:space="preserve">CISB-050 —</w:t>
      </w:r>
      <w:r>
        <w:t xml:space="preserve"> </w:t>
      </w:r>
      <w:r>
        <w:t xml:space="preserve">Critical screens SHALL reference shared component IDs in frontend implementation notes or equivalent engineering documentation.</w:t>
      </w:r>
    </w:p>
    <w:bookmarkEnd w:id="34"/>
    <w:bookmarkStart w:id="35" w:name="X8b179a59c8f814b6247fc78bd865d185a0bdd84"/>
    <w:p>
      <w:pPr>
        <w:pStyle w:val="Heading1"/>
      </w:pPr>
      <w:r>
        <w:t xml:space="preserve">15. Reference Repository Structure</w:t>
      </w:r>
    </w:p>
    <w:p>
      <w:pPr>
        <w:pStyle w:val="SourceCode"/>
      </w:pPr>
      <w:r>
        <w:rPr>
          <w:rFonts w:ascii="Consolas" w:hAnsi="Consolas" w:cs="Consolas" w:eastAsia="Consolas"/>
          <w:sz w:val="18"/>
          <w:szCs w:val="18"/>
        </w:rPr>
        <w:t xml:space="preserve">frontend/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  src/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    design-system/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      foundations/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      components/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        general/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        analytical/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        patterns/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      tokens/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      icons/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      index.ts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    features/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      cases/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      evidence/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      entities/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      analysis/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      products/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      administration/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  .storybook/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    main.ts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    preview.ts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    manager.ts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  stories/ (optional docs-only compositions)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  tests/</w:t>
      </w:r>
    </w:p>
    <w:p>
      <w:pPr>
        <w:pStyle w:val="FirstParagraph"/>
      </w:pPr>
      <w:r>
        <w:rPr>
          <w:b/>
          <w:bCs/>
        </w:rPr>
        <w:t xml:space="preserve">CISB-060 —</w:t>
      </w:r>
      <w:r>
        <w:t xml:space="preserve"> </w:t>
      </w:r>
      <w:r>
        <w:t xml:space="preserve">Feature packages SHALL NOT deep-import private component implementation files; only public design-system exports are supported contracts.</w:t>
      </w:r>
    </w:p>
    <w:bookmarkEnd w:id="35"/>
    <w:bookmarkStart w:id="36" w:name="X2a154a902365d99feb8f683f850b3e01dd7abaf"/>
    <w:p>
      <w:pPr>
        <w:pStyle w:val="Heading1"/>
      </w:pPr>
      <w:r>
        <w:t xml:space="preserve">16. Component Lifecycle and Governance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State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Meaning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Proposed</w:t>
            </w:r>
          </w:p>
        </w:tc>
        <w:tc>
          <w:tcPr/>
          <w:p>
            <w:pPr>
              <w:pStyle w:val="TableText"/>
            </w:pPr>
            <w:r>
              <w:t xml:space="preserve">Need identified; API not stable.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Experimental</w:t>
            </w:r>
          </w:p>
        </w:tc>
        <w:tc>
          <w:tcPr/>
          <w:p>
            <w:pPr>
              <w:pStyle w:val="TableText"/>
            </w:pPr>
            <w:r>
              <w:t xml:space="preserve">Usable in limited feature work; change without migration guarantee.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Stable</w:t>
            </w:r>
          </w:p>
        </w:tc>
        <w:tc>
          <w:tcPr/>
          <w:p>
            <w:pPr>
              <w:pStyle w:val="TableText"/>
            </w:pPr>
            <w:r>
              <w:t xml:space="preserve">Approved public API and Storybook/test coverage.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Deprecated</w:t>
            </w:r>
          </w:p>
        </w:tc>
        <w:tc>
          <w:tcPr/>
          <w:p>
            <w:pPr>
              <w:pStyle w:val="TableText"/>
            </w:pPr>
            <w:r>
              <w:t xml:space="preserve">Replacement exists; migration guidance required.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Retired</w:t>
            </w:r>
          </w:p>
        </w:tc>
        <w:tc>
          <w:tcPr/>
          <w:p>
            <w:pPr>
              <w:pStyle w:val="TableText"/>
            </w:pPr>
            <w:r>
              <w:t xml:space="preserve">Removed from public exports after approved migration window.</w:t>
            </w:r>
          </w:p>
        </w:tc>
      </w:tr>
    </w:tbl>
    <w:p>
      <w:pPr>
        <w:pStyle w:val="BodyText"/>
      </w:pPr>
      <w:r>
        <w:rPr>
          <w:b/>
          <w:bCs/>
        </w:rPr>
        <w:t xml:space="preserve">CISB-070 —</w:t>
      </w:r>
      <w:r>
        <w:t xml:space="preserve"> </w:t>
      </w:r>
      <w:r>
        <w:t xml:space="preserve">Breaking changes to Stable component APIs SHALL require migration notes and release-note entry.</w:t>
      </w:r>
    </w:p>
    <w:p>
      <w:pPr>
        <w:pStyle w:val="BodyText"/>
      </w:pPr>
      <w:r>
        <w:rPr>
          <w:b/>
          <w:bCs/>
        </w:rPr>
        <w:t xml:space="preserve">CISB-071 —</w:t>
      </w:r>
      <w:r>
        <w:t xml:space="preserve"> </w:t>
      </w:r>
      <w:r>
        <w:t xml:space="preserve">Changes to analytical semantic components SHALL be reviewed by UX/design-system owner and a domain/framework owner.</w:t>
      </w:r>
    </w:p>
    <w:p>
      <w:pPr>
        <w:pStyle w:val="BodyText"/>
      </w:pPr>
      <w:r>
        <w:rPr>
          <w:b/>
          <w:bCs/>
        </w:rPr>
        <w:t xml:space="preserve">CISB-072 —</w:t>
      </w:r>
      <w:r>
        <w:t xml:space="preserve"> </w:t>
      </w:r>
      <w:r>
        <w:t xml:space="preserve">A component SHOULD be promoted to shared inventory when two or more screens need the same semantic behavior, or immediately when the behavior is safety/security critical.</w:t>
      </w:r>
    </w:p>
    <w:bookmarkEnd w:id="36"/>
    <w:bookmarkStart w:id="37" w:name="X94fc3d928cbf6689b4ba7412dbca404befdf6fa"/>
    <w:p>
      <w:pPr>
        <w:pStyle w:val="Heading1"/>
      </w:pPr>
      <w:r>
        <w:t xml:space="preserve">17. CI/CD and Storybook Publication</w:t>
      </w:r>
    </w:p>
    <w:p>
      <w:pPr>
        <w:numPr>
          <w:ilvl w:val="0"/>
          <w:numId w:val="1011"/>
        </w:numPr>
      </w:pPr>
      <w:r>
        <w:t xml:space="preserve">Build Storybook on every pull request affecting frontend/design-system code.</w:t>
      </w:r>
    </w:p>
    <w:p>
      <w:pPr>
        <w:numPr>
          <w:ilvl w:val="0"/>
          <w:numId w:val="1011"/>
        </w:numPr>
      </w:pPr>
      <w:r>
        <w:t xml:space="preserve">Run typecheck, lint, unit/interaction tests, and automated accessibility checks.</w:t>
      </w:r>
    </w:p>
    <w:p>
      <w:pPr>
        <w:numPr>
          <w:ilvl w:val="0"/>
          <w:numId w:val="1011"/>
        </w:numPr>
      </w:pPr>
      <w:r>
        <w:t xml:space="preserve">Publish ephemeral preview for reviewer access.</w:t>
      </w:r>
    </w:p>
    <w:p>
      <w:pPr>
        <w:numPr>
          <w:ilvl w:val="0"/>
          <w:numId w:val="1011"/>
        </w:numPr>
      </w:pPr>
      <w:r>
        <w:t xml:space="preserve">Run visual regression against approved baseline for changed stories.</w:t>
      </w:r>
    </w:p>
    <w:p>
      <w:pPr>
        <w:numPr>
          <w:ilvl w:val="0"/>
          <w:numId w:val="1011"/>
        </w:numPr>
      </w:pPr>
      <w:r>
        <w:t xml:space="preserve">Block merge on failed mandatory checks unless a documented exception is approved.</w:t>
      </w:r>
    </w:p>
    <w:p>
      <w:pPr>
        <w:numPr>
          <w:ilvl w:val="0"/>
          <w:numId w:val="1011"/>
        </w:numPr>
      </w:pPr>
      <w:r>
        <w:t xml:space="preserve">Publish versioned Storybook for release candidates; production deployment need not expose it publicly.</w:t>
      </w:r>
    </w:p>
    <w:bookmarkEnd w:id="37"/>
    <w:bookmarkStart w:id="38" w:name="Xe9540fc6905752a578b7265ae95f83d12d7d311"/>
    <w:p>
      <w:pPr>
        <w:pStyle w:val="Heading1"/>
      </w:pPr>
      <w:r>
        <w:t xml:space="preserve">18. Security and Privacy in Storybook</w:t>
      </w:r>
    </w:p>
    <w:p>
      <w:pPr>
        <w:pStyle w:val="FirstParagraph"/>
      </w:pPr>
      <w:r>
        <w:rPr>
          <w:b/>
          <w:bCs/>
        </w:rPr>
        <w:t xml:space="preserve">CISB-080 —</w:t>
      </w:r>
      <w:r>
        <w:t xml:space="preserve"> </w:t>
      </w:r>
      <w:r>
        <w:t xml:space="preserve">Storybook fixtures SHALL contain only synthetic or explicitly approved non-sensitive data.</w:t>
      </w:r>
    </w:p>
    <w:p>
      <w:pPr>
        <w:pStyle w:val="BodyText"/>
      </w:pPr>
      <w:r>
        <w:rPr>
          <w:b/>
          <w:bCs/>
        </w:rPr>
        <w:t xml:space="preserve">CISB-081 —</w:t>
      </w:r>
      <w:r>
        <w:t xml:space="preserve"> </w:t>
      </w:r>
      <w:r>
        <w:t xml:space="preserve">Storybook builds SHALL NOT embed production API tokens, production endpoints requiring credentials, or real protected-source identities.</w:t>
      </w:r>
    </w:p>
    <w:p>
      <w:pPr>
        <w:pStyle w:val="BodyText"/>
      </w:pPr>
      <w:r>
        <w:rPr>
          <w:b/>
          <w:bCs/>
        </w:rPr>
        <w:t xml:space="preserve">CISB-082 —</w:t>
      </w:r>
      <w:r>
        <w:t xml:space="preserve"> </w:t>
      </w:r>
      <w:r>
        <w:t xml:space="preserve">Authorization behavior MAY be simulated through safe decorators/fixtures, but Storybook SHALL NOT be treated as proof of server-side authorization. Restricted or permission-denied stories demonstrate rendering only; authorization SHALL be verified by server-side policy tests.</w:t>
      </w:r>
      <w:r>
        <w:t xml:space="preserve"> </w:t>
      </w:r>
      <w:r>
        <w:rPr>
          <w:i/>
          <w:iCs/>
        </w:rPr>
        <w:t xml:space="preserve">[v0.1.1 · A01]</w:t>
      </w:r>
    </w:p>
    <w:p>
      <w:pPr>
        <w:pStyle w:val="BodyText"/>
      </w:pPr>
      <w:r>
        <w:rPr>
          <w:b/>
          <w:bCs/>
        </w:rPr>
        <w:t xml:space="preserve">CISB-083 —</w:t>
      </w:r>
      <w:r>
        <w:t xml:space="preserve"> </w:t>
      </w:r>
      <w:r>
        <w:t xml:space="preserve">Private deployment or access control SHOULD be used when Storybook documentation contains internal security architecture details.</w:t>
      </w:r>
    </w:p>
    <w:bookmarkEnd w:id="38"/>
    <w:bookmarkStart w:id="39" w:name="X8edf9cdcceb1a7cfde3bff36f6dd06ce935f01d"/>
    <w:p>
      <w:pPr>
        <w:pStyle w:val="Heading1"/>
      </w:pPr>
      <w:r>
        <w:t xml:space="preserve">19. Component Definition of Done</w:t>
      </w:r>
    </w:p>
    <w:p>
      <w:pPr>
        <w:numPr>
          <w:ilvl w:val="0"/>
          <w:numId w:val="1012"/>
        </w:numPr>
      </w:pPr>
      <w:r>
        <w:t xml:space="preserve">Inventory ID and semantic owner assigned.</w:t>
      </w:r>
    </w:p>
    <w:p>
      <w:pPr>
        <w:numPr>
          <w:ilvl w:val="0"/>
          <w:numId w:val="1013"/>
        </w:numPr>
      </w:pPr>
      <w:r>
        <w:t xml:space="preserve">Public TypeScript API documented.</w:t>
      </w:r>
    </w:p>
    <w:p>
      <w:pPr>
        <w:numPr>
          <w:ilvl w:val="0"/>
          <w:numId w:val="1014"/>
        </w:numPr>
      </w:pPr>
      <w:r>
        <w:t xml:space="preserve">Uses semantic tokens and approved icons.</w:t>
      </w:r>
    </w:p>
    <w:p>
      <w:pPr>
        <w:numPr>
          <w:ilvl w:val="0"/>
          <w:numId w:val="1015"/>
        </w:numPr>
      </w:pPr>
      <w:r>
        <w:t xml:space="preserve">Default + all required variants implemented.</w:t>
      </w:r>
    </w:p>
    <w:p>
      <w:pPr>
        <w:numPr>
          <w:ilvl w:val="0"/>
          <w:numId w:val="1016"/>
        </w:numPr>
      </w:pPr>
      <w:r>
        <w:t xml:space="preserve">Unknown/empty/error/loading/readonly/restricted states implemented where applicable.</w:t>
      </w:r>
    </w:p>
    <w:p>
      <w:pPr>
        <w:numPr>
          <w:ilvl w:val="0"/>
          <w:numId w:val="1017"/>
        </w:numPr>
      </w:pPr>
      <w:r>
        <w:t xml:space="preserve">Keyboard behavior verified.</w:t>
      </w:r>
    </w:p>
    <w:p>
      <w:pPr>
        <w:numPr>
          <w:ilvl w:val="0"/>
          <w:numId w:val="1018"/>
        </w:numPr>
      </w:pPr>
      <w:r>
        <w:t xml:space="preserve">Automated accessibility check passes for supported state set.</w:t>
      </w:r>
    </w:p>
    <w:p>
      <w:pPr>
        <w:numPr>
          <w:ilvl w:val="0"/>
          <w:numId w:val="1019"/>
        </w:numPr>
      </w:pPr>
      <w:r>
        <w:t xml:space="preserve">Storybook stories complete.</w:t>
      </w:r>
    </w:p>
    <w:p>
      <w:pPr>
        <w:numPr>
          <w:ilvl w:val="0"/>
          <w:numId w:val="1020"/>
        </w:numPr>
      </w:pPr>
      <w:r>
        <w:t xml:space="preserve">Interaction tests present for meaningful behaviors.</w:t>
      </w:r>
    </w:p>
    <w:p>
      <w:pPr>
        <w:numPr>
          <w:ilvl w:val="0"/>
          <w:numId w:val="1021"/>
        </w:numPr>
      </w:pPr>
      <w:r>
        <w:t xml:space="preserve">Visual-regression baseline approved for P0/critical analytical components.</w:t>
      </w:r>
    </w:p>
    <w:p>
      <w:pPr>
        <w:numPr>
          <w:ilvl w:val="0"/>
          <w:numId w:val="1022"/>
        </w:numPr>
      </w:pPr>
      <w:r>
        <w:t xml:space="preserve">No sensitive fixture data.</w:t>
      </w:r>
    </w:p>
    <w:p>
      <w:pPr>
        <w:numPr>
          <w:ilvl w:val="0"/>
          <w:numId w:val="1023"/>
        </w:numPr>
      </w:pPr>
      <w:r>
        <w:t xml:space="preserve">Relevant screen IDs and normative references documented.</w:t>
      </w:r>
    </w:p>
    <w:p>
      <w:pPr>
        <w:numPr>
          <w:ilvl w:val="0"/>
          <w:numId w:val="1024"/>
        </w:numPr>
      </w:pPr>
      <w:r>
        <w:t xml:space="preserve">No duplicate local implementation exists in target feature module.</w:t>
      </w:r>
    </w:p>
    <w:bookmarkEnd w:id="39"/>
    <w:bookmarkStart w:id="40" w:name="X81e9e154f01c017783dfe97cac580a559a1ddcc"/>
    <w:p>
      <w:pPr>
        <w:pStyle w:val="Heading1"/>
      </w:pPr>
      <w:r>
        <w:t xml:space="preserve">20. Storybook Release Gate</w:t>
      </w:r>
    </w:p>
    <w:p>
      <w:pPr>
        <w:pStyle w:val="BlockText"/>
      </w:pPr>
      <w:r>
        <w:rPr>
          <w:b/>
          <w:bCs/>
        </w:rPr>
        <w:t xml:space="preserve">MVP Storybook gate</w:t>
      </w:r>
      <w:r>
        <w:br/>
      </w:r>
      <w:r>
        <w:t xml:space="preserve">Before MVP UI freeze, every P0 shared component used by the critical end-to-end scenario SHALL have an approved Storybook entry, required state coverage, accessibility checks, and visual-regression baseline. Missing Storybook coverage for a critical analytical semantic component is a release-quality defect, not merely documentation debt.</w:t>
      </w:r>
    </w:p>
    <w:bookmarkEnd w:id="40"/>
    <w:bookmarkStart w:id="41" w:name="X421ca73a5c0249fbaab5ef4324a307de3bb89e7"/>
    <w:p>
      <w:pPr>
        <w:pStyle w:val="Heading1"/>
      </w:pPr>
      <w:r>
        <w:t xml:space="preserve">Annex A — Minimum Story Coverage by Priority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9"/>
        <w:gridCol w:w="7030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Minimum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P0</w:t>
            </w:r>
          </w:p>
        </w:tc>
        <w:tc>
          <w:tcPr/>
          <w:p>
            <w:pPr>
              <w:pStyle w:val="TableText"/>
            </w:pPr>
            <w:r>
              <w:t xml:space="preserve">Default, all variants, key interaction, error/unknown/restricted where applicable, accessibility, critical viewport, visual baseline.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P1</w:t>
            </w:r>
          </w:p>
        </w:tc>
        <w:tc>
          <w:tcPr/>
          <w:p>
            <w:pPr>
              <w:pStyle w:val="TableText"/>
            </w:pPr>
            <w:r>
              <w:t xml:space="preserve">Default, all public variants, basic accessibility, key interaction; visual baseline recommended.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P2</w:t>
            </w:r>
          </w:p>
        </w:tc>
        <w:tc>
          <w:tcPr/>
          <w:p>
            <w:pPr>
              <w:pStyle w:val="TableText"/>
            </w:pPr>
            <w:r>
              <w:t xml:space="preserve">Default and public variants; additional test/story coverage before promotion to production-critical use.</w:t>
            </w:r>
          </w:p>
        </w:tc>
      </w:tr>
    </w:tbl>
    <w:bookmarkEnd w:id="41"/>
    <w:bookmarkStart w:id="42" w:name="annex-b--story-naming-convention"/>
    <w:p>
      <w:pPr>
        <w:pStyle w:val="Heading1"/>
      </w:pPr>
      <w:r>
        <w:t xml:space="preserve">Annex B — Story Naming Convention</w:t>
      </w:r>
    </w:p>
    <w:p>
      <w:pPr>
        <w:pStyle w:val="BlockText"/>
      </w:pPr>
      <w:r>
        <w:rPr>
          <w:b/>
          <w:bCs/>
        </w:rPr>
        <w:t xml:space="preserve">Canonical format</w:t>
      </w:r>
      <w:r>
        <w:br/>
      </w:r>
      <w:r>
        <w:rPr>
          <w:rStyle w:val="VerbatimChar"/>
        </w:rPr>
        <w:t xml:space="preserve">\&lt;Group\&gt;/\&lt;Subgroup\&gt;/\&lt;Component\&gt;</w:t>
      </w:r>
      <w:r>
        <w:t xml:space="preserve"> </w:t>
      </w:r>
      <w:r>
        <w:t xml:space="preserve">for title; stories use clear state names such as</w:t>
      </w:r>
      <w:r>
        <w:t xml:space="preserve"> </w:t>
      </w:r>
      <w:r>
        <w:rPr>
          <w:rStyle w:val="VerbatimChar"/>
        </w:rPr>
        <w:t xml:space="preserve">Direct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Reconstructed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RestrictedEvidence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KeyboardNavigation</w:t>
      </w:r>
      <w:r>
        <w:t xml:space="preserve">, or</w:t>
      </w:r>
      <w:r>
        <w:t xml:space="preserve"> </w:t>
      </w:r>
      <w:r>
        <w:rPr>
          <w:rStyle w:val="VerbatimChar"/>
        </w:rPr>
        <w:t xml:space="preserve">LongContent</w:t>
      </w:r>
      <w:r>
        <w:t xml:space="preserve">. Avoid</w:t>
      </w:r>
      <w:r>
        <w:t xml:space="preserve"> </w:t>
      </w:r>
      <w:r>
        <w:rPr>
          <w:rStyle w:val="VerbatimChar"/>
        </w:rPr>
        <w:t xml:space="preserve">Example1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</w:t>
      </w:r>
      <w:r>
        <w:t xml:space="preserve">, and ambiguous names.</w:t>
      </w:r>
    </w:p>
    <w:bookmarkEnd w:id="42"/>
    <w:bookmarkStart w:id="43" w:name="annex-c--pull-request-review-checklist"/>
    <w:p>
      <w:pPr>
        <w:pStyle w:val="Heading1"/>
      </w:pPr>
      <w:r>
        <w:t xml:space="preserve">Annex C — Pull Request Review Checklist</w:t>
      </w:r>
    </w:p>
    <w:p>
      <w:pPr>
        <w:numPr>
          <w:ilvl w:val="0"/>
          <w:numId w:val="1025"/>
        </w:numPr>
      </w:pPr>
      <w:r>
        <w:t xml:space="preserve">Component belongs in shared library rather than local feature code.</w:t>
      </w:r>
    </w:p>
    <w:p>
      <w:pPr>
        <w:numPr>
          <w:ilvl w:val="0"/>
          <w:numId w:val="1026"/>
        </w:numPr>
      </w:pPr>
      <w:r>
        <w:t xml:space="preserve">No normative semantic is implemented with raw color alone.</w:t>
      </w:r>
    </w:p>
    <w:p>
      <w:pPr>
        <w:numPr>
          <w:ilvl w:val="0"/>
          <w:numId w:val="1027"/>
        </w:numPr>
      </w:pPr>
      <w:r>
        <w:t xml:space="preserve">Public props are typed and minimal.</w:t>
      </w:r>
    </w:p>
    <w:p>
      <w:pPr>
        <w:numPr>
          <w:ilvl w:val="0"/>
          <w:numId w:val="1028"/>
        </w:numPr>
      </w:pPr>
      <w:r>
        <w:t xml:space="preserve">Story set covers non-happy-path states.</w:t>
      </w:r>
    </w:p>
    <w:p>
      <w:pPr>
        <w:numPr>
          <w:ilvl w:val="0"/>
          <w:numId w:val="1029"/>
        </w:numPr>
      </w:pPr>
      <w:r>
        <w:t xml:space="preserve">Keyboard and focus behavior checked.</w:t>
      </w:r>
    </w:p>
    <w:p>
      <w:pPr>
        <w:numPr>
          <w:ilvl w:val="0"/>
          <w:numId w:val="1030"/>
        </w:numPr>
      </w:pPr>
      <w:r>
        <w:t xml:space="preserve">axe violations resolved or documented with approved rationale.</w:t>
      </w:r>
    </w:p>
    <w:p>
      <w:pPr>
        <w:numPr>
          <w:ilvl w:val="0"/>
          <w:numId w:val="1031"/>
        </w:numPr>
      </w:pPr>
      <w:r>
        <w:t xml:space="preserve">Synthetic fixtures only.</w:t>
      </w:r>
    </w:p>
    <w:p>
      <w:pPr>
        <w:numPr>
          <w:ilvl w:val="0"/>
          <w:numId w:val="1032"/>
        </w:numPr>
      </w:pPr>
      <w:r>
        <w:t xml:space="preserve">Visual diffs reviewed semantically.</w:t>
      </w:r>
    </w:p>
    <w:p>
      <w:pPr>
        <w:numPr>
          <w:ilvl w:val="0"/>
          <w:numId w:val="1033"/>
        </w:numPr>
      </w:pPr>
      <w:r>
        <w:t xml:space="preserve">Screen traceability updated if usage changes.</w:t>
      </w:r>
    </w:p>
    <w:p>
      <w:pPr>
        <w:numPr>
          <w:ilvl w:val="0"/>
          <w:numId w:val="1034"/>
        </w:numPr>
      </w:pPr>
      <w:r>
        <w:t xml:space="preserve">Breaking API changes include migration notes.</w:t>
      </w:r>
    </w:p>
    <w:bookmarkEnd w:id="43"/>
    <w:sectPr>
      <w:headerReference r:id="rIdCsamlHdr" w:type="default"/>
      <w:footerReference r:id="rIdCsamlFtr" w:type="default"/>
      <w:footnotePr>
        <w:numRestart w:val="eachSect"/>
      </w:footnotePr>
      <w:pgSz w:h="16838" w:w="11906"/>
      <w:pgMar w:bottom="1247" w:footer="567" w:gutter="0" w:header="567" w:left="1134" w:right="1134" w:top="141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1" w:color="808080"/>
      </w:pBdr>
      <w:tabs>
        <w:tab w:val="right" w:pos="9638"/>
      </w:tabs>
      <w:spacing w:before="0" w:after="0"/>
    </w:pPr>
    <w:r>
      <w:rPr>
        <w:sz w:val="16"/>
      </w:rPr>
      <w:t xml:space="preserve">Approved Internal Specification Baseline</w:t>
    </w:r>
    <w:r>
      <w:rPr>
        <w:sz w:val="16"/>
      </w:rPr>
      <w:tab/>
      <w:t xml:space="preserve">Page </w:t>
    </w:r>
    <w:fldSimple w:instr=" PAGE ">
      <w:r>
        <w:rPr>
          <w:sz w:val="16"/>
        </w:rPr>
        <w:t>1</w:t>
      </w:r>
    </w:fldSimple>
    <w:r>
      <w:rPr>
        <w:sz w:val="16"/>
      </w:rPr>
      <w:t xml:space="preserve"> of </w:t>
    </w:r>
    <w:fldSimple w:instr=" NUMPAGES ">
      <w:r>
        <w:rPr>
          <w:sz w:val="16"/>
        </w:rP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Bdr>
        <w:bottom w:val="single" w:sz="4" w:space="1" w:color="808080"/>
      </w:pBdr>
      <w:tabs>
        <w:tab w:val="right" w:pos="9638"/>
      </w:tabs>
      <w:spacing w:before="0" w:after="0"/>
    </w:pPr>
    <w:r>
      <w:rPr>
        <w:b/>
        <w:sz w:val="16"/>
      </w:rPr>
      <w:t xml:space="preserve">CS-AML </w:t>
    </w:r>
    <w:r>
      <w:rPr>
        <w:sz w:val="16"/>
      </w:rPr>
      <w:t xml:space="preserve">Component Inventory &amp; Storybook Implementation Specification</w:t>
    </w:r>
    <w:r>
      <w:rPr>
        <w:sz w:val="16"/>
      </w:rPr>
      <w:tab/>
      <w:t xml:space="preserve">Version 0.1.1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Calibri" w:hAnsi="Calibri"/>
        <w:sz w:val="20"/>
        <w:szCs w:val="20"/>
        <w:lang w:bidi="ar-SA" w:eastAsia="zh-CN" w:val="en-G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00" w:before="10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0A8B0" w:space="0" w:sz="4" w:val="single"/>
        <w:left w:color="A0A8B0" w:space="0" w:sz="4" w:val="single"/>
        <w:bottom w:color="A0A8B0" w:space="0" w:sz="4" w:val="single"/>
        <w:right w:color="A0A8B0" w:space="0" w:sz="4" w:val="single"/>
        <w:insideH w:color="A0A8B0" w:space="0" w:sz="4" w:val="single"/>
        <w:insideV w:color="A0A8B0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shd w:color="auto" w:fill="E6EBF0" w:val="clear"/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wordWrap w:val="0"/>
      <w:shd w:color="auto" w:fill="F4F6F8" w:val="clear"/>
      <w:pBdr>
        <w:left w:color="A0A8B0" w:space="6" w:sz="8" w:val="single"/>
      </w:pBdr>
      <w:spacing w:after="120" w:before="60" w:line="240" w:lineRule="auto"/>
    </w:pPr>
    <w:rPr>
      <w:rFonts w:ascii="Consolas" w:cs="Consolas" w:eastAsia="Consolas" w:hAnsi="Consolas"/>
      <w:sz w:val="16"/>
      <w:szCs w:val="16"/>
    </w:rPr>
  </w:style>
  <w:style w:customStyle="1" w:styleId="TableText" w:type="paragraph">
    <w:name w:val="Table Text"/>
    <w:basedOn w:val="Compact"/>
    <w:qFormat/>
    <w:pPr>
      <w:spacing w:after="20" w:before="20"/>
    </w:pPr>
    <w:rPr>
      <w:sz w:val="17"/>
      <w:szCs w:val="17"/>
    </w:rPr>
  </w:style>
  <w:style w:customStyle="1" w:styleId="TableTextSmall" w:type="paragraph">
    <w:name w:val="Table Text Small"/>
    <w:basedOn w:val="Compact"/>
    <w:qFormat/>
    <w:pPr>
      <w:spacing w:after="10" w:before="10"/>
    </w:pPr>
    <w:rPr>
      <w:sz w:val="14"/>
      <w:szCs w:val="14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CsamlHdr" Target="header1.xml" Type="http://schemas.openxmlformats.org/officeDocument/2006/relationships/header" /><Relationship Id="rIdCsamlFtr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Component Inventory &amp; Storybook Implementation Specification</dc:title>
  <dc:creator/>
  <dc:language>en-GB</dc:language>
  <cp:keywords/>
  <dcterms:created xsi:type="dcterms:W3CDTF">2026-10-10T04:00:41Z</dcterms:created>
  <dcterms:modified xsi:type="dcterms:W3CDTF">2026-10-10T04:00:41Z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2026-10-08</vt:lpwstr>
  </property>
  <property fmtid="{D5CDD505-2E9C-101B-9397-08002B2CF9AE}" pid="3" name="doctitle">
    <vt:lpwstr>Component Inventory &amp; Storybook Implementation Specification</vt:lpwstr>
  </property>
  <property fmtid="{D5CDD505-2E9C-101B-9397-08002B2CF9AE}" pid="4" name="docversion">
    <vt:lpwstr>0.1.1</vt:lpwstr>
  </property>
  <property fmtid="{D5CDD505-2E9C-101B-9397-08002B2CF9AE}" pid="5" name="subtitle">
    <vt:lpwstr>Version 0.1.1 — Approved Internal Specification Baseline (tag v0.1.1-spec)</vt:lpwstr>
  </property>
  <property fmtid="{D5CDD505-2E9C-101B-9397-08002B2CF9AE}" pid="6" name="toc-title">
    <vt:lpwstr>Contents</vt:lpwstr>
  </property>
</Properties>
</file>