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Frontend Architecture &amp; State Management Specification</w:t>
      </w:r>
    </w:p>
    <w:p>
      <w:pPr>
        <w:pStyle w:val="Subtitle"/>
      </w:pPr>
      <w:r>
        <w:t xml:space="preserve">Version 0.1.2 — Approved Internal Specification Baseline (tag v0.1.2-spec)</w:t>
      </w:r>
    </w:p>
    <w:p>
      <w:pPr>
        <w:pStyle w:val="Date"/>
      </w:pPr>
      <w:r>
        <w:t xml:space="preserve">2026-10-09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FirstParagraph"/>
      </w:pPr>
      <w:r>
        <w:rPr>
          <w:b/>
          <w:bCs/>
        </w:rPr>
        <w:t xml:space="preserve">CS-AML</w:t>
      </w:r>
    </w:p>
    <w:p>
      <w:pPr>
        <w:pStyle w:val="BodyText"/>
      </w:pPr>
      <w:r>
        <w:rPr>
          <w:b/>
          <w:bCs/>
        </w:rPr>
        <w:t xml:space="preserve">Frontend Architecture &amp; State Management Specification</w:t>
      </w:r>
    </w:p>
    <w:p>
      <w:pPr>
        <w:pStyle w:val="BodyText"/>
      </w:pPr>
      <w:r>
        <w:t xml:space="preserve">Version 0.1.2</w:t>
      </w:r>
    </w:p>
    <w:p>
      <w:pPr>
        <w:pStyle w:val="BlockText"/>
      </w:pPr>
      <w:r>
        <w:rPr>
          <w:b/>
          <w:bCs/>
        </w:rPr>
        <w:t xml:space="preserve">Document status — v0.1.2</w:t>
      </w:r>
      <w:r>
        <w:br/>
      </w:r>
      <w:r>
        <w:t xml:space="preserve">Version: 0.1.2 — Approved Internal Specification Baseline (2026-10-09, tag v0.1.2-spec). Supersedes v0.1.1 (2026-10-08, tag v0.1.1-spec).</w:t>
      </w:r>
      <w:r>
        <w:t xml:space="preserve"> </w:t>
      </w:r>
      <w:r>
        <w:rPr>
          <w:i/>
          <w:iCs/>
        </w:rPr>
        <w:t xml:space="preserve">[v0.1.2]</w:t>
      </w:r>
      <w:r>
        <w:br/>
      </w:r>
      <w:r>
        <w:t xml:space="preserve">Supersedes: CS-AML Frontend Architecture &amp; State Management Specification v0.1. The DOCX/PDF files in this repository are the unchanged v0.1 baseline (legacy); this Markdown file is the canonical source.</w:t>
      </w:r>
      <w:r>
        <w:br/>
      </w:r>
      <w:r>
        <w:t xml:space="preserve">Validation: approved by the product owner as the internal specification baseline on 2026-10-08 (v0.1.1) and 2026-10-09 (v0.1.2; decision register and release gates 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). The v0.1.2 changes come from change requests raised while implementing increments I1–I4; this is not an independent audit. Acceptance criteria in this document are targets, not evidence that tests have passed.</w:t>
      </w:r>
      <w:r>
        <w:br/>
      </w:r>
      <w:r>
        <w:t xml:space="preserve">CS-AML is not an external standard or certification. References to FATF, Wolfsberg, PPATK, UNODC or other bodies do not imply their endorsement.</w:t>
      </w:r>
      <w:r>
        <w:br/>
      </w:r>
      <w:r>
        <w:t xml:space="preserve">Changes in 0.1.1: see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at the repository root (audit findings A01–A16).</w:t>
      </w:r>
      <w:r>
        <w:br/>
      </w:r>
      <w:r>
        <w:t xml:space="preserve">Changes in 0.1.2: change requests CR-I1-01…CR-I4-14 approved by the product owner on 2026-10-09 (</w:t>
      </w:r>
      <w:r>
        <w:rPr>
          <w:rStyle w:val="VerbatimChar"/>
        </w:rPr>
        <w:t xml:space="preserve">CHANGELOG.md</w:t>
      </w:r>
      <w:r>
        <w:t xml:space="preserve">, section v0.1.2). Each change is tagged</w:t>
      </w:r>
      <w:r>
        <w:t xml:space="preserve"> </w:t>
      </w:r>
      <w:r>
        <w:rPr>
          <w:rStyle w:val="VerbatimChar"/>
        </w:rPr>
        <w:t xml:space="preserve">*[v0.1.2 · CR-xx-yy]*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Purpose</w:t>
      </w:r>
      <w:r>
        <w:br/>
      </w:r>
      <w:r>
        <w:t xml:space="preserve">Proposed normative frontend architecture baseline (draft for review) for the CS-AML MVP.</w:t>
      </w:r>
      <w:r>
        <w:t xml:space="preserve"> </w:t>
      </w:r>
      <w:r>
        <w:rPr>
          <w:i/>
          <w:iCs/>
        </w:rPr>
        <w:t xml:space="preserve">[v0.1.1 · A01]</w:t>
      </w:r>
      <w:r>
        <w:t xml:space="preserve"> </w:t>
      </w:r>
      <w:r>
        <w:t xml:space="preserve">It defines frontend module boundaries, routing, state ownership, server-state synchronization, form and visualization state, authorization-aware rendering, concurrency handling, error recovery, accessibility, testing and frontend delivery conventions.</w:t>
      </w:r>
    </w:p>
    <w:p>
      <w:pPr>
        <w:pStyle w:val="BlockText"/>
      </w:pPr>
      <w:r>
        <w:rPr>
          <w:b/>
          <w:bCs/>
        </w:rPr>
        <w:t xml:space="preserve">Core architecture axiom</w:t>
      </w:r>
      <w:r>
        <w:br/>
      </w:r>
      <w:r>
        <w:t xml:space="preserve">Frontend state SHALL preserve canonical server truth, workflow versioning, permission boundaries and analytical uncertainty. The client SHALL NOT manufacture durable truth by promoting local, cached, inferred or visualization-only state into canonical state.</w:t>
      </w:r>
    </w:p>
    <w:p>
      <w:pPr>
        <w:pStyle w:val="FirstParagraph"/>
      </w:pPr>
      <w:r>
        <w:t xml:space="preserve">Status: Proposed normative frontend implementation baseline for MVP 0.1 (draft for review)</w:t>
      </w:r>
      <w:r>
        <w:t xml:space="preserve"> </w:t>
      </w:r>
      <w:r>
        <w:rPr>
          <w:i/>
          <w:iCs/>
        </w:rPr>
        <w:t xml:space="preserve">[v0.1.1 · A01]</w:t>
      </w:r>
    </w:p>
    <w:p>
      <w:pPr>
        <w:pStyle w:val="BodyText"/>
      </w:pPr>
      <w:r>
        <w:t xml:space="preserve">Dependencies: SRS v0.1.2 · Technical Stack v0.1.2 · API Specification v0.1.2 · UX v0.1.1 · IA v0.1.1 · Screen Inventory v0.1.1 · Wireframe v0.1.1 · UI Design System v0.1.2 · High-Fidelity UI v0.1.1 · Storybook (Component Inventory) v0.1.1 (Markdown,</w:t>
      </w:r>
      <w:r>
        <w:t xml:space="preserve"> </w:t>
      </w:r>
      <w:r>
        <w:rPr>
          <w:rStyle w:val="VerbatimChar"/>
        </w:rPr>
        <w:t xml:space="preserve">Documents/*_v0.1.1.md</w:t>
      </w:r>
      <w:r>
        <w:t xml:space="preserve">)</w:t>
      </w:r>
      <w:r>
        <w:t xml:space="preserve"> </w:t>
      </w:r>
      <w:r>
        <w:rPr>
          <w:i/>
          <w:iCs/>
        </w:rPr>
        <w:t xml:space="preserve">[v0.1.1 · A01]</w:t>
      </w:r>
    </w:p>
    <w:bookmarkStart w:id="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8"/>
        <w:gridCol w:w="6841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Document ID</w:t>
            </w:r>
          </w:p>
        </w:tc>
        <w:tc>
          <w:tcPr/>
          <w:p>
            <w:pPr>
              <w:pStyle w:val="TableText"/>
            </w:pPr>
            <w:r>
              <w:t xml:space="preserve">CSAML-FEARCH-0.1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Version</w:t>
            </w:r>
          </w:p>
        </w:tc>
        <w:tc>
          <w:tcPr/>
          <w:p>
            <w:pPr>
              <w:pStyle w:val="TableText"/>
            </w:pPr>
            <w:r>
              <w:t xml:space="preserve">0.1.2</w:t>
            </w:r>
            <w:r>
              <w:t xml:space="preserve"> </w:t>
            </w:r>
            <w:r>
              <w:rPr>
                <w:i/>
                <w:iCs/>
              </w:rPr>
              <w:t xml:space="preserve">[v0.1.2]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Status</w:t>
            </w:r>
          </w:p>
        </w:tc>
        <w:tc>
          <w:tcPr/>
          <w:p>
            <w:pPr>
              <w:pStyle w:val="TableText"/>
            </w:pPr>
            <w:r>
              <w:t xml:space="preserve">Approved Internal Specification Baseline (2026-10-09, tag v0.1.2-spec)</w:t>
            </w:r>
            <w:r>
              <w:t xml:space="preserve"> </w:t>
            </w:r>
            <w:r>
              <w:rPr>
                <w:i/>
                <w:iCs/>
              </w:rPr>
              <w:t xml:space="preserve">[v0.1.1 · A01]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audience</w:t>
            </w:r>
          </w:p>
        </w:tc>
        <w:tc>
          <w:tcPr/>
          <w:p>
            <w:pPr>
              <w:pStyle w:val="TableText"/>
            </w:pPr>
            <w:r>
              <w:t xml:space="preserve">Frontend Engineer, UX Engineer, Tech Lead, QA, Security Reviewer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Reference stack</w:t>
            </w:r>
          </w:p>
        </w:tc>
        <w:tc>
          <w:tcPr/>
          <w:p>
            <w:pPr>
              <w:pStyle w:val="TableText"/>
            </w:pPr>
            <w:r>
              <w:t xml:space="preserve">React 19 + TypeScript + Vite + Tailwind CSS 4 + shared Storybook design system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API assumption</w:t>
            </w:r>
          </w:p>
        </w:tc>
        <w:tc>
          <w:tcPr/>
          <w:p>
            <w:pPr>
              <w:pStyle w:val="TableText"/>
            </w:pPr>
            <w:r>
              <w:t xml:space="preserve">Versioned same-origin REST API (</w:t>
            </w:r>
            <w:r>
              <w:rPr>
                <w:rStyle w:val="VerbatimChar"/>
              </w:rPr>
              <w:t xml:space="preserve">/api/v1</w:t>
            </w:r>
            <w:r>
              <w:t xml:space="preserve">) with server-side BFF session; canonical authorization and validation remain server-side (API Specification v0.1.2)</w:t>
            </w:r>
            <w:r>
              <w:t xml:space="preserve"> </w:t>
            </w:r>
            <w:r>
              <w:rPr>
                <w:i/>
                <w:iCs/>
              </w:rPr>
              <w:t xml:space="preserve">[v0.1.1 · A11]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Normative verbs</w:t>
            </w:r>
          </w:p>
        </w:tc>
        <w:tc>
          <w:tcPr/>
          <w:p>
            <w:pPr>
              <w:pStyle w:val="TableText"/>
            </w:pPr>
            <w:r>
              <w:t xml:space="preserve">SHALL / MUST / SHOULD / MAY</w:t>
            </w:r>
          </w:p>
        </w:tc>
      </w:tr>
    </w:tbl>
    <w:bookmarkEnd w:id="9"/>
    <w:bookmarkStart w:id="10" w:name="X4275c5582a16b5a1b3b5334b670c6d4e521e11c"/>
    <w:p>
      <w:pPr>
        <w:pStyle w:val="Heading1"/>
      </w:pPr>
      <w:r>
        <w:t xml:space="preserve">1. Scope and Non-Goals</w:t>
      </w:r>
    </w:p>
    <w:p>
      <w:pPr>
        <w:pStyle w:val="FirstParagraph"/>
      </w:pPr>
      <w:r>
        <w:t xml:space="preserve">This specification defines the frontend application architecture for the CS-AML MVP. It translates the screen and component specifications (draft for review) into implementation boundaries and state-management rules. It does not define backend business logic, canonical data schemas, authorization policy decisions, or API endpoint payloads; those are owned by backend specifications and the separate API Specification.</w:t>
      </w:r>
      <w:r>
        <w:t xml:space="preserve"> </w:t>
      </w:r>
      <w:r>
        <w:rPr>
          <w:i/>
          <w:iCs/>
        </w:rPr>
        <w:t xml:space="preserve">[v0.1.1 · A01]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In scope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Out of scope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Feature-module organization, routing, data fetching, cache ownership, local state, forms, optimistic updates, concurrency, error handling, authorization-aware UI, visualization state, testing</w:t>
            </w:r>
          </w:p>
        </w:tc>
        <w:tc>
          <w:tcPr/>
          <w:p>
            <w:pPr>
              <w:pStyle w:val="TableText"/>
            </w:pPr>
            <w:r>
              <w:t xml:space="preserve">Database model, server-side policy engine, evidence storage implementation, backend transaction rules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Frontend adaptation of canonical analytical semantics</w:t>
            </w:r>
          </w:p>
        </w:tc>
        <w:tc>
          <w:tcPr/>
          <w:p>
            <w:pPr>
              <w:pStyle w:val="TableText"/>
            </w:pPr>
            <w:r>
              <w:t xml:space="preserve">New analytical semantics not present in framework/data model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Client security behavior and non-leakage rules</w:t>
            </w:r>
          </w:p>
        </w:tc>
        <w:tc>
          <w:tcPr/>
          <w:p>
            <w:pPr>
              <w:pStyle w:val="TableText"/>
            </w:pPr>
            <w:r>
              <w:t xml:space="preserve">Treating UI hiding as an authorization control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Security boundary</w:t>
      </w:r>
      <w:r>
        <w:br/>
      </w:r>
      <w:r>
        <w:t xml:space="preserve">Hiding a control or object in the UI is a usability measure, not an authorization decision. Every protected read or mutation SHALL remain authorized and validated by the API.</w:t>
      </w:r>
    </w:p>
    <w:bookmarkEnd w:id="10"/>
    <w:bookmarkStart w:id="11" w:name="X20425d522817430b2638a986172e7c550d08056"/>
    <w:p>
      <w:pPr>
        <w:pStyle w:val="Heading1"/>
      </w:pPr>
      <w:r>
        <w:t xml:space="preserve">2. Architecture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1"/>
        <w:gridCol w:w="1644"/>
        <w:gridCol w:w="557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Principle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FE-P01</w:t>
            </w:r>
          </w:p>
        </w:tc>
        <w:tc>
          <w:tcPr/>
          <w:p>
            <w:pPr>
              <w:pStyle w:val="TableText"/>
            </w:pPr>
            <w:r>
              <w:t xml:space="preserve">Server truth first</w:t>
            </w:r>
          </w:p>
        </w:tc>
        <w:tc>
          <w:tcPr/>
          <w:p>
            <w:pPr>
              <w:pStyle w:val="TableText"/>
            </w:pPr>
            <w:r>
              <w:t xml:space="preserve">Canonical objects, permissions, versions, approvals and audit-relevant state originate from server responses.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FE-P02</w:t>
            </w:r>
          </w:p>
        </w:tc>
        <w:tc>
          <w:tcPr/>
          <w:p>
            <w:pPr>
              <w:pStyle w:val="TableText"/>
            </w:pPr>
            <w:r>
              <w:t xml:space="preserve">State by ownership</w:t>
            </w:r>
          </w:p>
        </w:tc>
        <w:tc>
          <w:tcPr/>
          <w:p>
            <w:pPr>
              <w:pStyle w:val="TableText"/>
            </w:pPr>
            <w:r>
              <w:t xml:space="preserve">Server state, form state, navigation state, workflow state, visualization state and ephemeral UI state SHALL have distinct owners.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FE-P03</w:t>
            </w:r>
          </w:p>
        </w:tc>
        <w:tc>
          <w:tcPr/>
          <w:p>
            <w:pPr>
              <w:pStyle w:val="TableText"/>
            </w:pPr>
            <w:r>
              <w:t xml:space="preserve">URL is durable navigation state</w:t>
            </w:r>
          </w:p>
        </w:tc>
        <w:tc>
          <w:tcPr/>
          <w:p>
            <w:pPr>
              <w:pStyle w:val="TableText"/>
            </w:pPr>
            <w:r>
              <w:t xml:space="preserve">Object IDs, case context, active tabs, filters and shareable search context SHOULD live in URL state where safe.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FE-P04</w:t>
            </w:r>
          </w:p>
        </w:tc>
        <w:tc>
          <w:tcPr/>
          <w:p>
            <w:pPr>
              <w:pStyle w:val="TableText"/>
            </w:pPr>
            <w:r>
              <w:t xml:space="preserve">No monolithic global store</w:t>
            </w:r>
          </w:p>
        </w:tc>
        <w:tc>
          <w:tcPr/>
          <w:p>
            <w:pPr>
              <w:pStyle w:val="TableText"/>
            </w:pPr>
            <w:r>
              <w:t xml:space="preserve">A single application-wide mutable store SHALL NOT become the default home for all state.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FE-P05</w:t>
            </w:r>
          </w:p>
        </w:tc>
        <w:tc>
          <w:tcPr/>
          <w:p>
            <w:pPr>
              <w:pStyle w:val="TableText"/>
            </w:pPr>
            <w:r>
              <w:t xml:space="preserve">Permission-aware by construction</w:t>
            </w:r>
          </w:p>
        </w:tc>
        <w:tc>
          <w:tcPr/>
          <w:p>
            <w:pPr>
              <w:pStyle w:val="TableText"/>
            </w:pPr>
            <w:r>
              <w:t xml:space="preserve">Components receive authorized data; restricted metadata SHALL not be cached or rendered merely because a route was guessed.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FE-P06</w:t>
            </w:r>
          </w:p>
        </w:tc>
        <w:tc>
          <w:tcPr/>
          <w:p>
            <w:pPr>
              <w:pStyle w:val="TableText"/>
            </w:pPr>
            <w:r>
              <w:t xml:space="preserve">Version-aware editing</w:t>
            </w:r>
          </w:p>
        </w:tc>
        <w:tc>
          <w:tcPr/>
          <w:p>
            <w:pPr>
              <w:pStyle w:val="TableText"/>
            </w:pPr>
            <w:r>
              <w:t xml:space="preserve">Editable canonical resources SHALL detect stale versions and prevent silent overwrite.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FE-P07</w:t>
            </w:r>
          </w:p>
        </w:tc>
        <w:tc>
          <w:tcPr/>
          <w:p>
            <w:pPr>
              <w:pStyle w:val="TableText"/>
            </w:pPr>
            <w:r>
              <w:t xml:space="preserve">Derived views stay derived</w:t>
            </w:r>
          </w:p>
        </w:tc>
        <w:tc>
          <w:tcPr/>
          <w:p>
            <w:pPr>
              <w:pStyle w:val="TableText"/>
            </w:pPr>
            <w:r>
              <w:t xml:space="preserve">Graph layouts, timeline positions and view filters SHALL NOT silently mutate canonical relationships, events or value flows.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FE-P08</w:t>
            </w:r>
          </w:p>
        </w:tc>
        <w:tc>
          <w:tcPr/>
          <w:p>
            <w:pPr>
              <w:pStyle w:val="TableText"/>
            </w:pPr>
            <w:r>
              <w:t xml:space="preserve">Uncertainty preserved</w:t>
            </w:r>
          </w:p>
        </w:tc>
        <w:tc>
          <w:tcPr/>
          <w:p>
            <w:pPr>
              <w:pStyle w:val="TableText"/>
            </w:pPr>
            <w:r>
              <w:t xml:space="preserve">Claim, fact, candidate, disputed, unknown and flow-class semantics persist through cache, form, visualization and export preview.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FE-P09</w:t>
            </w:r>
          </w:p>
        </w:tc>
        <w:tc>
          <w:tcPr/>
          <w:p>
            <w:pPr>
              <w:pStyle w:val="TableText"/>
            </w:pPr>
            <w:r>
              <w:t xml:space="preserve">Recover locally</w:t>
            </w:r>
          </w:p>
        </w:tc>
        <w:tc>
          <w:tcPr/>
          <w:p>
            <w:pPr>
              <w:pStyle w:val="TableText"/>
            </w:pPr>
            <w:r>
              <w:t xml:space="preserve">Component/feature failures SHOULD degrade locally before forcing a whole-app failure.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FE-P10</w:t>
            </w:r>
          </w:p>
        </w:tc>
        <w:tc>
          <w:tcPr/>
          <w:p>
            <w:pPr>
              <w:pStyle w:val="TableText"/>
            </w:pPr>
            <w:r>
              <w:t xml:space="preserve">Accessible state</w:t>
            </w:r>
          </w:p>
        </w:tc>
        <w:tc>
          <w:tcPr/>
          <w:p>
            <w:pPr>
              <w:pStyle w:val="TableText"/>
            </w:pPr>
            <w:r>
              <w:t xml:space="preserve">State changes, validation, loading and errors are exposed to keyboard and assistive technology.</w:t>
            </w:r>
          </w:p>
        </w:tc>
      </w:tr>
    </w:tbl>
    <w:bookmarkEnd w:id="11"/>
    <w:bookmarkStart w:id="12" w:name="X307cf249997d5c504f8899ce4dbd232a7a1b01b"/>
    <w:p>
      <w:pPr>
        <w:pStyle w:val="Heading1"/>
      </w:pPr>
      <w:r>
        <w:t xml:space="preserve">3. Reference Frontend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1"/>
        <w:gridCol w:w="2978"/>
        <w:gridCol w:w="358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Concern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Runtime</w:t>
            </w:r>
          </w:p>
        </w:tc>
        <w:tc>
          <w:tcPr/>
          <w:p>
            <w:pPr>
              <w:pStyle w:val="TableText"/>
            </w:pPr>
            <w:r>
              <w:t xml:space="preserve">React 19 + TypeScript</w:t>
            </w:r>
          </w:p>
        </w:tc>
        <w:tc>
          <w:tcPr/>
          <w:p>
            <w:pPr>
              <w:pStyle w:val="TableText"/>
            </w:pPr>
            <w:r>
              <w:t xml:space="preserve">Strict TypeScript SHALL be enabled;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is exceptional and justified.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Build</w:t>
            </w:r>
          </w:p>
        </w:tc>
        <w:tc>
          <w:tcPr/>
          <w:p>
            <w:pPr>
              <w:pStyle w:val="TableText"/>
            </w:pPr>
            <w:r>
              <w:t xml:space="preserve">Vite</w:t>
            </w:r>
          </w:p>
        </w:tc>
        <w:tc>
          <w:tcPr/>
          <w:p>
            <w:pPr>
              <w:pStyle w:val="TableText"/>
            </w:pPr>
            <w:r>
              <w:t xml:space="preserve">Environment variables exposed to browser are explicitly allowlisted.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Styling</w:t>
            </w:r>
          </w:p>
        </w:tc>
        <w:tc>
          <w:tcPr/>
          <w:p>
            <w:pPr>
              <w:pStyle w:val="TableText"/>
            </w:pPr>
            <w:r>
              <w:t xml:space="preserve">Tailwind CSS 4 + semantic CSS variables</w:t>
            </w:r>
          </w:p>
        </w:tc>
        <w:tc>
          <w:tcPr/>
          <w:p>
            <w:pPr>
              <w:pStyle w:val="TableText"/>
            </w:pPr>
            <w:r>
              <w:t xml:space="preserve">Feature code consumes semantic tokens; raw status colors are prohibited where tokens exist.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Routing</w:t>
            </w:r>
          </w:p>
        </w:tc>
        <w:tc>
          <w:tcPr/>
          <w:p>
            <w:pPr>
              <w:pStyle w:val="TableText"/>
            </w:pPr>
            <w:r>
              <w:t xml:space="preserve">React Router or equivalent</w:t>
            </w:r>
          </w:p>
        </w:tc>
        <w:tc>
          <w:tcPr/>
          <w:p>
            <w:pPr>
              <w:pStyle w:val="TableText"/>
            </w:pPr>
            <w:r>
              <w:t xml:space="preserve">Routes use stable canonical IDs; case context is explicit.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Server state</w:t>
            </w:r>
          </w:p>
        </w:tc>
        <w:tc>
          <w:tcPr/>
          <w:p>
            <w:pPr>
              <w:pStyle w:val="TableText"/>
            </w:pPr>
            <w:r>
              <w:t xml:space="preserve">TanStack Query or equivalent</w:t>
            </w:r>
          </w:p>
        </w:tc>
        <w:tc>
          <w:tcPr/>
          <w:p>
            <w:pPr>
              <w:pStyle w:val="TableText"/>
            </w:pPr>
            <w:r>
              <w:t xml:space="preserve">Remote cache, invalidation, deduplication and mutation lifecycle are centralized here.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Forms</w:t>
            </w:r>
          </w:p>
        </w:tc>
        <w:tc>
          <w:tcPr/>
          <w:p>
            <w:pPr>
              <w:pStyle w:val="TableText"/>
            </w:pPr>
            <w:r>
              <w:t xml:space="preserve">React Hook Form + schema validation or equivalent</w:t>
            </w:r>
          </w:p>
        </w:tc>
        <w:tc>
          <w:tcPr/>
          <w:p>
            <w:pPr>
              <w:pStyle w:val="TableText"/>
            </w:pPr>
            <w:r>
              <w:t xml:space="preserve">Form state stays local to form boundary; server validation is mapped back to fields.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Schema types</w:t>
            </w:r>
          </w:p>
        </w:tc>
        <w:tc>
          <w:tcPr/>
          <w:p>
            <w:pPr>
              <w:pStyle w:val="TableText"/>
            </w:pPr>
            <w:r>
              <w:t xml:space="preserve">TypeScript client/types generated from</w:t>
            </w:r>
            <w:r>
              <w:t xml:space="preserve"> </w:t>
            </w:r>
            <w:r>
              <w:rPr>
                <w:rStyle w:val="VerbatimChar"/>
              </w:rPr>
              <w:t xml:space="preserve">contracts/openapi.yaml</w:t>
            </w:r>
            <w:r>
              <w:t xml:space="preserve"> </w:t>
            </w:r>
            <w:r>
              <w:t xml:space="preserve">(OpenAPI 3.1; v0.1.2 covers the P0 slice plus the merged I3/I4 operations — assets, events/timeline, value-flow view, case graph, typologies, indicators, matches, hypothesis matrix, gaps — open items in API Specification §28)</w:t>
            </w:r>
          </w:p>
        </w:tc>
        <w:tc>
          <w:tcPr/>
          <w:p>
            <w:pPr>
              <w:pStyle w:val="TableText"/>
            </w:pPr>
            <w:r>
              <w:t xml:space="preserve">Handwritten duplicate DTO types SHOULD be minimized; enum types use the UPPER_SNAKE_CASE wire values.</w:t>
            </w:r>
            <w:r>
              <w:t xml:space="preserve"> </w:t>
            </w:r>
            <w:r>
              <w:rPr>
                <w:i/>
                <w:iCs/>
              </w:rPr>
              <w:t xml:space="preserve">[v0.1.1 · A09, A11]</w:t>
            </w:r>
            <w:r>
              <w:t xml:space="preserve"> </w:t>
            </w:r>
            <w:r>
              <w:rPr>
                <w:i/>
                <w:iCs/>
              </w:rPr>
              <w:t xml:space="preserve">[v0.1.2 · CR-I3-01, CR-I4-01]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Visualization</w:t>
            </w:r>
          </w:p>
        </w:tc>
        <w:tc>
          <w:tcPr/>
          <w:p>
            <w:pPr>
              <w:pStyle w:val="TableText"/>
            </w:pPr>
            <w:r>
              <w:t xml:space="preserve">Cytoscape.js + approved timeline/value-flow primitives</w:t>
            </w:r>
          </w:p>
        </w:tc>
        <w:tc>
          <w:tcPr/>
          <w:p>
            <w:pPr>
              <w:pStyle w:val="TableText"/>
            </w:pPr>
            <w:r>
              <w:t xml:space="preserve">Visualization state remains non-canonical.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Storybook</w:t>
            </w:r>
          </w:p>
        </w:tc>
        <w:tc>
          <w:tcPr/>
          <w:p>
            <w:pPr>
              <w:pStyle w:val="TableText"/>
            </w:pPr>
            <w:r>
              <w:t xml:space="preserve">Storybook</w:t>
            </w:r>
          </w:p>
        </w:tc>
        <w:tc>
          <w:tcPr/>
          <w:p>
            <w:pPr>
              <w:pStyle w:val="TableText"/>
            </w:pPr>
            <w:r>
              <w:t xml:space="preserve">Shared components and compound patterns require stories/test coverage.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Tests</w:t>
            </w:r>
          </w:p>
        </w:tc>
        <w:tc>
          <w:tcPr/>
          <w:p>
            <w:pPr>
              <w:pStyle w:val="TableText"/>
            </w:pPr>
            <w:r>
              <w:t xml:space="preserve">Vitest/Jest + Testing Library + Playwright</w:t>
            </w:r>
          </w:p>
        </w:tc>
        <w:tc>
          <w:tcPr/>
          <w:p>
            <w:pPr>
              <w:pStyle w:val="TableText"/>
            </w:pPr>
            <w:r>
              <w:t xml:space="preserve">Behavior first; implementation-detail tests discouraged.</w:t>
            </w:r>
          </w:p>
        </w:tc>
      </w:tr>
    </w:tbl>
    <w:bookmarkEnd w:id="12"/>
    <w:bookmarkStart w:id="13" w:name="X8841682244d9704e64ca0a18f7e72c60e0ef3dd"/>
    <w:p>
      <w:pPr>
        <w:pStyle w:val="Heading1"/>
      </w:pPr>
      <w:r>
        <w:t xml:space="preserve">4. Application Module Architecture</w:t>
      </w:r>
    </w:p>
    <w:p>
      <w:pPr>
        <w:pStyle w:val="SourceCode"/>
      </w:pPr>
      <w:r>
        <w:rPr>
          <w:rFonts w:ascii="Consolas" w:hAnsi="Consolas" w:cs="Consolas" w:eastAsia="Consolas"/>
          <w:sz w:val="18"/>
          <w:szCs w:val="18"/>
        </w:rPr>
        <w:t xml:space="preserve">frontend/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src/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app/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router/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providers/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error-boundaries/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features/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cases/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evidence/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entities/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relationships/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assets/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timeline/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valueflows/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typologies/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hypotheses/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assessments/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search/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graph/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products/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reviews/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dissemination/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administration/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audit/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shared/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api/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auth/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components/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design-system/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hooks/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types/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utils/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test/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1"/>
        <w:gridCol w:w="3346"/>
        <w:gridCol w:w="3212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May depend 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SHALL NOT depend 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app</w:t>
            </w:r>
          </w:p>
        </w:tc>
        <w:tc>
          <w:tcPr/>
          <w:p>
            <w:pPr>
              <w:pStyle w:val="TableText"/>
            </w:pPr>
            <w:r>
              <w:t xml:space="preserve">features, shared</w:t>
            </w:r>
          </w:p>
        </w:tc>
        <w:tc>
          <w:tcPr/>
          <w:p>
            <w:pPr>
              <w:pStyle w:val="TableText"/>
            </w:pPr>
            <w:r>
              <w:t xml:space="preserve">Feature internals via deep imports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feature</w:t>
            </w:r>
          </w:p>
        </w:tc>
        <w:tc>
          <w:tcPr/>
          <w:p>
            <w:pPr>
              <w:pStyle w:val="TableText"/>
            </w:pPr>
            <w:r>
              <w:t xml:space="preserve">shared, explicitly published contracts from another feature</w:t>
            </w:r>
          </w:p>
        </w:tc>
        <w:tc>
          <w:tcPr/>
          <w:p>
            <w:pPr>
              <w:pStyle w:val="TableText"/>
            </w:pPr>
            <w:r>
              <w:t xml:space="preserve">Another feature’s private components/store internals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shared API/auth</w:t>
            </w:r>
          </w:p>
        </w:tc>
        <w:tc>
          <w:tcPr/>
          <w:p>
            <w:pPr>
              <w:pStyle w:val="TableText"/>
            </w:pPr>
            <w:r>
              <w:t xml:space="preserve">generic infrastructure</w:t>
            </w:r>
          </w:p>
        </w:tc>
        <w:tc>
          <w:tcPr/>
          <w:p>
            <w:pPr>
              <w:pStyle w:val="TableText"/>
            </w:pPr>
            <w:r>
              <w:t xml:space="preserve">Feature UI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design-system</w:t>
            </w:r>
          </w:p>
        </w:tc>
        <w:tc>
          <w:tcPr/>
          <w:p>
            <w:pPr>
              <w:pStyle w:val="TableText"/>
            </w:pPr>
            <w:r>
              <w:t xml:space="preserve">tokens, generic utilities</w:t>
            </w:r>
          </w:p>
        </w:tc>
        <w:tc>
          <w:tcPr/>
          <w:p>
            <w:pPr>
              <w:pStyle w:val="TableText"/>
            </w:pPr>
            <w:r>
              <w:t xml:space="preserve">Case/entity/business-specific behavior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screen composition</w:t>
            </w:r>
          </w:p>
        </w:tc>
        <w:tc>
          <w:tcPr/>
          <w:p>
            <w:pPr>
              <w:pStyle w:val="TableText"/>
            </w:pPr>
            <w:r>
              <w:t xml:space="preserve">feature public components, design system</w:t>
            </w:r>
          </w:p>
        </w:tc>
        <w:tc>
          <w:tcPr/>
          <w:p>
            <w:pPr>
              <w:pStyle w:val="TableText"/>
            </w:pPr>
            <w:r>
              <w:t xml:space="preserve">Backend implementation details</w:t>
            </w:r>
          </w:p>
        </w:tc>
      </w:tr>
    </w:tbl>
    <w:p>
      <w:pPr>
        <w:pStyle w:val="BlockText"/>
      </w:pPr>
      <w:r>
        <w:rPr>
          <w:b/>
          <w:bCs/>
        </w:rPr>
        <w:t xml:space="preserve">Boundary rule</w:t>
      </w:r>
      <w:r>
        <w:br/>
      </w:r>
      <w:r>
        <w:t xml:space="preserve">Cross-feature imports SHOULD use explicit public barrels/contracts. If two features repeatedly depend on the same domain presentation primitive, promote that primitive deliberately rather than creating circular imports.</w:t>
      </w:r>
    </w:p>
    <w:bookmarkEnd w:id="13"/>
    <w:bookmarkStart w:id="14" w:name="Xc4a0fa1b9a2fcd744bb9751a25db0d2e0d5e84b"/>
    <w:p>
      <w:pPr>
        <w:pStyle w:val="Heading1"/>
      </w:pPr>
      <w:r>
        <w:t xml:space="preserve">5. Routing and Navigation State</w:t>
      </w:r>
    </w:p>
    <w:p>
      <w:pPr>
        <w:pStyle w:val="SourceCode"/>
      </w:pPr>
      <w:r>
        <w:rPr>
          <w:rFonts w:ascii="Consolas" w:hAnsi="Consolas" w:cs="Consolas" w:eastAsia="Consolas"/>
          <w:sz w:val="18"/>
          <w:szCs w:val="18"/>
        </w:rPr>
        <w:t xml:space="preserve">/cases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/cases/:caseId/overview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/cases/:caseId/evidence/:evidenceId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/entities/:entityId?case=:caseId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/analysis/value-flows?case=:caseId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/products/:productId/review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/search?q=...&amp;type=entity&amp;case=...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3"/>
        <w:gridCol w:w="1964"/>
        <w:gridCol w:w="4112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URL?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Reason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Canonical object ID</w:t>
            </w:r>
          </w:p>
        </w:tc>
        <w:tc>
          <w:tcPr/>
          <w:p>
            <w:pPr>
              <w:pStyle w:val="TableText"/>
            </w:pPr>
            <w:r>
              <w:t xml:space="preserve">YES</w:t>
            </w:r>
          </w:p>
        </w:tc>
        <w:tc>
          <w:tcPr/>
          <w:p>
            <w:pPr>
              <w:pStyle w:val="TableText"/>
            </w:pPr>
            <w:r>
              <w:t xml:space="preserve">Deep-linkable identity.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Case context</w:t>
            </w:r>
          </w:p>
        </w:tc>
        <w:tc>
          <w:tcPr/>
          <w:p>
            <w:pPr>
              <w:pStyle w:val="TableText"/>
            </w:pPr>
            <w:r>
              <w:t xml:space="preserve">YES where relevant</w:t>
            </w:r>
          </w:p>
        </w:tc>
        <w:tc>
          <w:tcPr/>
          <w:p>
            <w:pPr>
              <w:pStyle w:val="TableText"/>
            </w:pPr>
            <w:r>
              <w:t xml:space="preserve">Same entity may be opened inside different authorized case contexts.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tab/section</w:t>
            </w:r>
          </w:p>
        </w:tc>
        <w:tc>
          <w:tcPr/>
          <w:p>
            <w:pPr>
              <w:pStyle w:val="TableText"/>
            </w:pPr>
            <w:r>
              <w:t xml:space="preserve">YES</w:t>
            </w:r>
          </w:p>
        </w:tc>
        <w:tc>
          <w:tcPr/>
          <w:p>
            <w:pPr>
              <w:pStyle w:val="TableText"/>
            </w:pPr>
            <w:r>
              <w:t xml:space="preserve">Back/forward navigation and shareable context.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Search query/facets</w:t>
            </w:r>
          </w:p>
        </w:tc>
        <w:tc>
          <w:tcPr/>
          <w:p>
            <w:pPr>
              <w:pStyle w:val="TableText"/>
            </w:pPr>
            <w:r>
              <w:t xml:space="preserve">YES unless sensitive query policy forbids</w:t>
            </w:r>
          </w:p>
        </w:tc>
        <w:tc>
          <w:tcPr/>
          <w:p>
            <w:pPr>
              <w:pStyle w:val="TableText"/>
            </w:pPr>
            <w:r>
              <w:t xml:space="preserve">Reproducibility and navigation.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Inspector open/closed</w:t>
            </w:r>
          </w:p>
        </w:tc>
        <w:tc>
          <w:tcPr/>
          <w:p>
            <w:pPr>
              <w:pStyle w:val="TableText"/>
            </w:pPr>
            <w:r>
              <w:t xml:space="preserve">Usually NO</w:t>
            </w:r>
          </w:p>
        </w:tc>
        <w:tc>
          <w:tcPr/>
          <w:p>
            <w:pPr>
              <w:pStyle w:val="TableText"/>
            </w:pPr>
            <w:r>
              <w:t xml:space="preserve">Ephemeral view state.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Unsaved form values</w:t>
            </w:r>
          </w:p>
        </w:tc>
        <w:tc>
          <w:tcPr/>
          <w:p>
            <w:pPr>
              <w:pStyle w:val="TableText"/>
            </w:pPr>
            <w:r>
              <w:t xml:space="preserve">NO</w:t>
            </w:r>
          </w:p>
        </w:tc>
        <w:tc>
          <w:tcPr/>
          <w:p>
            <w:pPr>
              <w:pStyle w:val="TableText"/>
            </w:pPr>
            <w:r>
              <w:t xml:space="preserve">Sensitive local state; do not leak into history/URL.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Graph viewport coordinates</w:t>
            </w:r>
          </w:p>
        </w:tc>
        <w:tc>
          <w:tcPr/>
          <w:p>
            <w:pPr>
              <w:pStyle w:val="TableText"/>
            </w:pPr>
            <w:r>
              <w:t xml:space="preserve">Usually NO</w:t>
            </w:r>
          </w:p>
        </w:tc>
        <w:tc>
          <w:tcPr/>
          <w:p>
            <w:pPr>
              <w:pStyle w:val="TableText"/>
            </w:pPr>
            <w:r>
              <w:t xml:space="preserve">Derived visualization state; MAY persist as named saved view later.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Protected-source identifiers</w:t>
            </w:r>
          </w:p>
        </w:tc>
        <w:tc>
          <w:tcPr/>
          <w:p>
            <w:pPr>
              <w:pStyle w:val="TableText"/>
            </w:pPr>
            <w:r>
              <w:t xml:space="preserve">NO in ordinary route/query strings</w:t>
            </w:r>
          </w:p>
        </w:tc>
        <w:tc>
          <w:tcPr/>
          <w:p>
            <w:pPr>
              <w:pStyle w:val="TableText"/>
            </w:pPr>
            <w:r>
              <w:t xml:space="preserve">Avoid browser history/log leakage.</w:t>
            </w:r>
          </w:p>
        </w:tc>
      </w:tr>
    </w:tbl>
    <w:bookmarkEnd w:id="14"/>
    <w:bookmarkStart w:id="15" w:name="X818274ac6bc9f007aa4620dd54918b38a96cd81"/>
    <w:p>
      <w:pPr>
        <w:pStyle w:val="Heading1"/>
      </w:pPr>
      <w:r>
        <w:t xml:space="preserve">6. State Taxonomy and Ownership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1"/>
        <w:gridCol w:w="2647"/>
        <w:gridCol w:w="1361"/>
        <w:gridCol w:w="2549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State class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Examples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Persistence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Server state</w:t>
            </w:r>
          </w:p>
        </w:tc>
        <w:tc>
          <w:tcPr/>
          <w:p>
            <w:pPr>
              <w:pStyle w:val="TableText"/>
            </w:pPr>
            <w:r>
              <w:t xml:space="preserve">Case, entity, evidence metadata, assessment version, review status</w:t>
            </w:r>
          </w:p>
        </w:tc>
        <w:tc>
          <w:tcPr/>
          <w:p>
            <w:pPr>
              <w:pStyle w:val="TableText"/>
            </w:pPr>
            <w:r>
              <w:t xml:space="preserve">Query/cache layer backed by API</w:t>
            </w:r>
          </w:p>
        </w:tc>
        <w:tc>
          <w:tcPr/>
          <w:p>
            <w:pPr>
              <w:pStyle w:val="TableText"/>
            </w:pPr>
            <w:r>
              <w:t xml:space="preserve">Remote canonical; client cache ephemeral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Form state</w:t>
            </w:r>
          </w:p>
        </w:tc>
        <w:tc>
          <w:tcPr/>
          <w:p>
            <w:pPr>
              <w:pStyle w:val="TableText"/>
            </w:pPr>
            <w:r>
              <w:t xml:space="preserve">Unsaved charter fields, hypothesis edit, relationship editor</w:t>
            </w:r>
          </w:p>
        </w:tc>
        <w:tc>
          <w:tcPr/>
          <w:p>
            <w:pPr>
              <w:pStyle w:val="TableText"/>
            </w:pPr>
            <w:r>
              <w:t xml:space="preserve">Form boundary</w:t>
            </w:r>
          </w:p>
        </w:tc>
        <w:tc>
          <w:tcPr/>
          <w:p>
            <w:pPr>
              <w:pStyle w:val="TableText"/>
            </w:pPr>
            <w:r>
              <w:t xml:space="preserve">Memory; optional safe draft policy only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Navigation state</w:t>
            </w:r>
          </w:p>
        </w:tc>
        <w:tc>
          <w:tcPr/>
          <w:p>
            <w:pPr>
              <w:pStyle w:val="TableText"/>
            </w:pPr>
            <w:r>
              <w:t xml:space="preserve">Route, case context, active tab, filters</w:t>
            </w:r>
          </w:p>
        </w:tc>
        <w:tc>
          <w:tcPr/>
          <w:p>
            <w:pPr>
              <w:pStyle w:val="TableText"/>
            </w:pPr>
            <w:r>
              <w:t xml:space="preserve">Router/URL</w:t>
            </w:r>
          </w:p>
        </w:tc>
        <w:tc>
          <w:tcPr/>
          <w:p>
            <w:pPr>
              <w:pStyle w:val="TableText"/>
            </w:pPr>
            <w:r>
              <w:t xml:space="preserve">Browser history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Workflow UI state</w:t>
            </w:r>
          </w:p>
        </w:tc>
        <w:tc>
          <w:tcPr/>
          <w:p>
            <w:pPr>
              <w:pStyle w:val="TableText"/>
            </w:pPr>
            <w:r>
              <w:t xml:space="preserve">Wizard step, review panel state</w:t>
            </w:r>
          </w:p>
        </w:tc>
        <w:tc>
          <w:tcPr/>
          <w:p>
            <w:pPr>
              <w:pStyle w:val="TableText"/>
            </w:pPr>
            <w:r>
              <w:t xml:space="preserve">Feature component</w:t>
            </w:r>
          </w:p>
        </w:tc>
        <w:tc>
          <w:tcPr/>
          <w:p>
            <w:pPr>
              <w:pStyle w:val="TableText"/>
            </w:pPr>
            <w:r>
              <w:t xml:space="preserve">Memory; derive from server when material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Visualization state</w:t>
            </w:r>
          </w:p>
        </w:tc>
        <w:tc>
          <w:tcPr/>
          <w:p>
            <w:pPr>
              <w:pStyle w:val="TableText"/>
            </w:pPr>
            <w:r>
              <w:t xml:space="preserve">Selected graph nodes, zoom, hidden layers, timeline scale</w:t>
            </w:r>
          </w:p>
        </w:tc>
        <w:tc>
          <w:tcPr/>
          <w:p>
            <w:pPr>
              <w:pStyle w:val="TableText"/>
            </w:pPr>
            <w:r>
              <w:t xml:space="preserve">Visualization controller</w:t>
            </w:r>
          </w:p>
        </w:tc>
        <w:tc>
          <w:tcPr/>
          <w:p>
            <w:pPr>
              <w:pStyle w:val="TableText"/>
            </w:pPr>
            <w:r>
              <w:t xml:space="preserve">Memory; optional saved view, never canonical relationship truth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Ephemeral UI state</w:t>
            </w:r>
          </w:p>
        </w:tc>
        <w:tc>
          <w:tcPr/>
          <w:p>
            <w:pPr>
              <w:pStyle w:val="TableText"/>
            </w:pPr>
            <w:r>
              <w:t xml:space="preserve">Modal open, tooltip, toast, drawer</w:t>
            </w:r>
          </w:p>
        </w:tc>
        <w:tc>
          <w:tcPr/>
          <w:p>
            <w:pPr>
              <w:pStyle w:val="TableText"/>
            </w:pPr>
            <w:r>
              <w:t xml:space="preserve">Local component</w:t>
            </w:r>
          </w:p>
        </w:tc>
        <w:tc>
          <w:tcPr/>
          <w:p>
            <w:pPr>
              <w:pStyle w:val="TableText"/>
            </w:pPr>
            <w:r>
              <w:t xml:space="preserve">Memory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Session/auth state</w:t>
            </w:r>
          </w:p>
        </w:tc>
        <w:tc>
          <w:tcPr/>
          <w:p>
            <w:pPr>
              <w:pStyle w:val="TableText"/>
            </w:pPr>
            <w:r>
              <w:t xml:space="preserve">Authenticated principal,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(display only), session expiry, coarse capabilities and</w:t>
            </w:r>
            <w:r>
              <w:t xml:space="preserve"> </w:t>
            </w:r>
            <w:r>
              <w:rPr>
                <w:rStyle w:val="VerbatimChar"/>
              </w:rPr>
              <w:t xml:space="preserve">csrf_token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GET /auth/session</w:t>
            </w:r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[v0.1.2 · CR-I1-03, CR-I1-07]</w:t>
            </w:r>
          </w:p>
        </w:tc>
        <w:tc>
          <w:tcPr/>
          <w:p>
            <w:pPr>
              <w:pStyle w:val="TableText"/>
            </w:pPr>
            <w:r>
              <w:t xml:space="preserve">Auth provider</w:t>
            </w:r>
          </w:p>
        </w:tc>
        <w:tc>
          <w:tcPr/>
          <w:p>
            <w:pPr>
              <w:pStyle w:val="TableText"/>
            </w:pPr>
            <w:r>
              <w:t xml:space="preserve">Memory only; the HttpOnly session cookie is not readable by JavaScript and no tokens exist in the browser; the CSRF token is held in memory only and there is no CSRF cookie</w:t>
            </w:r>
            <w:r>
              <w:t xml:space="preserve"> </w:t>
            </w:r>
            <w:r>
              <w:rPr>
                <w:i/>
                <w:iCs/>
              </w:rPr>
              <w:t xml:space="preserve">[v0.1.1 · A11]</w:t>
            </w:r>
            <w:r>
              <w:t xml:space="preserve"> </w:t>
            </w:r>
            <w:r>
              <w:rPr>
                <w:i/>
                <w:iCs/>
              </w:rPr>
              <w:t xml:space="preserve">[v0.1.2 · CR-I1-03]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Preference state</w:t>
            </w:r>
          </w:p>
        </w:tc>
        <w:tc>
          <w:tcPr/>
          <w:p>
            <w:pPr>
              <w:pStyle w:val="TableText"/>
            </w:pPr>
            <w:r>
              <w:t xml:space="preserve">Density, reduced motion, column visibility</w:t>
            </w:r>
          </w:p>
        </w:tc>
        <w:tc>
          <w:tcPr/>
          <w:p>
            <w:pPr>
              <w:pStyle w:val="TableText"/>
            </w:pPr>
            <w:r>
              <w:t xml:space="preserve">Preference service/local storage if approved</w:t>
            </w:r>
          </w:p>
        </w:tc>
        <w:tc>
          <w:tcPr/>
          <w:p>
            <w:pPr>
              <w:pStyle w:val="TableText"/>
            </w:pPr>
            <w:r>
              <w:t xml:space="preserve">Local or server preference; no sensitive case content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Hard rule</w:t>
      </w:r>
      <w:r>
        <w:br/>
      </w:r>
      <w:r>
        <w:t xml:space="preserve">Canonical server state SHALL NOT be copied into a global mutable store merely to make it easy to access. Use normalized/query cache access and feature selectors instead. Duplicate copies create version drift and authorization leakage risk.</w:t>
      </w:r>
    </w:p>
    <w:bookmarkEnd w:id="15"/>
    <w:bookmarkStart w:id="16" w:name="X6f0c638b4e0a9f3cfe4f8f7514124f671be9101"/>
    <w:p>
      <w:pPr>
        <w:pStyle w:val="Heading1"/>
      </w:pPr>
      <w:r>
        <w:t xml:space="preserve">7. Server-State Management</w:t>
      </w:r>
    </w:p>
    <w:p>
      <w:pPr>
        <w:numPr>
          <w:ilvl w:val="0"/>
          <w:numId w:val="1001"/>
        </w:numPr>
      </w:pPr>
      <w:r>
        <w:t xml:space="preserve">Every query key SHALL include all dimensions that materially change authorization or representation, including canonical object ID, case context where relevant, and relevant filters.</w:t>
      </w:r>
    </w:p>
    <w:p>
      <w:pPr>
        <w:numPr>
          <w:ilvl w:val="0"/>
          <w:numId w:val="1001"/>
        </w:numPr>
      </w:pPr>
      <w:r>
        <w:t xml:space="preserve">Cache entries SHALL be invalidated or updated after successful canonical mutations according to explicit mutation contracts.</w:t>
      </w:r>
    </w:p>
    <w:p>
      <w:pPr>
        <w:numPr>
          <w:ilvl w:val="0"/>
          <w:numId w:val="1001"/>
        </w:numPr>
      </w:pPr>
      <w:r>
        <w:t xml:space="preserve">Unauthorized/forbidden responses SHALL not be cached as if they were ordinary empty data.</w:t>
      </w:r>
    </w:p>
    <w:p>
      <w:pPr>
        <w:numPr>
          <w:ilvl w:val="0"/>
          <w:numId w:val="1001"/>
        </w:numPr>
      </w:pPr>
      <w:r>
        <w:t xml:space="preserve">Query retries SHOULD be disabled or limited for 401/403/404 non-disclosing authorization outcomes. Mutations SHALL NOT be automatically retried on 409, 412, 422 or 428; automatic retry of a high-impact command after a network failure SHALL reuse the same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.</w:t>
      </w:r>
      <w:r>
        <w:t xml:space="preserve"> </w:t>
      </w:r>
      <w:r>
        <w:rPr>
          <w:i/>
          <w:iCs/>
        </w:rPr>
        <w:t xml:space="preserve">[v0.1.1 · A04, A11]</w:t>
      </w:r>
    </w:p>
    <w:p>
      <w:pPr>
        <w:numPr>
          <w:ilvl w:val="0"/>
          <w:numId w:val="1001"/>
        </w:numPr>
      </w:pPr>
      <w:r>
        <w:t xml:space="preserve">Background refetch MAY refresh read screens; editable screens require version-aware reconciliation before replacing user-visible data.</w:t>
      </w:r>
    </w:p>
    <w:p>
      <w:pPr>
        <w:numPr>
          <w:ilvl w:val="0"/>
          <w:numId w:val="1001"/>
        </w:numPr>
      </w:pPr>
      <w:r>
        <w:t xml:space="preserve">Prefetch MAY be used for ordinary objects but SHALL NOT prefetch protected-source identity or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/</w:t>
      </w:r>
      <w:r>
        <w:rPr>
          <w:rStyle w:val="VerbatimChar"/>
        </w:rPr>
        <w:t xml:space="preserve">SOURCE_PROTECTED</w:t>
      </w:r>
      <w:r>
        <w:t xml:space="preserve"> </w:t>
      </w:r>
      <w:r>
        <w:t xml:space="preserve">content without an explicit authorized task.</w:t>
      </w:r>
      <w:r>
        <w:t xml:space="preserve"> </w:t>
      </w:r>
      <w:r>
        <w:rPr>
          <w:i/>
          <w:iCs/>
        </w:rPr>
        <w:t xml:space="preserve">[v0.1.1 · A08]</w:t>
      </w:r>
    </w:p>
    <w:p>
      <w:pPr>
        <w:numPr>
          <w:ilvl w:val="0"/>
          <w:numId w:val="1001"/>
        </w:numPr>
      </w:pPr>
      <w:r>
        <w:t xml:space="preserve">Client caches SHALL be cleared on logout/session revocation (including a 401 after back-channel revocation) and SHOULD be scoped to the authenticated principal.</w:t>
      </w:r>
      <w:r>
        <w:t xml:space="preserve"> </w:t>
      </w:r>
      <w:r>
        <w:rPr>
          <w:i/>
          <w:iCs/>
        </w:rPr>
        <w:t xml:space="preserve">[v0.1.1 · A11]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0"/>
        <w:gridCol w:w="5879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Query example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Key shape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Case overview</w:t>
            </w:r>
          </w:p>
        </w:tc>
        <w:tc>
          <w:tcPr/>
          <w:p>
            <w:pPr>
              <w:pStyle w:val="TableText"/>
            </w:pPr>
            <w:r>
              <w:t xml:space="preserve">["case", caseId, "overview"]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Entity detail in case</w:t>
            </w:r>
          </w:p>
        </w:tc>
        <w:tc>
          <w:tcPr/>
          <w:p>
            <w:pPr>
              <w:pStyle w:val="TableText"/>
            </w:pPr>
            <w:r>
              <w:t xml:space="preserve">["entity", entityId, {caseId}]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 reader</w:t>
            </w:r>
          </w:p>
        </w:tc>
        <w:tc>
          <w:tcPr/>
          <w:p>
            <w:pPr>
              <w:pStyle w:val="TableText"/>
            </w:pPr>
            <w:r>
              <w:t xml:space="preserve">["evidence", evidenceId, {caseId, version}]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Search</w:t>
            </w:r>
          </w:p>
        </w:tc>
        <w:tc>
          <w:tcPr/>
          <w:p>
            <w:pPr>
              <w:pStyle w:val="TableText"/>
            </w:pPr>
            <w:r>
              <w:t xml:space="preserve">["search", {q,type,caseId,filters,page}]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Review product</w:t>
            </w:r>
          </w:p>
        </w:tc>
        <w:tc>
          <w:tcPr/>
          <w:p>
            <w:pPr>
              <w:pStyle w:val="TableText"/>
            </w:pPr>
            <w:r>
              <w:t xml:space="preserve">["product", productId, {version, mode:"review"}]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Case claims / facts (features/evidence)</w:t>
            </w:r>
          </w:p>
        </w:tc>
        <w:tc>
          <w:tcPr/>
          <w:p>
            <w:pPr>
              <w:pStyle w:val="TableText"/>
            </w:pPr>
            <w:r>
              <w:t xml:space="preserve">["case", caseId, "claims", filters], ["case", caseId, "facts", filters]</w:t>
            </w:r>
            <w:r>
              <w:t xml:space="preserve"> </w:t>
            </w:r>
            <w:r>
              <w:rPr>
                <w:i/>
                <w:iCs/>
              </w:rPr>
              <w:t xml:space="preserve">[v0.1.1 · C17]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Claim / fact detail (features/evidence)</w:t>
            </w:r>
          </w:p>
        </w:tc>
        <w:tc>
          <w:tcPr/>
          <w:p>
            <w:pPr>
              <w:pStyle w:val="TableText"/>
            </w:pPr>
            <w:r>
              <w:t xml:space="preserve">["claim", claimId], ["claim", claimId, "verification-decisions"], ["fact", factId], ["fact", factId, "dependents"]</w:t>
            </w:r>
            <w:r>
              <w:t xml:space="preserve"> </w:t>
            </w:r>
            <w:r>
              <w:rPr>
                <w:i/>
                <w:iCs/>
              </w:rPr>
              <w:t xml:space="preserve">[v0.1.1 · C17]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Resolution decisions (features/entities)</w:t>
            </w:r>
          </w:p>
        </w:tc>
        <w:tc>
          <w:tcPr/>
          <w:p>
            <w:pPr>
              <w:pStyle w:val="TableText"/>
            </w:pPr>
            <w:r>
              <w:t xml:space="preserve">["entity", entityId, "resolution-decisions"], ["entity-match-candidates", filters]</w:t>
            </w:r>
            <w:r>
              <w:t xml:space="preserve"> </w:t>
            </w:r>
            <w:r>
              <w:rPr>
                <w:i/>
                <w:iCs/>
              </w:rPr>
              <w:t xml:space="preserve">[v0.1.1 · C17]</w:t>
            </w:r>
          </w:p>
        </w:tc>
      </w:tr>
    </w:tbl>
    <w:bookmarkEnd w:id="16"/>
    <w:bookmarkStart w:id="17" w:name="Xfe78fc9aafd0587ef73d000524d9a07d4137de7"/>
    <w:p>
      <w:pPr>
        <w:pStyle w:val="Heading1"/>
      </w:pPr>
      <w:r>
        <w:t xml:space="preserve">8. Mutation and Concurrency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1172"/>
        <w:gridCol w:w="5218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Mutation type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Optimistic?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Low-impact preference</w:t>
            </w:r>
          </w:p>
        </w:tc>
        <w:tc>
          <w:tcPr/>
          <w:p>
            <w:pPr>
              <w:pStyle w:val="TableText"/>
            </w:pPr>
            <w:r>
              <w:t xml:space="preserve">YES</w:t>
            </w:r>
          </w:p>
        </w:tc>
        <w:tc>
          <w:tcPr/>
          <w:p>
            <w:pPr>
              <w:pStyle w:val="TableText"/>
            </w:pPr>
            <w:r>
              <w:t xml:space="preserve">May update locally and rollback on failure.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Task status</w:t>
            </w:r>
          </w:p>
        </w:tc>
        <w:tc>
          <w:tcPr/>
          <w:p>
            <w:pPr>
              <w:pStyle w:val="TableText"/>
            </w:pPr>
            <w:r>
              <w:t xml:space="preserve">Conditional</w:t>
            </w:r>
          </w:p>
        </w:tc>
        <w:tc>
          <w:tcPr/>
          <w:p>
            <w:pPr>
              <w:pStyle w:val="TableText"/>
            </w:pPr>
            <w:r>
              <w:t xml:space="preserve">Only if authorization and version conflicts are simple; failure visibly rolls back.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Entity merge/unmerge</w:t>
            </w:r>
          </w:p>
        </w:tc>
        <w:tc>
          <w:tcPr/>
          <w:p>
            <w:pPr>
              <w:pStyle w:val="TableText"/>
            </w:pPr>
            <w:r>
              <w:t xml:space="preserve">NO</w:t>
            </w:r>
          </w:p>
        </w:tc>
        <w:tc>
          <w:tcPr/>
          <w:p>
            <w:pPr>
              <w:pStyle w:val="TableText"/>
            </w:pPr>
            <w:r>
              <w:t xml:space="preserve">High-impact/reversible canonical action; wait for server result. Resolution decisions likewise; send</w:t>
            </w:r>
            <w:r>
              <w:t xml:space="preserve"> </w:t>
            </w:r>
            <w:r>
              <w:rPr>
                <w:rStyle w:val="VerbatimChar"/>
              </w:rPr>
              <w:t xml:space="preserve">expected_versions</w:t>
            </w:r>
            <w:r>
              <w:t xml:space="preserve"> </w:t>
            </w:r>
            <w:r>
              <w:t xml:space="preserve">(§8 concurrency contract).</w:t>
            </w:r>
            <w:r>
              <w:t xml:space="preserve"> </w:t>
            </w:r>
            <w:r>
              <w:rPr>
                <w:i/>
                <w:iCs/>
              </w:rPr>
              <w:t xml:space="preserve">[v0.1.1 · C17]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Claim verification decision / fact command</w:t>
            </w:r>
          </w:p>
        </w:tc>
        <w:tc>
          <w:tcPr/>
          <w:p>
            <w:pPr>
              <w:pStyle w:val="TableText"/>
            </w:pPr>
            <w:r>
              <w:t xml:space="preserve">NO</w:t>
            </w:r>
          </w:p>
        </w:tc>
        <w:tc>
          <w:tcPr/>
          <w:p>
            <w:pPr>
              <w:pStyle w:val="TableText"/>
            </w:pPr>
            <w:r>
              <w:t xml:space="preserve">Append-only decision with reviewer-independence checks; wait for server result, then invalidate the claim or fact, its dependents and dependent assessments/products.</w:t>
            </w:r>
            <w:r>
              <w:t xml:space="preserve"> </w:t>
            </w:r>
            <w:r>
              <w:rPr>
                <w:i/>
                <w:iCs/>
              </w:rPr>
              <w:t xml:space="preserve">[v0.1.1 · C17]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 metadata affecting provenance</w:t>
            </w:r>
          </w:p>
        </w:tc>
        <w:tc>
          <w:tcPr/>
          <w:p>
            <w:pPr>
              <w:pStyle w:val="TableText"/>
            </w:pPr>
            <w:r>
              <w:t xml:space="preserve">NO</w:t>
            </w:r>
          </w:p>
        </w:tc>
        <w:tc>
          <w:tcPr/>
          <w:p>
            <w:pPr>
              <w:pStyle w:val="TableText"/>
            </w:pPr>
            <w:r>
              <w:t xml:space="preserve">Server validates integrity/version.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Assessment finalization</w:t>
            </w:r>
          </w:p>
        </w:tc>
        <w:tc>
          <w:tcPr/>
          <w:p>
            <w:pPr>
              <w:pStyle w:val="TableText"/>
            </w:pPr>
            <w:r>
              <w:t xml:space="preserve">NO</w:t>
            </w:r>
          </w:p>
        </w:tc>
        <w:tc>
          <w:tcPr/>
          <w:p>
            <w:pPr>
              <w:pStyle w:val="TableText"/>
            </w:pPr>
            <w:r>
              <w:t xml:space="preserve">Requires server gate/version validation.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Review approval/rejection</w:t>
            </w:r>
          </w:p>
        </w:tc>
        <w:tc>
          <w:tcPr/>
          <w:p>
            <w:pPr>
              <w:pStyle w:val="TableText"/>
            </w:pPr>
            <w:r>
              <w:t xml:space="preserve">NO</w:t>
            </w:r>
          </w:p>
        </w:tc>
        <w:tc>
          <w:tcPr/>
          <w:p>
            <w:pPr>
              <w:pStyle w:val="TableText"/>
            </w:pPr>
            <w:r>
              <w:t xml:space="preserve">High-impact decision and independence checks.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Dissemination approval/export</w:t>
            </w:r>
          </w:p>
        </w:tc>
        <w:tc>
          <w:tcPr/>
          <w:p>
            <w:pPr>
              <w:pStyle w:val="TableText"/>
            </w:pPr>
            <w:r>
              <w:t xml:space="preserve">NO</w:t>
            </w:r>
          </w:p>
        </w:tc>
        <w:tc>
          <w:tcPr/>
          <w:p>
            <w:pPr>
              <w:pStyle w:val="TableText"/>
            </w:pPr>
            <w:r>
              <w:t xml:space="preserve">Server authorization/audit must succeed first.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Graph selection/layout</w:t>
            </w:r>
          </w:p>
        </w:tc>
        <w:tc>
          <w:tcPr/>
          <w:p>
            <w:pPr>
              <w:pStyle w:val="TableText"/>
            </w:pPr>
            <w:r>
              <w:t xml:space="preserve">Local only</w:t>
            </w:r>
          </w:p>
        </w:tc>
        <w:tc>
          <w:tcPr/>
          <w:p>
            <w:pPr>
              <w:pStyle w:val="TableText"/>
            </w:pPr>
            <w:r>
              <w:t xml:space="preserve">Not a canonical mutation.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Concurrency contract</w:t>
      </w:r>
      <w:r>
        <w:t xml:space="preserve"> </w:t>
      </w:r>
      <w:r>
        <w:rPr>
          <w:i/>
          <w:iCs/>
        </w:rPr>
        <w:t xml:space="preserve">[v0.1.1 · A04]</w:t>
      </w:r>
      <w:r>
        <w:br/>
      </w:r>
      <w:r>
        <w:t xml:space="preserve">Editable canonical resources carry</w:t>
      </w:r>
      <w:r>
        <w:t xml:space="preserve"> </w:t>
      </w:r>
      <w:r>
        <w:rPr>
          <w:rStyle w:val="VerbatimChar"/>
        </w:rPr>
        <w:t xml:space="preserve">record_version</w:t>
      </w:r>
      <w:r>
        <w:t xml:space="preserve">, returned as</w:t>
      </w:r>
      <w:r>
        <w:t xml:space="preserve"> </w:t>
      </w:r>
      <w:r>
        <w:rPr>
          <w:rStyle w:val="VerbatimChar"/>
        </w:rPr>
        <w:t xml:space="preserve">ETag: "&lt;record_version&gt;"</w:t>
      </w:r>
      <w:r>
        <w:t xml:space="preserve"> </w:t>
      </w:r>
      <w:r>
        <w:t xml:space="preserve">on GET. Every mutation of a versioned resource SHALL send</w:t>
      </w:r>
      <w:r>
        <w:t xml:space="preserve"> </w:t>
      </w:r>
      <w:r>
        <w:rPr>
          <w:rStyle w:val="VerbatimChar"/>
        </w:rPr>
        <w:t xml:space="preserve">If-Match: "&lt;record_version&gt;"</w:t>
      </w:r>
      <w:r>
        <w:t xml:space="preserve"> </w:t>
      </w:r>
      <w:r>
        <w:t xml:space="preserve">from the version the user is editing. Exception: multi-entity commands (entity merge, unmerge,</w:t>
      </w:r>
      <w:r>
        <w:t xml:space="preserve"> </w:t>
      </w:r>
      <w:r>
        <w:rPr>
          <w:rStyle w:val="VerbatimChar"/>
        </w:rPr>
        <w:t xml:space="preserve">POST /resolution-decisions</w:t>
      </w:r>
      <w:r>
        <w:t xml:space="preserve">, match-candidate decisions) send no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; they send a body map</w:t>
      </w:r>
      <w:r>
        <w:t xml:space="preserve"> </w:t>
      </w:r>
      <w:r>
        <w:rPr>
          <w:rStyle w:val="VerbatimChar"/>
        </w:rPr>
        <w:t xml:space="preserve">expected_versions: {&lt;entityId&gt;: &lt;record_version&gt;}</w:t>
      </w:r>
      <w:r>
        <w:t xml:space="preserve"> </w:t>
      </w:r>
      <w:r>
        <w:t xml:space="preserve">built from the versions of every subject entity shown to the user (API Specification §10, §14).</w:t>
      </w:r>
      <w:r>
        <w:t xml:space="preserve"> </w:t>
      </w:r>
      <w:r>
        <w:rPr>
          <w:i/>
          <w:iCs/>
        </w:rPr>
        <w:t xml:space="preserve">[v0.1.1 · C03]</w:t>
      </w:r>
      <w:r>
        <w:t xml:space="preserve"> </w:t>
      </w:r>
      <w:r>
        <w:t xml:space="preserve">The frontend SHALL NOT silently overwrite the newer server version. Response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5"/>
        <w:gridCol w:w="561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Frontend behavior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412 PRECONDITION_FAILED</w:t>
            </w:r>
          </w:p>
        </w:tc>
        <w:tc>
          <w:tcPr/>
          <w:p>
            <w:pPr>
              <w:pStyle w:val="TableText"/>
            </w:pPr>
            <w:r>
              <w:t xml:space="preserve">"Record changed" recovery: keep the user's unsaved edits, show</w:t>
            </w:r>
            <w:r>
              <w:t xml:space="preserve"> </w:t>
            </w:r>
            <w:r>
              <w:rPr>
                <w:rStyle w:val="VerbatimChar"/>
              </w:rPr>
              <w:t xml:space="preserve">details.current_record_version</w:t>
            </w:r>
            <w:r>
              <w:t xml:space="preserve">, offer compare/reload/re-apply. For multi-entity commands the error carries</w:t>
            </w:r>
            <w:r>
              <w:t xml:space="preserve"> </w:t>
            </w:r>
            <w:r>
              <w:rPr>
                <w:rStyle w:val="VerbatimChar"/>
              </w:rPr>
              <w:t xml:space="preserve">details.current_record_versions</w:t>
            </w:r>
            <w:r>
              <w:t xml:space="preserve"> </w:t>
            </w:r>
            <w:r>
              <w:t xml:space="preserve">(map of entityId → current record_version): identify every changed entity, refetch them, and ask the user to re-confirm the merge/decision against the current versions.</w:t>
            </w:r>
            <w:r>
              <w:t xml:space="preserve"> </w:t>
            </w:r>
            <w:r>
              <w:rPr>
                <w:i/>
                <w:iCs/>
              </w:rPr>
              <w:t xml:space="preserve">[v0.1.1 · C03]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409 STATE_CONFLICT</w:t>
            </w:r>
          </w:p>
        </w:tc>
        <w:tc>
          <w:tcPr/>
          <w:p>
            <w:pPr>
              <w:pStyle w:val="TableText"/>
            </w:pPr>
            <w:r>
              <w:t xml:space="preserve">Workflow message explaining the state that blocks the action (e.g. gate not satisfied, already finalized); refetch the object state; no compare/merge flow.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428 PRECONDITION_REQUIRED</w:t>
            </w:r>
          </w:p>
        </w:tc>
        <w:tc>
          <w:tcPr/>
          <w:p>
            <w:pPr>
              <w:pStyle w:val="TableText"/>
            </w:pPr>
            <w:r>
              <w:t xml:space="preserve">Client bug (missing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  <w:r>
              <w:t xml:space="preserve">, or missing/incomplete</w:t>
            </w:r>
            <w:r>
              <w:t xml:space="preserve"> </w:t>
            </w:r>
            <w:r>
              <w:rPr>
                <w:rStyle w:val="VerbatimChar"/>
              </w:rPr>
              <w:t xml:space="preserve">expected_versions</w:t>
            </w:r>
            <w:r>
              <w:t xml:space="preserve"> </w:t>
            </w:r>
            <w:r>
              <w:rPr>
                <w:i/>
                <w:iCs/>
              </w:rPr>
              <w:t xml:space="preserve">[v0.1.1 · C03]</w:t>
            </w:r>
            <w:r>
              <w:t xml:space="preserve">): generic error with correlation ID, reported to telemetry; never shown as a user conflict.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409 IDEMPOTENCY_IN_PROGRESS</w:t>
            </w:r>
          </w:p>
        </w:tc>
        <w:tc>
          <w:tcPr/>
          <w:p>
            <w:pPr>
              <w:pStyle w:val="TableText"/>
            </w:pPr>
            <w:r>
              <w:t xml:space="preserve">Wait per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and poll/retry with the same key.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422 IDEMPOTENCY_KEY_REUSED</w:t>
            </w:r>
          </w:p>
        </w:tc>
        <w:tc>
          <w:tcPr/>
          <w:p>
            <w:pPr>
              <w:pStyle w:val="TableText"/>
            </w:pPr>
            <w:r>
              <w:t xml:space="preserve">Client bug: a key was reused with a different payload.</w:t>
            </w:r>
          </w:p>
        </w:tc>
      </w:tr>
    </w:tbl>
    <w:p>
      <w:pPr>
        <w:pStyle w:val="BlockText"/>
      </w:pPr>
      <w:r>
        <w:t xml:space="preserve">The v0.1 error code</w:t>
      </w:r>
      <w:r>
        <w:t xml:space="preserve"> </w:t>
      </w:r>
      <w:r>
        <w:rPr>
          <w:rStyle w:val="VerbatimChar"/>
        </w:rPr>
        <w:t xml:space="preserve">VERSION_CONFLICT</w:t>
      </w:r>
      <w:r>
        <w:t xml:space="preserve"> </w:t>
      </w:r>
      <w:r>
        <w:t xml:space="preserve">is retired and SHALL NOT be mapped.</w:t>
      </w:r>
    </w:p>
    <w:bookmarkEnd w:id="17"/>
    <w:bookmarkStart w:id="18" w:name="X7de5b414725fc25be0f4e64384108d40b4d0882"/>
    <w:p>
      <w:pPr>
        <w:pStyle w:val="Heading1"/>
      </w:pPr>
      <w:r>
        <w:t xml:space="preserve">9. Form Architecture</w:t>
      </w:r>
    </w:p>
    <w:p>
      <w:pPr>
        <w:numPr>
          <w:ilvl w:val="0"/>
          <w:numId w:val="1002"/>
        </w:numPr>
      </w:pPr>
      <w:r>
        <w:t xml:space="preserve">Forms SHALL use client-side schema validation for immediate feedback and server-side validation as authority.</w:t>
      </w:r>
    </w:p>
    <w:p>
      <w:pPr>
        <w:numPr>
          <w:ilvl w:val="0"/>
          <w:numId w:val="1002"/>
        </w:numPr>
      </w:pPr>
      <w:r>
        <w:t xml:space="preserve">Unknown, null, approximate and zero SHALL remain distinct values where the domain model distinguishes them.</w:t>
      </w:r>
    </w:p>
    <w:p>
      <w:pPr>
        <w:numPr>
          <w:ilvl w:val="0"/>
          <w:numId w:val="1002"/>
        </w:numPr>
      </w:pPr>
      <w:r>
        <w:t xml:space="preserve">Unsaved changes SHALL trigger safe-navigation protection for material forms.</w:t>
      </w:r>
    </w:p>
    <w:p>
      <w:pPr>
        <w:numPr>
          <w:ilvl w:val="0"/>
          <w:numId w:val="1002"/>
        </w:numPr>
      </w:pPr>
      <w:r>
        <w:t xml:space="preserve">Form submission SHALL preserve field-level server errors and non-field errors.</w:t>
      </w:r>
    </w:p>
    <w:p>
      <w:pPr>
        <w:numPr>
          <w:ilvl w:val="0"/>
          <w:numId w:val="1002"/>
        </w:numPr>
      </w:pPr>
      <w:r>
        <w:t xml:space="preserve">High-impact forms SHALL include explicit review summary before final action where defined by UX.</w:t>
      </w:r>
    </w:p>
    <w:p>
      <w:pPr>
        <w:numPr>
          <w:ilvl w:val="0"/>
          <w:numId w:val="1002"/>
        </w:numPr>
      </w:pPr>
      <w:r>
        <w:t xml:space="preserve">Dynamic controlled-vocabulary fields SHALL retain term IDs and display labels; labels alone are not canonical values.</w:t>
      </w:r>
    </w:p>
    <w:p>
      <w:pPr>
        <w:numPr>
          <w:ilvl w:val="0"/>
          <w:numId w:val="1002"/>
        </w:numPr>
      </w:pPr>
      <w:r>
        <w:t xml:space="preserve">Controlled enumerations are submitted and stored in client state as UPPER_SNAKE_CASE wire values (Data Model Annex A registry), e.g.</w:t>
      </w:r>
      <w:r>
        <w:t xml:space="preserve"> </w:t>
      </w:r>
      <w:r>
        <w:rPr>
          <w:rStyle w:val="VerbatimChar"/>
        </w:rPr>
        <w:t xml:space="preserve">flow_class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/</w:t>
      </w:r>
      <w:r>
        <w:rPr>
          <w:rStyle w:val="VerbatimChar"/>
        </w:rPr>
        <w:t xml:space="preserve">DOCUMENTED</w:t>
      </w:r>
      <w:r>
        <w:t xml:space="preserve">/</w:t>
      </w:r>
      <w:r>
        <w:rPr>
          <w:rStyle w:val="VerbatimChar"/>
        </w:rPr>
        <w:t xml:space="preserve">RECONSTRUCTED</w:t>
      </w:r>
      <w:r>
        <w:t xml:space="preserve">/</w:t>
      </w:r>
      <w:r>
        <w:rPr>
          <w:rStyle w:val="VerbatimChar"/>
        </w:rPr>
        <w:t xml:space="preserve">HYPOTHETICAL</w:t>
      </w:r>
      <w:r>
        <w:t xml:space="preserve">; display labels are separate and translatable.</w:t>
      </w:r>
      <w:r>
        <w:t xml:space="preserve"> </w:t>
      </w:r>
      <w:r>
        <w:rPr>
          <w:i/>
          <w:iCs/>
        </w:rPr>
        <w:t xml:space="preserve">[v0.1.1 · A09]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confidence.level</w:t>
      </w:r>
      <w:r>
        <w:t xml:space="preserve"> </w:t>
      </w:r>
      <w:r>
        <w:rPr>
          <w:rStyle w:val="VerbatimChar"/>
        </w:rPr>
        <w:t xml:space="preserve">INSUFFICIENT_BASIS</w:t>
      </w:r>
      <w:r>
        <w:t xml:space="preserve"> </w:t>
      </w:r>
      <w:r>
        <w:t xml:space="preserve">SHALL be rendered as its own neutral state (not as a level below Low, not as adverse, not as empty). Forms, sorting, filters and export previews SHALL NOT convert it to</w:t>
      </w:r>
      <w:r>
        <w:t xml:space="preserve"> </w:t>
      </w:r>
      <w:r>
        <w:rPr>
          <w:rStyle w:val="VerbatimChar"/>
        </w:rPr>
        <w:t xml:space="preserve">LOW</w:t>
      </w:r>
      <w:r>
        <w:t xml:space="preserve">, null, zero, or drop it; a null level is shown as "not yet assessed" and is allowed only on drafts. Rationale is required for every level.</w:t>
      </w:r>
      <w:r>
        <w:t xml:space="preserve"> </w:t>
      </w:r>
      <w:r>
        <w:rPr>
          <w:i/>
          <w:iCs/>
        </w:rPr>
        <w:t xml:space="preserve">[v0.1.1 · A09]</w:t>
      </w:r>
    </w:p>
    <w:p>
      <w:pPr>
        <w:numPr>
          <w:ilvl w:val="0"/>
          <w:numId w:val="1002"/>
        </w:numPr>
      </w:pPr>
      <w:r>
        <w:t xml:space="preserve">Protected-source identity SHALL not be auto-filled into ordinary evidence or export forms.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6"/>
        <w:gridCol w:w="6463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Form family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Draft behavior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Case/charter</w:t>
            </w:r>
          </w:p>
        </w:tc>
        <w:tc>
          <w:tcPr/>
          <w:p>
            <w:pPr>
              <w:pStyle w:val="TableText"/>
            </w:pPr>
            <w:r>
              <w:t xml:space="preserve">Local unsaved state; server version after save.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 upload</w:t>
            </w:r>
          </w:p>
        </w:tc>
        <w:tc>
          <w:tcPr/>
          <w:p>
            <w:pPr>
              <w:pStyle w:val="TableText"/>
            </w:pPr>
            <w:r>
              <w:t xml:space="preserve">Upload session state; failed upload does not create completed evidence.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Entity/relationship</w:t>
            </w:r>
          </w:p>
        </w:tc>
        <w:tc>
          <w:tcPr/>
          <w:p>
            <w:pPr>
              <w:pStyle w:val="TableText"/>
            </w:pPr>
            <w:r>
              <w:t xml:space="preserve">Local edit; canonical mutation on save.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Hypothesis/assessment</w:t>
            </w:r>
          </w:p>
        </w:tc>
        <w:tc>
          <w:tcPr/>
          <w:p>
            <w:pPr>
              <w:pStyle w:val="TableText"/>
            </w:pPr>
            <w:r>
              <w:t xml:space="preserve">Local edit + optional explicit server draft version; no invisible autosave that changes audit-relevant content.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Product editor</w:t>
            </w:r>
          </w:p>
        </w:tc>
        <w:tc>
          <w:tcPr/>
          <w:p>
            <w:pPr>
              <w:pStyle w:val="TableText"/>
            </w:pPr>
            <w:r>
              <w:t xml:space="preserve">Versioned draft; autosave MAY be used if server-side version/audit semantics are explicit.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Review/dissemination</w:t>
            </w:r>
          </w:p>
        </w:tc>
        <w:tc>
          <w:tcPr/>
          <w:p>
            <w:pPr>
              <w:pStyle w:val="TableText"/>
            </w:pPr>
            <w:r>
              <w:t xml:space="preserve">No optimistic finalization; server response authoritative.</w:t>
            </w:r>
          </w:p>
        </w:tc>
      </w:tr>
    </w:tbl>
    <w:bookmarkEnd w:id="18"/>
    <w:bookmarkStart w:id="19" w:name="Xffeb105eef6e9f61129b80d73f4cec55f4c67e4"/>
    <w:p>
      <w:pPr>
        <w:pStyle w:val="Heading1"/>
      </w:pPr>
      <w:r>
        <w:t xml:space="preserve">10. Authorization-Aware Rendering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5"/>
        <w:gridCol w:w="646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Pattern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Capability check</w:t>
            </w:r>
          </w:p>
        </w:tc>
        <w:tc>
          <w:tcPr/>
          <w:p>
            <w:pPr>
              <w:pStyle w:val="TableText"/>
            </w:pPr>
            <w:r>
              <w:t xml:space="preserve">UI MAY use server-provided capabilities to show/disable actions.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Object access</w:t>
            </w:r>
          </w:p>
        </w:tc>
        <w:tc>
          <w:tcPr/>
          <w:p>
            <w:pPr>
              <w:pStyle w:val="TableText"/>
            </w:pPr>
            <w:r>
              <w:t xml:space="preserve">No component SHALL infer access solely from role name; object/case policy matters.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Non-disclosing denial</w:t>
            </w:r>
          </w:p>
        </w:tc>
        <w:tc>
          <w:tcPr/>
          <w:p>
            <w:pPr>
              <w:pStyle w:val="TableText"/>
            </w:pPr>
            <w:r>
              <w:t xml:space="preserve">A 404/403 policy response SHALL map to the approved non-leaking system state.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Protected source</w:t>
            </w:r>
          </w:p>
        </w:tc>
        <w:tc>
          <w:tcPr/>
          <w:p>
            <w:pPr>
              <w:pStyle w:val="TableText"/>
            </w:pPr>
            <w:r>
              <w:t xml:space="preserve">Protected-source identity components SHALL exist in separately permissioned feature boundary and SHALL not be imported into ordinary evidence screens.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Export preview</w:t>
            </w:r>
          </w:p>
        </w:tc>
        <w:tc>
          <w:tcPr/>
          <w:p>
            <w:pPr>
              <w:pStyle w:val="TableText"/>
            </w:pPr>
            <w:r>
              <w:t xml:space="preserve">Only server-authorized export candidates are rendered as selectable.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Counts/facets</w:t>
            </w:r>
          </w:p>
        </w:tc>
        <w:tc>
          <w:tcPr/>
          <w:p>
            <w:pPr>
              <w:pStyle w:val="TableText"/>
            </w:pPr>
            <w:r>
              <w:t xml:space="preserve">Counts returned by API are treated as already permission-filtered; frontend SHALL not reconstruct hidden totals.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Classification</w:t>
            </w:r>
          </w:p>
        </w:tc>
        <w:tc>
          <w:tcPr/>
          <w:p>
            <w:pPr>
              <w:pStyle w:val="TableText"/>
            </w:pPr>
            <w:r>
              <w:t xml:space="preserve">Render the five levels from wire values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SENSITIVE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RESTRICTED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SOURCE_PROTECTED</w:t>
            </w:r>
            <w:r>
              <w:t xml:space="preserve"> </w:t>
            </w:r>
            <w:r>
              <w:t xml:space="preserve">(labels Public … Source-protected) together with access labels. An unknown or missing classification value SHALL render as restricted (fail closed), never default to Public.</w:t>
            </w:r>
            <w:r>
              <w:t xml:space="preserve"> </w:t>
            </w:r>
            <w:r>
              <w:rPr>
                <w:i/>
                <w:iCs/>
              </w:rPr>
              <w:t xml:space="preserve">[v0.1.1 · A08]</w:t>
            </w:r>
          </w:p>
        </w:tc>
      </w:tr>
    </w:tbl>
    <w:bookmarkEnd w:id="19"/>
    <w:bookmarkStart w:id="20" w:name="X43dd63e236324d567f15546482e84db69039830"/>
    <w:p>
      <w:pPr>
        <w:pStyle w:val="Heading1"/>
      </w:pPr>
      <w:r>
        <w:t xml:space="preserve">11. Error and Recovery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5897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Failure class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UI behavior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Network/transient</w:t>
            </w:r>
          </w:p>
        </w:tc>
        <w:tc>
          <w:tcPr/>
          <w:p>
            <w:pPr>
              <w:pStyle w:val="TableText"/>
            </w:pPr>
            <w:r>
              <w:t xml:space="preserve">Local retry with clear status; preserve safe unsaved state where feasible.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Authentication expired</w:t>
            </w:r>
          </w:p>
        </w:tc>
        <w:tc>
          <w:tcPr/>
          <w:p>
            <w:pPr>
              <w:pStyle w:val="TableText"/>
            </w:pPr>
            <w:r>
              <w:t xml:space="preserve">On 401, suspend protected work and re-authenticate via</w:t>
            </w:r>
            <w:r>
              <w:t xml:space="preserve"> </w:t>
            </w:r>
            <w:r>
              <w:rPr>
                <w:rStyle w:val="VerbatimChar"/>
              </w:rPr>
              <w:t xml:space="preserve">GET /auth/login</w:t>
            </w:r>
            <w:r>
              <w:t xml:space="preserve">; do not discard local form without warning where secure recovery is possible.</w:t>
            </w:r>
            <w:r>
              <w:t xml:space="preserve"> </w:t>
            </w:r>
            <w:r>
              <w:rPr>
                <w:i/>
                <w:iCs/>
              </w:rPr>
              <w:t xml:space="preserve">[v0.1.1 · A11]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Authorization changed</w:t>
            </w:r>
          </w:p>
        </w:tc>
        <w:tc>
          <w:tcPr/>
          <w:p>
            <w:pPr>
              <w:pStyle w:val="TableText"/>
            </w:pPr>
            <w:r>
              <w:t xml:space="preserve">Remove restricted cached content and transition to non-disclosing access state.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Validation</w:t>
            </w:r>
          </w:p>
        </w:tc>
        <w:tc>
          <w:tcPr/>
          <w:p>
            <w:pPr>
              <w:pStyle w:val="TableText"/>
            </w:pPr>
            <w:r>
              <w:t xml:space="preserve">Field/non-field errors near source; no generic toast-only failure.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Concurrency conflict (412 PRECONDITION_FAILED)</w:t>
            </w:r>
          </w:p>
        </w:tc>
        <w:tc>
          <w:tcPr/>
          <w:p>
            <w:pPr>
              <w:pStyle w:val="TableText"/>
            </w:pPr>
            <w:r>
              <w:t xml:space="preserve">Open "record changed" compare/reload/resolve flow; never auto-force overwrite.</w:t>
            </w:r>
            <w:r>
              <w:t xml:space="preserve"> </w:t>
            </w:r>
            <w:r>
              <w:rPr>
                <w:i/>
                <w:iCs/>
              </w:rPr>
              <w:t xml:space="preserve">[v0.1.1 · A04]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Workflow state conflict (409 STATE_CONFLICT)</w:t>
            </w:r>
          </w:p>
        </w:tc>
        <w:tc>
          <w:tcPr/>
          <w:p>
            <w:pPr>
              <w:pStyle w:val="TableText"/>
            </w:pPr>
            <w:r>
              <w:t xml:space="preserve">Show workflow message and refreshed state; no compare flow.</w:t>
            </w:r>
            <w:r>
              <w:t xml:space="preserve"> </w:t>
            </w:r>
            <w:r>
              <w:rPr>
                <w:i/>
                <w:iCs/>
              </w:rPr>
              <w:t xml:space="preserve">[v0.1.1 · A04]</w:t>
            </w:r>
            <w:r>
              <w:t xml:space="preserve"> </w:t>
            </w:r>
            <w:r>
              <w:t xml:space="preserve">Known</w:t>
            </w:r>
            <w:r>
              <w:t xml:space="preserve"> </w:t>
            </w:r>
            <w:r>
              <w:rPr>
                <w:rStyle w:val="VerbatimChar"/>
              </w:rPr>
              <w:t xml:space="preserve">details.reason</w:t>
            </w:r>
            <w:r>
              <w:t xml:space="preserve"> </w:t>
            </w:r>
            <w:r>
              <w:t xml:space="preserve">values are rendered as explained states with the next action:</w:t>
            </w:r>
            <w:r>
              <w:t xml:space="preserve"> </w:t>
            </w:r>
            <w:r>
              <w:rPr>
                <w:rStyle w:val="VerbatimChar"/>
              </w:rPr>
              <w:t xml:space="preserve">COMPETING_HYPOTHESES_REQUIRED</w:t>
            </w:r>
            <w:r>
              <w:t xml:space="preserve"> </w:t>
            </w:r>
            <w:r>
              <w:t xml:space="preserve">(list</w:t>
            </w:r>
            <w:r>
              <w:t xml:space="preserve"> </w:t>
            </w:r>
            <w:r>
              <w:rPr>
                <w:rStyle w:val="VerbatimChar"/>
              </w:rPr>
              <w:t xml:space="preserve">details.hypothesis_refs</w:t>
            </w:r>
            <w:r>
              <w:t xml:space="preserve">; add a competing hypothesis before finalizing),</w:t>
            </w:r>
            <w:r>
              <w:t xml:space="preserve"> </w:t>
            </w:r>
            <w:r>
              <w:rPr>
                <w:rStyle w:val="VerbatimChar"/>
              </w:rPr>
              <w:t xml:space="preserve">REVIEW_REQUIRED</w:t>
            </w:r>
            <w:r>
              <w:t xml:space="preserve"> </w:t>
            </w:r>
            <w:r>
              <w:t xml:space="preserve">(a dependency changed; the draft needs review before finalization),</w:t>
            </w:r>
            <w:r>
              <w:t xml:space="preserve"> </w:t>
            </w:r>
            <w:r>
              <w:rPr>
                <w:rStyle w:val="VerbatimChar"/>
              </w:rPr>
              <w:t xml:space="preserve">DISCONFIRMATION_REQUIRED</w:t>
            </w:r>
            <w:r>
              <w:t xml:space="preserve"> </w:t>
            </w:r>
            <w:r>
              <w:t xml:space="preserve">(record a disconfirming search before review approval).</w:t>
            </w:r>
            <w:r>
              <w:t xml:space="preserve"> </w:t>
            </w:r>
            <w:r>
              <w:rPr>
                <w:i/>
                <w:iCs/>
              </w:rPr>
              <w:t xml:space="preserve">[v0.1.2 · CR-I4-08, CR-I4-10, CR-I4-11]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Missing precondition (428) / CSRF failure (403)</w:t>
            </w:r>
          </w:p>
        </w:tc>
        <w:tc>
          <w:tcPr/>
          <w:p>
            <w:pPr>
              <w:pStyle w:val="TableText"/>
            </w:pPr>
            <w:r>
              <w:t xml:space="preserve">Treat as client defect: generic error with correlation ID; for CSRF, refresh the token via session bootstrap once before reporting.</w:t>
            </w:r>
            <w:r>
              <w:t xml:space="preserve"> </w:t>
            </w:r>
            <w:r>
              <w:rPr>
                <w:i/>
                <w:iCs/>
              </w:rPr>
              <w:t xml:space="preserve">[v0.1.1 · A04, A11]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Integrity warning</w:t>
            </w:r>
          </w:p>
        </w:tc>
        <w:tc>
          <w:tcPr/>
          <w:p>
            <w:pPr>
              <w:pStyle w:val="TableText"/>
            </w:pPr>
            <w:r>
              <w:t xml:space="preserve">Blocking error treatment for evidence integrity issue.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Partial feature failure</w:t>
            </w:r>
          </w:p>
        </w:tc>
        <w:tc>
          <w:tcPr/>
          <w:p>
            <w:pPr>
              <w:pStyle w:val="TableText"/>
            </w:pPr>
            <w:r>
              <w:t xml:space="preserve">Local error boundary keeps surrounding case workspace usable.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Fatal application failure</w:t>
            </w:r>
          </w:p>
        </w:tc>
        <w:tc>
          <w:tcPr/>
          <w:p>
            <w:pPr>
              <w:pStyle w:val="TableText"/>
            </w:pPr>
            <w:r>
              <w:t xml:space="preserve">Global recovery boundary with correlation ID; no sensitive payload in error display/log.</w:t>
            </w:r>
          </w:p>
        </w:tc>
      </w:tr>
    </w:tbl>
    <w:bookmarkEnd w:id="20"/>
    <w:bookmarkStart w:id="21" w:name="X554d1a50d5b54e3709f0a379f09de6b36c6f48e"/>
    <w:p>
      <w:pPr>
        <w:pStyle w:val="Heading1"/>
      </w:pPr>
      <w:r>
        <w:t xml:space="preserve">12. Visualization State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8"/>
        <w:gridCol w:w="2679"/>
        <w:gridCol w:w="4161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Canonical state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Frontend-only state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Graph</w:t>
            </w:r>
          </w:p>
        </w:tc>
        <w:tc>
          <w:tcPr/>
          <w:p>
            <w:pPr>
              <w:pStyle w:val="TableText"/>
            </w:pPr>
            <w:r>
              <w:t xml:space="preserve">Entity/Relationship/Asset/ValueFlow objects</w:t>
            </w:r>
          </w:p>
        </w:tc>
        <w:tc>
          <w:tcPr/>
          <w:p>
            <w:pPr>
              <w:pStyle w:val="TableText"/>
            </w:pPr>
            <w:r>
              <w:t xml:space="preserve">node positions, selection, zoom, hidden edge classes, inspector state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Timeline</w:t>
            </w:r>
          </w:p>
        </w:tc>
        <w:tc>
          <w:tcPr/>
          <w:p>
            <w:pPr>
              <w:pStyle w:val="TableText"/>
            </w:pPr>
            <w:r>
              <w:t xml:space="preserve">Event records and temporal precision</w:t>
            </w:r>
          </w:p>
        </w:tc>
        <w:tc>
          <w:tcPr/>
          <w:p>
            <w:pPr>
              <w:pStyle w:val="TableText"/>
            </w:pPr>
            <w:r>
              <w:t xml:space="preserve">scale, viewport, filters, expanded cards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Value Flow</w:t>
            </w:r>
          </w:p>
        </w:tc>
        <w:tc>
          <w:tcPr/>
          <w:p>
            <w:pPr>
              <w:pStyle w:val="TableText"/>
            </w:pPr>
            <w:r>
              <w:t xml:space="preserve">ValueFlow/legs/class/evidence</w:t>
            </w:r>
          </w:p>
        </w:tc>
        <w:tc>
          <w:tcPr/>
          <w:p>
            <w:pPr>
              <w:pStyle w:val="TableText"/>
            </w:pPr>
            <w:r>
              <w:t xml:space="preserve">canvas layout, selected leg, comparison overlays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Hypothesis matrix</w:t>
            </w:r>
          </w:p>
        </w:tc>
        <w:tc>
          <w:tcPr/>
          <w:p>
            <w:pPr>
              <w:pStyle w:val="TableText"/>
            </w:pPr>
            <w:r>
              <w:t xml:space="preserve">Hypothesis/evidence link disposition</w:t>
            </w:r>
          </w:p>
        </w:tc>
        <w:tc>
          <w:tcPr/>
          <w:p>
            <w:pPr>
              <w:pStyle w:val="TableText"/>
            </w:pPr>
            <w:r>
              <w:t xml:space="preserve">sorting, collapsed rows, temporary filter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 reader</w:t>
            </w:r>
          </w:p>
        </w:tc>
        <w:tc>
          <w:tcPr/>
          <w:p>
            <w:pPr>
              <w:pStyle w:val="TableText"/>
            </w:pPr>
            <w:r>
              <w:t xml:space="preserve">Evidence/Extract objects</w:t>
            </w:r>
          </w:p>
        </w:tc>
        <w:tc>
          <w:tcPr/>
          <w:p>
            <w:pPr>
              <w:pStyle w:val="TableText"/>
            </w:pPr>
            <w:r>
              <w:t xml:space="preserve">page viewport, zoom, transient selection before extract save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Derived-state rule</w:t>
      </w:r>
      <w:r>
        <w:br/>
      </w:r>
      <w:r>
        <w:t xml:space="preserve">Layout algorithms, centrality calculations, path highlighting and client-side clustering MAY assist navigation, but SHALL remain visibly derived and SHALL NOT create canonical relationships, risk labels or adverse assessment state.</w:t>
      </w:r>
    </w:p>
    <w:bookmarkEnd w:id="21"/>
    <w:bookmarkStart w:id="22" w:name="Xfa3a5e8dfe6145074a628b13db0ab5f7536133d"/>
    <w:p>
      <w:pPr>
        <w:pStyle w:val="Heading1"/>
      </w:pPr>
      <w:r>
        <w:t xml:space="preserve">13. Search and Filter State</w:t>
      </w:r>
    </w:p>
    <w:p>
      <w:pPr>
        <w:numPr>
          <w:ilvl w:val="0"/>
          <w:numId w:val="1003"/>
        </w:numPr>
      </w:pPr>
      <w:r>
        <w:t xml:space="preserve">Global search query and approved facets SHOULD be URL-addressable.</w:t>
      </w:r>
    </w:p>
    <w:p>
      <w:pPr>
        <w:numPr>
          <w:ilvl w:val="0"/>
          <w:numId w:val="1003"/>
        </w:numPr>
      </w:pPr>
      <w:r>
        <w:t xml:space="preserve">Facet counts are server-provided permission-filtered values.</w:t>
      </w:r>
    </w:p>
    <w:p>
      <w:pPr>
        <w:numPr>
          <w:ilvl w:val="0"/>
          <w:numId w:val="1003"/>
        </w:numPr>
      </w:pPr>
      <w:r>
        <w:t xml:space="preserve">Debounced queries SHALL be cancellable to avoid displaying stale results after a newer query completes.</w:t>
      </w:r>
    </w:p>
    <w:p>
      <w:pPr>
        <w:numPr>
          <w:ilvl w:val="0"/>
          <w:numId w:val="1003"/>
        </w:numPr>
      </w:pPr>
      <w:r>
        <w:t xml:space="preserve">Sensitive query strings MAY require history/logging safeguards; protected-source identity SHALL not be exposed through ordinary global search.</w:t>
      </w:r>
    </w:p>
    <w:p>
      <w:pPr>
        <w:numPr>
          <w:ilvl w:val="0"/>
          <w:numId w:val="1003"/>
        </w:numPr>
      </w:pPr>
      <w:r>
        <w:t xml:space="preserve">Search results SHALL display canonical object type/status and context without manufacturing analytical priority from ranking position.</w:t>
      </w:r>
    </w:p>
    <w:bookmarkEnd w:id="22"/>
    <w:bookmarkStart w:id="23" w:name="Xbc4a57d5c50bd4d06e8ca04cb5cc703e3902bd6"/>
    <w:p>
      <w:pPr>
        <w:pStyle w:val="Heading1"/>
      </w:pPr>
      <w:r>
        <w:t xml:space="preserve">14. Session, Authentication and Logout</w:t>
      </w:r>
    </w:p>
    <w:p>
      <w:pPr>
        <w:numPr>
          <w:ilvl w:val="0"/>
          <w:numId w:val="1004"/>
        </w:numPr>
      </w:pPr>
      <w:r>
        <w:t xml:space="preserve">Browser authentication is a server-side session (BFF) as defined in API Specification v0.1.2 §4. The frontend is not an OIDC client: it holds no client ID/secret, never receives access, refresh or ID tokens, and SHALL NOT send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.</w:t>
      </w:r>
      <w:r>
        <w:t xml:space="preserve"> </w:t>
      </w:r>
      <w:r>
        <w:rPr>
          <w:i/>
          <w:iCs/>
        </w:rPr>
        <w:t xml:space="preserve">[v0.1.1 · A11]</w:t>
      </w:r>
    </w:p>
    <w:p>
      <w:pPr>
        <w:numPr>
          <w:ilvl w:val="0"/>
          <w:numId w:val="1004"/>
        </w:numPr>
      </w:pPr>
      <w:r>
        <w:t xml:space="preserve">Login: navigate the browser to</w:t>
      </w:r>
      <w:r>
        <w:t xml:space="preserve"> </w:t>
      </w:r>
      <w:r>
        <w:rPr>
          <w:rStyle w:val="VerbatimChar"/>
        </w:rPr>
        <w:t xml:space="preserve">GET /auth/login</w:t>
      </w:r>
      <w:r>
        <w:t xml:space="preserve"> </w:t>
      </w:r>
      <w:r>
        <w:t xml:space="preserve">(full-page redirect); the backend completes</w:t>
      </w:r>
      <w:r>
        <w:t xml:space="preserve"> </w:t>
      </w:r>
      <w:r>
        <w:rPr>
          <w:rStyle w:val="VerbatimChar"/>
        </w:rPr>
        <w:t xml:space="preserve">GET /auth/callback</w:t>
      </w:r>
      <w:r>
        <w:t xml:space="preserve"> </w:t>
      </w:r>
      <w:r>
        <w:t xml:space="preserve">and sets the</w:t>
      </w:r>
      <w:r>
        <w:t xml:space="preserve"> </w:t>
      </w:r>
      <w:r>
        <w:rPr>
          <w:rStyle w:val="VerbatimChar"/>
        </w:rPr>
        <w:t xml:space="preserve">__Host-csaml_session</w:t>
      </w:r>
      <w:r>
        <w:t xml:space="preserve"> </w:t>
      </w:r>
      <w:r>
        <w:t xml:space="preserve">cookie (HttpOnly, Secure, SameSite=Lax, Path=/).</w:t>
      </w:r>
      <w:r>
        <w:t xml:space="preserve"> </w:t>
      </w:r>
      <w:r>
        <w:rPr>
          <w:i/>
          <w:iCs/>
        </w:rPr>
        <w:t xml:space="preserve">[v0.1.1 · A11]</w:t>
      </w:r>
    </w:p>
    <w:p>
      <w:pPr>
        <w:numPr>
          <w:ilvl w:val="0"/>
          <w:numId w:val="1004"/>
        </w:numPr>
      </w:pPr>
      <w:r>
        <w:t xml:space="preserve">Bootstrap: on app start and after login, call</w:t>
      </w:r>
      <w:r>
        <w:t xml:space="preserve"> </w:t>
      </w:r>
      <w:r>
        <w:rPr>
          <w:rStyle w:val="VerbatimChar"/>
        </w:rPr>
        <w:t xml:space="preserve">GET /auth/session</w:t>
      </w:r>
      <w:r>
        <w:t xml:space="preserve"> </w:t>
      </w:r>
      <w:r>
        <w:t xml:space="preserve">to obtain principal, session expiry and coarse capabilities; 401 means unauthenticated.</w:t>
      </w:r>
      <w:r>
        <w:t xml:space="preserve"> </w:t>
      </w:r>
      <w:r>
        <w:rPr>
          <w:i/>
          <w:iCs/>
        </w:rPr>
        <w:t xml:space="preserve">[v0.1.1 · A11]</w:t>
      </w:r>
      <w:r>
        <w:t xml:space="preserve"> </w:t>
      </w:r>
      <w:r>
        <w:t xml:space="preserve">The same response delivers</w:t>
      </w:r>
      <w:r>
        <w:t xml:space="preserve"> </w:t>
      </w:r>
      <w:r>
        <w:rPr>
          <w:rStyle w:val="VerbatimChar"/>
        </w:rPr>
        <w:t xml:space="preserve">csrf_token</w:t>
      </w:r>
      <w:r>
        <w:t xml:space="preserve"> </w:t>
      </w:r>
      <w:r>
        <w:t xml:space="preserve">(kept in memory, sent as</w:t>
      </w:r>
      <w:r>
        <w:t xml:space="preserve"> </w:t>
      </w:r>
      <w:r>
        <w:rPr>
          <w:rStyle w:val="VerbatimChar"/>
        </w:rPr>
        <w:t xml:space="preserve">X-CSRFToken</w:t>
      </w:r>
      <w:r>
        <w:t xml:space="preserve"> </w:t>
      </w:r>
      <w:r>
        <w:t xml:space="preserve">on every unsafe method) and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for the app shell; on a 403 CSRF failure the client re-bootstraps the session once and retries before reporting.</w:t>
      </w:r>
      <w:r>
        <w:t xml:space="preserve"> </w:t>
      </w:r>
      <w:r>
        <w:rPr>
          <w:i/>
          <w:iCs/>
        </w:rPr>
        <w:t xml:space="preserve">[v0.1.2 · CR-I1-03, CR-I1-07]</w:t>
      </w:r>
    </w:p>
    <w:p>
      <w:pPr>
        <w:numPr>
          <w:ilvl w:val="0"/>
          <w:numId w:val="1004"/>
        </w:numPr>
      </w:pPr>
      <w:r>
        <w:t xml:space="preserve">CSRF: every unsafe request (POST/PUT/PATCH/DELETE) SHALL send the Django CSRF token in the</w:t>
      </w:r>
      <w:r>
        <w:t xml:space="preserve"> </w:t>
      </w:r>
      <w:r>
        <w:rPr>
          <w:rStyle w:val="VerbatimChar"/>
        </w:rPr>
        <w:t xml:space="preserve">X-CSRFToken</w:t>
      </w:r>
      <w:r>
        <w:t xml:space="preserve"> </w:t>
      </w:r>
      <w:r>
        <w:t xml:space="preserve">header. All API calls are same-origin (</w:t>
      </w:r>
      <w:r>
        <w:rPr>
          <w:rStyle w:val="VerbatimChar"/>
        </w:rPr>
        <w:t xml:space="preserve">/api/v1</w:t>
      </w:r>
      <w:r>
        <w:t xml:space="preserve">) with credentials included; no cross-origin API calls.</w:t>
      </w:r>
      <w:r>
        <w:t xml:space="preserve"> </w:t>
      </w:r>
      <w:r>
        <w:rPr>
          <w:i/>
          <w:iCs/>
        </w:rPr>
        <w:t xml:space="preserve">[v0.1.1 · A11]</w:t>
      </w:r>
    </w:p>
    <w:p>
      <w:pPr>
        <w:numPr>
          <w:ilvl w:val="0"/>
          <w:numId w:val="1004"/>
        </w:numPr>
      </w:pPr>
      <w:r>
        <w:t xml:space="preserve">Logout:</w:t>
      </w:r>
      <w:r>
        <w:t xml:space="preserve"> </w:t>
      </w:r>
      <w:r>
        <w:rPr>
          <w:rStyle w:val="VerbatimChar"/>
        </w:rPr>
        <w:t xml:space="preserve">POST /auth/logout</w:t>
      </w:r>
      <w:r>
        <w:t xml:space="preserve"> </w:t>
      </w:r>
      <w:r>
        <w:t xml:space="preserve">as a top-level form submission (</w:t>
      </w:r>
      <w:r>
        <w:rPr>
          <w:rStyle w:val="VerbatimChar"/>
        </w:rPr>
        <w:t xml:space="preserve">application/x-www-form-urlencoded</w:t>
      </w:r>
      <w:r>
        <w:t xml:space="preserve">, CSRF token in the</w:t>
      </w:r>
      <w:r>
        <w:t xml:space="preserve"> </w:t>
      </w:r>
      <w:r>
        <w:rPr>
          <w:rStyle w:val="VerbatimChar"/>
        </w:rPr>
        <w:t xml:space="preserve">csrfmiddlewaretoken</w:t>
      </w:r>
      <w:r>
        <w:t xml:space="preserve"> </w:t>
      </w:r>
      <w:r>
        <w:t xml:space="preserve">field), not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, because the 303 to the IdP end-session endpoint is cross-origin and could not be followed by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; clear query caches, feature state and sensitive in-memory state before submitting.</w:t>
      </w:r>
      <w:r>
        <w:t xml:space="preserve"> </w:t>
      </w:r>
      <w:r>
        <w:rPr>
          <w:i/>
          <w:iCs/>
        </w:rPr>
        <w:t xml:space="preserve">[v0.1.2 · CR-I1-04]</w:t>
      </w:r>
      <w:r>
        <w:t xml:space="preserve"> </w:t>
      </w:r>
      <w:r>
        <w:t xml:space="preserve">The same clearing SHALL happen on user switch, on any 401 indicating session expiry or revocation (including Keycloak back-channel logout), and on a</w:t>
      </w:r>
      <w:r>
        <w:t xml:space="preserve"> </w:t>
      </w:r>
      <w:r>
        <w:rPr>
          <w:rStyle w:val="VerbatimChar"/>
        </w:rPr>
        <w:t xml:space="preserve">GET /auth/session</w:t>
      </w:r>
      <w:r>
        <w:t xml:space="preserve"> </w:t>
      </w:r>
      <w:r>
        <w:t xml:space="preserve">principal change.</w:t>
      </w:r>
      <w:r>
        <w:t xml:space="preserve"> </w:t>
      </w:r>
      <w:r>
        <w:rPr>
          <w:i/>
          <w:iCs/>
        </w:rPr>
        <w:t xml:space="preserve">[v0.1.1 · A11]</w:t>
      </w:r>
    </w:p>
    <w:p>
      <w:pPr>
        <w:numPr>
          <w:ilvl w:val="0"/>
          <w:numId w:val="1004"/>
        </w:numPr>
      </w:pPr>
      <w:r>
        <w:t xml:space="preserve">Idle/session expiry behavior SHALL provide clear re-authentication path.</w:t>
      </w:r>
    </w:p>
    <w:p>
      <w:pPr>
        <w:numPr>
          <w:ilvl w:val="0"/>
          <w:numId w:val="1004"/>
        </w:numPr>
      </w:pPr>
      <w:r>
        <w:t xml:space="preserve">Browser storage SHALL not contain raw evidence content, protected-source identity or any authentication token.</w:t>
      </w:r>
      <w:r>
        <w:t xml:space="preserve"> </w:t>
      </w:r>
      <w:r>
        <w:rPr>
          <w:i/>
          <w:iCs/>
        </w:rPr>
        <w:t xml:space="preserve">[v0.1.1 · A11]</w:t>
      </w:r>
    </w:p>
    <w:p>
      <w:pPr>
        <w:numPr>
          <w:ilvl w:val="0"/>
          <w:numId w:val="1004"/>
        </w:numPr>
      </w:pPr>
      <w:r>
        <w:t xml:space="preserve">Multi-tab session expiry SHOULD converge safely without preserving stale privileged UI.</w:t>
      </w:r>
    </w:p>
    <w:bookmarkEnd w:id="23"/>
    <w:bookmarkStart w:id="24" w:name="X30194864ef71f7eae0ab9e9833cae6dbbb58893"/>
    <w:p>
      <w:pPr>
        <w:pStyle w:val="Heading1"/>
      </w:pPr>
      <w:r>
        <w:t xml:space="preserve">15. Component and Feature 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4"/>
        <w:gridCol w:w="2989"/>
        <w:gridCol w:w="3946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Examples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State rule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Design system</w:t>
            </w:r>
          </w:p>
        </w:tc>
        <w:tc>
          <w:tcPr/>
          <w:p>
            <w:pPr>
              <w:pStyle w:val="TableText"/>
            </w:pPr>
            <w:r>
              <w:t xml:space="preserve">Button, DataGrid, Badge, ClassificationBanner</w:t>
            </w:r>
          </w:p>
        </w:tc>
        <w:tc>
          <w:tcPr/>
          <w:p>
            <w:pPr>
              <w:pStyle w:val="TableText"/>
            </w:pPr>
            <w:r>
              <w:t xml:space="preserve">No business fetching; presentational/interaction state only.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Domain shared</w:t>
            </w:r>
          </w:p>
        </w:tc>
        <w:tc>
          <w:tcPr/>
          <w:p>
            <w:pPr>
              <w:pStyle w:val="TableText"/>
            </w:pPr>
            <w:r>
              <w:t xml:space="preserve">EvidenceCitation, ProvenanceTrail, FlowClassBadge, EntityBlock</w:t>
            </w:r>
          </w:p>
        </w:tc>
        <w:tc>
          <w:tcPr/>
          <w:p>
            <w:pPr>
              <w:pStyle w:val="TableText"/>
            </w:pPr>
            <w:r>
              <w:t xml:space="preserve">Receives typed domain props; no screen-specific navigation assumptions.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Feature component</w:t>
            </w:r>
          </w:p>
        </w:tc>
        <w:tc>
          <w:tcPr/>
          <w:p>
            <w:pPr>
              <w:pStyle w:val="TableText"/>
            </w:pPr>
            <w:r>
              <w:t xml:space="preserve">EntityMatchCompare, HypothesisMatrix</w:t>
            </w:r>
          </w:p>
        </w:tc>
        <w:tc>
          <w:tcPr/>
          <w:p>
            <w:pPr>
              <w:pStyle w:val="TableText"/>
            </w:pPr>
            <w:r>
              <w:t xml:space="preserve">May own feature queries/mutations and local feature state.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Screen container</w:t>
            </w:r>
          </w:p>
        </w:tc>
        <w:tc>
          <w:tcPr/>
          <w:p>
            <w:pPr>
              <w:pStyle w:val="TableText"/>
            </w:pPr>
            <w:r>
              <w:t xml:space="preserve">SCR-ENT-005, SCR-HYP-001</w:t>
            </w:r>
          </w:p>
        </w:tc>
        <w:tc>
          <w:tcPr/>
          <w:p>
            <w:pPr>
              <w:pStyle w:val="TableText"/>
            </w:pPr>
            <w:r>
              <w:t xml:space="preserve">Coordinates route context, feature components, error/loading states.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App shell</w:t>
            </w:r>
          </w:p>
        </w:tc>
        <w:tc>
          <w:tcPr/>
          <w:p>
            <w:pPr>
              <w:pStyle w:val="TableText"/>
            </w:pPr>
            <w:r>
              <w:t xml:space="preserve">Header, primary nav, session</w:t>
            </w:r>
          </w:p>
        </w:tc>
        <w:tc>
          <w:tcPr/>
          <w:p>
            <w:pPr>
              <w:pStyle w:val="TableText"/>
            </w:pPr>
            <w:r>
              <w:t xml:space="preserve">Owns global navigation/session only.</w:t>
            </w:r>
          </w:p>
        </w:tc>
      </w:tr>
    </w:tbl>
    <w:bookmarkEnd w:id="24"/>
    <w:bookmarkStart w:id="25" w:name="X7e0655dc73d151094e653977418620e8c1984d7"/>
    <w:p>
      <w:pPr>
        <w:pStyle w:val="Heading1"/>
      </w:pPr>
      <w:r>
        <w:t xml:space="preserve">16. Performance and Rendering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2"/>
        <w:gridCol w:w="6907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Concern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Route splitting</w:t>
            </w:r>
          </w:p>
        </w:tc>
        <w:tc>
          <w:tcPr/>
          <w:p>
            <w:pPr>
              <w:pStyle w:val="TableText"/>
            </w:pPr>
            <w:r>
              <w:t xml:space="preserve">Feature routes SHOULD be code-split to reduce initial bundle.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Large tables</w:t>
            </w:r>
          </w:p>
        </w:tc>
        <w:tc>
          <w:tcPr/>
          <w:p>
            <w:pPr>
              <w:pStyle w:val="TableText"/>
            </w:pPr>
            <w:r>
              <w:t xml:space="preserve">Use pagination/virtualization where measured data volume requires it; virtualization SHALL preserve keyboard/accessibility.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Graph</w:t>
            </w:r>
          </w:p>
        </w:tc>
        <w:tc>
          <w:tcPr/>
          <w:p>
            <w:pPr>
              <w:pStyle w:val="TableText"/>
            </w:pPr>
            <w:r>
              <w:t xml:space="preserve">Progressive rendering and node limits SHOULD be explicit; large graph failure SHALL degrade to list/filter tools.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 reader</w:t>
            </w:r>
          </w:p>
        </w:tc>
        <w:tc>
          <w:tcPr/>
          <w:p>
            <w:pPr>
              <w:pStyle w:val="TableText"/>
            </w:pPr>
            <w:r>
              <w:t xml:space="preserve">Stream/page-render rather than loading huge files wholly into memory where possible.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Search</w:t>
            </w:r>
          </w:p>
        </w:tc>
        <w:tc>
          <w:tcPr/>
          <w:p>
            <w:pPr>
              <w:pStyle w:val="TableText"/>
            </w:pPr>
            <w:r>
              <w:t xml:space="preserve">Cancel stale requests; cache recent authorized queries briefly.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Re-render control</w:t>
            </w:r>
          </w:p>
        </w:tc>
        <w:tc>
          <w:tcPr/>
          <w:p>
            <w:pPr>
              <w:pStyle w:val="TableText"/>
            </w:pPr>
            <w:r>
              <w:t xml:space="preserve">Memoization SHOULD follow measured cost, not blanket use.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Bundle budget</w:t>
            </w:r>
          </w:p>
        </w:tc>
        <w:tc>
          <w:tcPr/>
          <w:p>
            <w:pPr>
              <w:pStyle w:val="TableText"/>
            </w:pPr>
            <w:r>
              <w:t xml:space="preserve">Critical route bundles SHOULD be monitored in CI with agreed thresholds.</w:t>
            </w:r>
          </w:p>
        </w:tc>
      </w:tr>
    </w:tbl>
    <w:bookmarkEnd w:id="25"/>
    <w:bookmarkStart w:id="26" w:name="X0199dc833a8b436a7a4e709f5a2df99e25956e4"/>
    <w:p>
      <w:pPr>
        <w:pStyle w:val="Heading1"/>
      </w:pPr>
      <w:r>
        <w:t xml:space="preserve">17. Accessibility Architecture</w:t>
      </w:r>
    </w:p>
    <w:p>
      <w:pPr>
        <w:numPr>
          <w:ilvl w:val="0"/>
          <w:numId w:val="1005"/>
        </w:numPr>
      </w:pPr>
      <w:r>
        <w:t xml:space="preserve">Route changes SHALL move focus/announce context appropriately.</w:t>
      </w:r>
    </w:p>
    <w:p>
      <w:pPr>
        <w:numPr>
          <w:ilvl w:val="0"/>
          <w:numId w:val="1005"/>
        </w:numPr>
      </w:pPr>
      <w:r>
        <w:t xml:space="preserve">Loading, error, save success and validation states SHALL be programmatically perceivable.</w:t>
      </w:r>
    </w:p>
    <w:p>
      <w:pPr>
        <w:numPr>
          <w:ilvl w:val="0"/>
          <w:numId w:val="1005"/>
        </w:numPr>
      </w:pPr>
      <w:r>
        <w:t xml:space="preserve">Graph/timeline/value-flow views SHALL have an accessible list/table alternative that references the same canonical objects.</w:t>
      </w:r>
    </w:p>
    <w:p>
      <w:pPr>
        <w:numPr>
          <w:ilvl w:val="0"/>
          <w:numId w:val="1005"/>
        </w:numPr>
      </w:pPr>
      <w:r>
        <w:t xml:space="preserve">Keyboard focus SHALL remain recoverable after modal/drawer close and after dynamic mutations.</w:t>
      </w:r>
    </w:p>
    <w:p>
      <w:pPr>
        <w:numPr>
          <w:ilvl w:val="0"/>
          <w:numId w:val="1005"/>
        </w:numPr>
      </w:pPr>
      <w:r>
        <w:t xml:space="preserve">Reduced-motion preference SHALL apply to graph transitions and other animations.</w:t>
      </w:r>
    </w:p>
    <w:p>
      <w:pPr>
        <w:numPr>
          <w:ilvl w:val="0"/>
          <w:numId w:val="1005"/>
        </w:numPr>
      </w:pPr>
      <w:r>
        <w:t xml:space="preserve">Virtualized tables SHALL retain semantics and keyboard navigation.</w:t>
      </w:r>
    </w:p>
    <w:bookmarkEnd w:id="26"/>
    <w:bookmarkStart w:id="27" w:name="X9049db6b2438366b30bcb66708d1392afa9a7c8"/>
    <w:p>
      <w:pPr>
        <w:pStyle w:val="Heading1"/>
      </w:pPr>
      <w:r>
        <w:t xml:space="preserve">18. Frontend Security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4"/>
        <w:gridCol w:w="693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FE-SEC-01</w:t>
            </w:r>
          </w:p>
        </w:tc>
        <w:tc>
          <w:tcPr/>
          <w:p>
            <w:pPr>
              <w:pStyle w:val="TableText"/>
            </w:pPr>
            <w:r>
              <w:t xml:space="preserve">No authorization decision relies solely on hidden/disabled UI.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FE-SEC-02</w:t>
            </w:r>
          </w:p>
        </w:tc>
        <w:tc>
          <w:tcPr/>
          <w:p>
            <w:pPr>
              <w:pStyle w:val="TableText"/>
            </w:pPr>
            <w:r>
              <w:t xml:space="preserve">Sensitive API errors SHALL be rendered using non-disclosing approved states.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FE-SEC-03</w:t>
            </w:r>
          </w:p>
        </w:tc>
        <w:tc>
          <w:tcPr/>
          <w:p>
            <w:pPr>
              <w:pStyle w:val="TableText"/>
            </w:pPr>
            <w:r>
              <w:t xml:space="preserve">No raw evidence/protected-source content in analytics, telemetry breadcrumbs or routine console logs.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FE-SEC-04</w:t>
            </w:r>
          </w:p>
        </w:tc>
        <w:tc>
          <w:tcPr/>
          <w:p>
            <w:pPr>
              <w:pStyle w:val="TableText"/>
            </w:pPr>
            <w:r>
              <w:t xml:space="preserve">External links from evidence SHOULD use safe rel/referrer behavior according to policy.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FE-SEC-05</w:t>
            </w:r>
          </w:p>
        </w:tc>
        <w:tc>
          <w:tcPr/>
          <w:p>
            <w:pPr>
              <w:pStyle w:val="TableText"/>
            </w:pPr>
            <w:r>
              <w:t xml:space="preserve">HTML/markdown/user content SHALL be safely rendered; no unsanitized injection.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FE-SEC-06</w:t>
            </w:r>
          </w:p>
        </w:tc>
        <w:tc>
          <w:tcPr/>
          <w:p>
            <w:pPr>
              <w:pStyle w:val="TableText"/>
            </w:pPr>
            <w:r>
              <w:t xml:space="preserve">File previews SHALL be sandboxed/isolated as appropriate and not execute active content.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FE-SEC-07</w:t>
            </w:r>
          </w:p>
        </w:tc>
        <w:tc>
          <w:tcPr/>
          <w:p>
            <w:pPr>
              <w:pStyle w:val="TableText"/>
            </w:pPr>
            <w:r>
              <w:t xml:space="preserve">Browser storage use for case-sensitive state requires explicit security review.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FE-SEC-08</w:t>
            </w:r>
          </w:p>
        </w:tc>
        <w:tc>
          <w:tcPr/>
          <w:p>
            <w:pPr>
              <w:pStyle w:val="TableText"/>
            </w:pPr>
            <w:r>
              <w:t xml:space="preserve">Logout/user switch clears sensitive caches and feature state.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FE-SEC-09</w:t>
            </w:r>
          </w:p>
        </w:tc>
        <w:tc>
          <w:tcPr/>
          <w:p>
            <w:pPr>
              <w:pStyle w:val="TableText"/>
            </w:pPr>
            <w:r>
              <w:t xml:space="preserve">No authentication tokens in JavaScript-accessible memory or storage; no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 </w:t>
            </w:r>
            <w:r>
              <w:t xml:space="preserve">from the browser;</w:t>
            </w:r>
            <w:r>
              <w:t xml:space="preserve"> </w:t>
            </w:r>
            <w:r>
              <w:rPr>
                <w:rStyle w:val="VerbatimChar"/>
              </w:rPr>
              <w:t xml:space="preserve">X-CSRFToken</w:t>
            </w:r>
            <w:r>
              <w:t xml:space="preserve"> </w:t>
            </w:r>
            <w:r>
              <w:t xml:space="preserve">on every unsafe method.</w:t>
            </w:r>
            <w:r>
              <w:t xml:space="preserve"> </w:t>
            </w:r>
            <w:r>
              <w:rPr>
                <w:i/>
                <w:iCs/>
              </w:rPr>
              <w:t xml:space="preserve">[v0.1.1 · A11]</w:t>
            </w:r>
          </w:p>
        </w:tc>
      </w:tr>
    </w:tbl>
    <w:bookmarkEnd w:id="27"/>
    <w:bookmarkStart w:id="28" w:name="X52615f89418d986780d7d7bc5a4e41023162492"/>
    <w:p>
      <w:pPr>
        <w:pStyle w:val="Heading1"/>
      </w:pPr>
      <w:r>
        <w:t xml:space="preserve">19. Testing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1"/>
        <w:gridCol w:w="6558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Minimum tests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Design-system component</w:t>
            </w:r>
          </w:p>
        </w:tc>
        <w:tc>
          <w:tcPr/>
          <w:p>
            <w:pPr>
              <w:pStyle w:val="TableText"/>
            </w:pPr>
            <w:r>
              <w:t xml:space="preserve">Storybook stories + interaction + accessibility + visual regression.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Feature component</w:t>
            </w:r>
          </w:p>
        </w:tc>
        <w:tc>
          <w:tcPr/>
          <w:p>
            <w:pPr>
              <w:pStyle w:val="TableText"/>
            </w:pPr>
            <w:r>
              <w:t xml:space="preserve">Behavior, permission variants, loading/error, domain-state semantics.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Data hooks</w:t>
            </w:r>
          </w:p>
        </w:tc>
        <w:tc>
          <w:tcPr/>
          <w:p>
            <w:pPr>
              <w:pStyle w:val="TableText"/>
            </w:pPr>
            <w:r>
              <w:t xml:space="preserve">Query keys, invalidation, mutation error mapping, conflict handling (412 / 409 / 428 mapping per §8),</w:t>
            </w:r>
            <w:r>
              <w:t xml:space="preserve"> </w:t>
            </w:r>
            <w:r>
              <w:rPr>
                <w:rStyle w:val="VerbatimChar"/>
              </w:rPr>
              <w:t xml:space="preserve">INSUFFICIENT_BASIS</w:t>
            </w:r>
            <w:r>
              <w:t xml:space="preserve"> </w:t>
            </w:r>
            <w:r>
              <w:t xml:space="preserve">round-trip.</w:t>
            </w:r>
            <w:r>
              <w:t xml:space="preserve"> </w:t>
            </w:r>
            <w:r>
              <w:rPr>
                <w:i/>
                <w:iCs/>
              </w:rPr>
              <w:t xml:space="preserve">[v0.1.1 · A04, A09]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Route/screen</w:t>
            </w:r>
          </w:p>
        </w:tc>
        <w:tc>
          <w:tcPr/>
          <w:p>
            <w:pPr>
              <w:pStyle w:val="TableText"/>
            </w:pPr>
            <w:r>
              <w:t xml:space="preserve">Critical happy path + permission denied + stale version + responsive smoke.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End-to-end</w:t>
            </w:r>
          </w:p>
        </w:tc>
        <w:tc>
          <w:tcPr/>
          <w:p>
            <w:pPr>
              <w:pStyle w:val="TableText"/>
            </w:pPr>
            <w:r>
              <w:t xml:space="preserve">Case → evidence → entity → value flow → hypothesis → assessment → review → dissemination.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Security</w:t>
            </w:r>
          </w:p>
        </w:tc>
        <w:tc>
          <w:tcPr/>
          <w:p>
            <w:pPr>
              <w:pStyle w:val="TableText"/>
            </w:pPr>
            <w:r>
              <w:t xml:space="preserve">Direct route guesses, cached-data logout, hidden-action API bypass expectation, non-leaking denied states.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Accessibility</w:t>
            </w:r>
          </w:p>
        </w:tc>
        <w:tc>
          <w:tcPr/>
          <w:p>
            <w:pPr>
              <w:pStyle w:val="TableText"/>
            </w:pPr>
            <w:r>
              <w:t xml:space="preserve">Keyboard, focus, announcements, graph/list alternatives.</w:t>
            </w:r>
          </w:p>
        </w:tc>
      </w:tr>
    </w:tbl>
    <w:bookmarkEnd w:id="28"/>
    <w:bookmarkStart w:id="29" w:name="Xd64b46d6979ce1b2900fa2cbb83717fe6cc7070"/>
    <w:p>
      <w:pPr>
        <w:pStyle w:val="Heading1"/>
      </w:pPr>
      <w:r>
        <w:t xml:space="preserve">20. Observability and Telemetry</w:t>
      </w:r>
    </w:p>
    <w:p>
      <w:pPr>
        <w:numPr>
          <w:ilvl w:val="0"/>
          <w:numId w:val="1006"/>
        </w:numPr>
      </w:pPr>
      <w:r>
        <w:t xml:space="preserve">Frontend errors SHOULD carry correlation/request IDs when provided by API.</w:t>
      </w:r>
    </w:p>
    <w:p>
      <w:pPr>
        <w:numPr>
          <w:ilvl w:val="0"/>
          <w:numId w:val="1006"/>
        </w:numPr>
      </w:pPr>
      <w:r>
        <w:t xml:space="preserve">Operational telemetry SHALL avoid case titles, evidence snippets, protected-source identities and free-text analytical content.</w:t>
      </w:r>
    </w:p>
    <w:p>
      <w:pPr>
        <w:numPr>
          <w:ilvl w:val="0"/>
          <w:numId w:val="1006"/>
        </w:numPr>
      </w:pPr>
      <w:r>
        <w:t xml:space="preserve">Performance metrics MAY include route load, API latency categories, rendering time and error rate using non-sensitive identifiers.</w:t>
      </w:r>
    </w:p>
    <w:p>
      <w:pPr>
        <w:numPr>
          <w:ilvl w:val="0"/>
          <w:numId w:val="1006"/>
        </w:numPr>
      </w:pPr>
      <w:r>
        <w:t xml:space="preserve">User analytics SHALL follow the privacy specification; no keystroke/session replay over sensitive investigation screens by default.</w:t>
      </w:r>
    </w:p>
    <w:bookmarkEnd w:id="29"/>
    <w:bookmarkStart w:id="30" w:name="X8df4241c3b234842ba7e4c68bda7c0703cb69d9"/>
    <w:p>
      <w:pPr>
        <w:pStyle w:val="Heading1"/>
      </w:pPr>
      <w:r>
        <w:t xml:space="preserve">21. Frontend Configuration and Feature Flags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4"/>
        <w:gridCol w:w="662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Config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API base URL</w:t>
            </w:r>
          </w:p>
        </w:tc>
        <w:tc>
          <w:tcPr/>
          <w:p>
            <w:pPr>
              <w:pStyle w:val="TableText"/>
            </w:pPr>
            <w:r>
              <w:t xml:space="preserve">Build/deployment configuration; no hardcoded production URL.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OIDC config</w:t>
            </w:r>
          </w:p>
        </w:tc>
        <w:tc>
          <w:tcPr/>
          <w:p>
            <w:pPr>
              <w:pStyle w:val="TableText"/>
            </w:pPr>
            <w:r>
              <w:t xml:space="preserve">None in the browser bundle: OIDC client configuration lives server-side (BFF); the frontend only knows the same-origin</w:t>
            </w:r>
            <w:r>
              <w:t xml:space="preserve"> </w:t>
            </w:r>
            <w:r>
              <w:rPr>
                <w:rStyle w:val="VerbatimChar"/>
              </w:rPr>
              <w:t xml:space="preserve">/auth/*</w:t>
            </w:r>
            <w:r>
              <w:t xml:space="preserve"> </w:t>
            </w:r>
            <w:r>
              <w:t xml:space="preserve">endpoints.</w:t>
            </w:r>
            <w:r>
              <w:t xml:space="preserve"> </w:t>
            </w:r>
            <w:r>
              <w:rPr>
                <w:i/>
                <w:iCs/>
              </w:rPr>
              <w:t xml:space="preserve">[v0.1.1 · A11]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Feature flags</w:t>
            </w:r>
          </w:p>
        </w:tc>
        <w:tc>
          <w:tcPr/>
          <w:p>
            <w:pPr>
              <w:pStyle w:val="TableText"/>
            </w:pPr>
            <w:r>
              <w:t xml:space="preserve">Server/environment policy is authoritative for high-risk features; client flag alone cannot enable API capability.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Build metadata</w:t>
            </w:r>
          </w:p>
        </w:tc>
        <w:tc>
          <w:tcPr/>
          <w:p>
            <w:pPr>
              <w:pStyle w:val="TableText"/>
            </w:pPr>
            <w:r>
              <w:t xml:space="preserve">Version/commit SHOULD be visible in diagnostics.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Experimental graph/AI features</w:t>
            </w:r>
          </w:p>
        </w:tc>
        <w:tc>
          <w:tcPr/>
          <w:p>
            <w:pPr>
              <w:pStyle w:val="TableText"/>
            </w:pPr>
            <w:r>
              <w:t xml:space="preserve">Disabled by default unless approved deployment policy enables them.</w:t>
            </w:r>
          </w:p>
        </w:tc>
      </w:tr>
    </w:tbl>
    <w:bookmarkEnd w:id="30"/>
    <w:bookmarkStart w:id="31" w:name="X73659bb924e397e3d1f11d21b4949f628e06ac1"/>
    <w:p>
      <w:pPr>
        <w:pStyle w:val="Heading1"/>
      </w:pPr>
      <w:r>
        <w:t xml:space="preserve">22. Screen-to-Feature Ownership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2"/>
        <w:gridCol w:w="1361"/>
        <w:gridCol w:w="5046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Screen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Feature owner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Primary state owners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SCR-CASE-003</w:t>
            </w:r>
          </w:p>
        </w:tc>
        <w:tc>
          <w:tcPr/>
          <w:p>
            <w:pPr>
              <w:pStyle w:val="TableText"/>
            </w:pPr>
            <w:r>
              <w:t xml:space="preserve">cases</w:t>
            </w:r>
          </w:p>
        </w:tc>
        <w:tc>
          <w:tcPr/>
          <w:p>
            <w:pPr>
              <w:pStyle w:val="TableText"/>
            </w:pPr>
            <w:r>
              <w:t xml:space="preserve">case server state; route caseId; local panel state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SCR-EVD-003</w:t>
            </w:r>
          </w:p>
        </w:tc>
        <w:tc>
          <w:tcPr/>
          <w:p>
            <w:pPr>
              <w:pStyle w:val="TableText"/>
            </w:pPr>
            <w:r>
              <w:t xml:space="preserve">evidence</w:t>
            </w:r>
          </w:p>
        </w:tc>
        <w:tc>
          <w:tcPr/>
          <w:p>
            <w:pPr>
              <w:pStyle w:val="TableText"/>
            </w:pPr>
            <w:r>
              <w:t xml:space="preserve">evidence server state; reader viewport; extract draft form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SCR-ENT-005</w:t>
            </w:r>
          </w:p>
        </w:tc>
        <w:tc>
          <w:tcPr/>
          <w:p>
            <w:pPr>
              <w:pStyle w:val="TableText"/>
            </w:pPr>
            <w:r>
              <w:t xml:space="preserve">entities</w:t>
            </w:r>
          </w:p>
        </w:tc>
        <w:tc>
          <w:tcPr/>
          <w:p>
            <w:pPr>
              <w:pStyle w:val="TableText"/>
            </w:pPr>
            <w:r>
              <w:t xml:space="preserve">candidate server state; compare UI state; merge mutation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SCR-EVD-004, SCR-EVD-003, SCR-SRC-002 (claims and facts)</w:t>
            </w:r>
          </w:p>
        </w:tc>
        <w:tc>
          <w:tcPr/>
          <w:p>
            <w:pPr>
              <w:pStyle w:val="TableText"/>
            </w:pPr>
            <w:r>
              <w:t xml:space="preserve">evidence</w:t>
            </w:r>
          </w:p>
        </w:tc>
        <w:tc>
          <w:tcPr/>
          <w:p>
            <w:pPr>
              <w:pStyle w:val="TableText"/>
            </w:pPr>
            <w:r>
              <w:t xml:space="preserve">claims, facts, verification decisions and fact dependents server state; claim/fact forms; verification-decision and fact-command mutations (If-Match)</w:t>
            </w:r>
            <w:r>
              <w:t xml:space="preserve"> </w:t>
            </w:r>
            <w:r>
              <w:rPr>
                <w:i/>
                <w:iCs/>
              </w:rPr>
              <w:t xml:space="preserve">[v0.1.1 · C17]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SCR-ENT-005, SCR-ENT-006 (resolution decisions)</w:t>
            </w:r>
          </w:p>
        </w:tc>
        <w:tc>
          <w:tcPr/>
          <w:p>
            <w:pPr>
              <w:pStyle w:val="TableText"/>
            </w:pPr>
            <w:r>
              <w:t xml:space="preserve">entities</w:t>
            </w:r>
          </w:p>
        </w:tc>
        <w:tc>
          <w:tcPr/>
          <w:p>
            <w:pPr>
              <w:pStyle w:val="TableText"/>
            </w:pPr>
            <w:r>
              <w:t xml:space="preserve">resolution-decision history server state; merge/unmerge/resolution-decision mutations (</w:t>
            </w:r>
            <w:r>
              <w:rPr>
                <w:rStyle w:val="VerbatimChar"/>
              </w:rPr>
              <w:t xml:space="preserve">expected_versions</w:t>
            </w:r>
            <w:r>
              <w:t xml:space="preserve">, Idempotency-Key)</w:t>
            </w:r>
            <w:r>
              <w:t xml:space="preserve"> </w:t>
            </w:r>
            <w:r>
              <w:rPr>
                <w:i/>
                <w:iCs/>
              </w:rPr>
              <w:t xml:space="preserve">[v0.1.1 · C17]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SCR-VAL-001</w:t>
            </w:r>
          </w:p>
        </w:tc>
        <w:tc>
          <w:tcPr/>
          <w:p>
            <w:pPr>
              <w:pStyle w:val="TableText"/>
            </w:pPr>
            <w:r>
              <w:t xml:space="preserve">valueflows</w:t>
            </w:r>
          </w:p>
        </w:tc>
        <w:tc>
          <w:tcPr/>
          <w:p>
            <w:pPr>
              <w:pStyle w:val="TableText"/>
            </w:pPr>
            <w:r>
              <w:t xml:space="preserve">flow server state; filters in URL; canvas selection/layout local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SCR-HYP-001</w:t>
            </w:r>
          </w:p>
        </w:tc>
        <w:tc>
          <w:tcPr/>
          <w:p>
            <w:pPr>
              <w:pStyle w:val="TableText"/>
            </w:pPr>
            <w:r>
              <w:t xml:space="preserve">hypotheses</w:t>
            </w:r>
          </w:p>
        </w:tc>
        <w:tc>
          <w:tcPr/>
          <w:p>
            <w:pPr>
              <w:pStyle w:val="TableText"/>
            </w:pPr>
            <w:r>
              <w:t xml:space="preserve">hypothesis server state; matrix filters local; edits form state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SCR-REV-002</w:t>
            </w:r>
          </w:p>
        </w:tc>
        <w:tc>
          <w:tcPr/>
          <w:p>
            <w:pPr>
              <w:pStyle w:val="TableText"/>
            </w:pPr>
            <w:r>
              <w:t xml:space="preserve">reviews/products</w:t>
            </w:r>
          </w:p>
        </w:tc>
        <w:tc>
          <w:tcPr/>
          <w:p>
            <w:pPr>
              <w:pStyle w:val="TableText"/>
            </w:pPr>
            <w:r>
              <w:t xml:space="preserve">product version server state; comment form; approval mutation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SCR-DIS-002</w:t>
            </w:r>
          </w:p>
        </w:tc>
        <w:tc>
          <w:tcPr/>
          <w:p>
            <w:pPr>
              <w:pStyle w:val="TableText"/>
            </w:pPr>
            <w:r>
              <w:t xml:space="preserve">dissemination</w:t>
            </w:r>
          </w:p>
        </w:tc>
        <w:tc>
          <w:tcPr/>
          <w:p>
            <w:pPr>
              <w:pStyle w:val="TableText"/>
            </w:pPr>
            <w:r>
              <w:t xml:space="preserve">authorized export candidates server state; selection form; export mutation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Owners of claim, fact and resolution data.</w:t>
      </w:r>
      <w:r>
        <w:t xml:space="preserve"> </w:t>
      </w:r>
      <w:r>
        <w:rPr>
          <w:i/>
          <w:iCs/>
        </w:rPr>
        <w:t xml:space="preserve">[v0.1.1 · C17]</w:t>
      </w:r>
      <w:r>
        <w:t xml:space="preserve"> </w:t>
      </w:r>
      <w:r>
        <w:rPr>
          <w:rStyle w:val="VerbatimChar"/>
        </w:rPr>
        <w:t xml:space="preserve">features/evidence</w:t>
      </w:r>
      <w:r>
        <w:t xml:space="preserve"> </w:t>
      </w:r>
      <w:r>
        <w:t xml:space="preserve">owns Claim, Fact and VerificationDecision server state (query keys in §7). A successful verification decision invalidates the claim; a fact command invalidates the fact, its dependents and the dependent assessments/products (whose</w:t>
      </w:r>
      <w:r>
        <w:t xml:space="preserve"> </w:t>
      </w:r>
      <w:r>
        <w:rPr>
          <w:rStyle w:val="VerbatimChar"/>
        </w:rPr>
        <w:t xml:space="preserve">review_required</w:t>
      </w:r>
      <w:r>
        <w:t xml:space="preserve"> </w:t>
      </w:r>
      <w:r>
        <w:t xml:space="preserve">may change).</w:t>
      </w:r>
      <w:r>
        <w:t xml:space="preserve"> </w:t>
      </w:r>
      <w:r>
        <w:rPr>
          <w:rStyle w:val="VerbatimChar"/>
        </w:rPr>
        <w:t xml:space="preserve">features/entities</w:t>
      </w:r>
      <w:r>
        <w:t xml:space="preserve"> </w:t>
      </w:r>
      <w:r>
        <w:t xml:space="preserve">owns ResolutionDecision state (query keys in §7); a merge, unmerge or resolution decision invalidates every subject entity, its relationships and the candidate list.</w:t>
      </w:r>
      <w:r>
        <w:t xml:space="preserve"> </w:t>
      </w:r>
      <w:r>
        <w:rPr>
          <w:rStyle w:val="VerbatimChar"/>
        </w:rPr>
        <w:t xml:space="preserve">features/assessments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features/products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review_required</w:t>
      </w:r>
      <w:r>
        <w:t xml:space="preserve"> </w:t>
      </w:r>
      <w:r>
        <w:t xml:space="preserve">and render it with ANA-001 (</w:t>
      </w:r>
      <w:r>
        <w:rPr>
          <w:rStyle w:val="VerbatimChar"/>
        </w:rPr>
        <w:t xml:space="preserve">review-required</w:t>
      </w:r>
      <w:r>
        <w:t xml:space="preserve"> </w:t>
      </w:r>
      <w:r>
        <w:t xml:space="preserve">variant).</w:t>
      </w:r>
    </w:p>
    <w:bookmarkEnd w:id="31"/>
    <w:bookmarkStart w:id="32" w:name="Xbe30399841319f97dde1b75ab66fdbce8fd56ef"/>
    <w:p>
      <w:pPr>
        <w:pStyle w:val="Heading1"/>
      </w:pPr>
      <w:r>
        <w:t xml:space="preserve">23. Frontend Definition of Done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1"/>
        <w:gridCol w:w="6558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Done when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Architecture</w:t>
            </w:r>
          </w:p>
        </w:tc>
        <w:tc>
          <w:tcPr/>
          <w:p>
            <w:pPr>
              <w:pStyle w:val="TableText"/>
            </w:pPr>
            <w:r>
              <w:t xml:space="preserve">Feature is in correct module and does not create circular/private cross-feature dependencies.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State ownership</w:t>
            </w:r>
          </w:p>
        </w:tc>
        <w:tc>
          <w:tcPr/>
          <w:p>
            <w:pPr>
              <w:pStyle w:val="TableText"/>
            </w:pPr>
            <w:r>
              <w:t xml:space="preserve">Remote, form, route, visualization and ephemeral state have explicit owners.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Authorization</w:t>
            </w:r>
          </w:p>
        </w:tc>
        <w:tc>
          <w:tcPr/>
          <w:p>
            <w:pPr>
              <w:pStyle w:val="TableText"/>
            </w:pPr>
            <w:r>
              <w:t xml:space="preserve">Denied/changed permissions are handled without data leakage; server remains authoritative.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Concurrency</w:t>
            </w:r>
          </w:p>
        </w:tc>
        <w:tc>
          <w:tcPr/>
          <w:p>
            <w:pPr>
              <w:pStyle w:val="TableText"/>
            </w:pPr>
            <w:r>
              <w:t xml:space="preserve">Editable canonical records handle stale versions safely.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UI semantics</w:t>
            </w:r>
          </w:p>
        </w:tc>
        <w:tc>
          <w:tcPr/>
          <w:p>
            <w:pPr>
              <w:pStyle w:val="TableText"/>
            </w:pPr>
            <w:r>
              <w:t xml:space="preserve">Shared design-system/domain components preserve uncertainty/provenance semantics.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Accessibility</w:t>
            </w:r>
          </w:p>
        </w:tc>
        <w:tc>
          <w:tcPr/>
          <w:p>
            <w:pPr>
              <w:pStyle w:val="TableText"/>
            </w:pPr>
            <w:r>
              <w:t xml:space="preserve">Keyboard, focus and state announcements verified.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Tests</w:t>
            </w:r>
          </w:p>
        </w:tc>
        <w:tc>
          <w:tcPr/>
          <w:p>
            <w:pPr>
              <w:pStyle w:val="TableText"/>
            </w:pPr>
            <w:r>
              <w:t xml:space="preserve">Unit/integration/screen/E2E coverage appropriate to risk; Storybook coverage for shared components.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Security</w:t>
            </w:r>
          </w:p>
        </w:tc>
        <w:tc>
          <w:tcPr/>
          <w:p>
            <w:pPr>
              <w:pStyle w:val="TableText"/>
            </w:pPr>
            <w:r>
              <w:t xml:space="preserve">Sensitive content absent from logs/storage/telemetry beyond approved mechanisms.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Performance</w:t>
            </w:r>
          </w:p>
        </w:tc>
        <w:tc>
          <w:tcPr/>
          <w:p>
            <w:pPr>
              <w:pStyle w:val="TableText"/>
            </w:pPr>
            <w:r>
              <w:t xml:space="preserve">Critical route/render performance meets MVP thresholds.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Traceability</w:t>
            </w:r>
          </w:p>
        </w:tc>
        <w:tc>
          <w:tcPr/>
          <w:p>
            <w:pPr>
              <w:pStyle w:val="TableText"/>
            </w:pPr>
            <w:r>
              <w:t xml:space="preserve">Screen IDs and SRS/feature references included in implementation issue/test metadata where practical.</w:t>
            </w:r>
          </w:p>
        </w:tc>
      </w:tr>
    </w:tbl>
    <w:bookmarkEnd w:id="32"/>
    <w:bookmarkStart w:id="33" w:name="X810853d0670d9464c9ddcbad9de5c767f6a0dea"/>
    <w:p>
      <w:pPr>
        <w:pStyle w:val="Heading1"/>
      </w:pPr>
      <w:r>
        <w:t xml:space="preserve">24. Architecture Decision 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8"/>
        <w:gridCol w:w="6841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Baseline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FE-ADR-001</w:t>
            </w:r>
          </w:p>
        </w:tc>
        <w:tc>
          <w:tcPr/>
          <w:p>
            <w:pPr>
              <w:pStyle w:val="TableText"/>
            </w:pPr>
            <w:r>
              <w:t xml:space="preserve">Feature-oriented modular React application; no page-folder monolith.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FE-ADR-002</w:t>
            </w:r>
          </w:p>
        </w:tc>
        <w:tc>
          <w:tcPr/>
          <w:p>
            <w:pPr>
              <w:pStyle w:val="TableText"/>
            </w:pPr>
            <w:r>
              <w:t xml:space="preserve">TanStack Query-equivalent owns server state; no duplicate global canonical store.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FE-ADR-003</w:t>
            </w:r>
          </w:p>
        </w:tc>
        <w:tc>
          <w:tcPr/>
          <w:p>
            <w:pPr>
              <w:pStyle w:val="TableText"/>
            </w:pPr>
            <w:r>
              <w:t xml:space="preserve">Form library owns unsaved form state; durable draft requires explicit server object.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FE-ADR-004</w:t>
            </w:r>
          </w:p>
        </w:tc>
        <w:tc>
          <w:tcPr/>
          <w:p>
            <w:pPr>
              <w:pStyle w:val="TableText"/>
            </w:pPr>
            <w:r>
              <w:t xml:space="preserve">React Router-equivalent owns shareable navigation/filter context.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FE-ADR-005</w:t>
            </w:r>
          </w:p>
        </w:tc>
        <w:tc>
          <w:tcPr/>
          <w:p>
            <w:pPr>
              <w:pStyle w:val="TableText"/>
            </w:pPr>
            <w:r>
              <w:t xml:space="preserve">Visualization controllers own layout/selection; graph layout is not canonical truth.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FE-ADR-006</w:t>
            </w:r>
          </w:p>
        </w:tc>
        <w:tc>
          <w:tcPr/>
          <w:p>
            <w:pPr>
              <w:pStyle w:val="TableText"/>
            </w:pPr>
            <w:r>
              <w:t xml:space="preserve">Shared component package/design system before feature-local duplicates.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FE-ADR-007</w:t>
            </w:r>
          </w:p>
        </w:tc>
        <w:tc>
          <w:tcPr/>
          <w:p>
            <w:pPr>
              <w:pStyle w:val="TableText"/>
            </w:pPr>
            <w:r>
              <w:t xml:space="preserve">Version-aware mutations for canonical editable objects.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FE-ADR-008</w:t>
            </w:r>
          </w:p>
        </w:tc>
        <w:tc>
          <w:tcPr/>
          <w:p>
            <w:pPr>
              <w:pStyle w:val="TableText"/>
            </w:pPr>
            <w:r>
              <w:t xml:space="preserve">No offline-first evidence cache in MVP.</w:t>
            </w:r>
          </w:p>
        </w:tc>
      </w:tr>
    </w:tbl>
    <w:bookmarkEnd w:id="33"/>
    <w:bookmarkStart w:id="34" w:name="annex-a--state-ownership-decision-tree"/>
    <w:p>
      <w:pPr>
        <w:pStyle w:val="Heading1"/>
      </w:pPr>
      <w:r>
        <w:t xml:space="preserve">Annex A — State Ownership Decision Tree</w:t>
      </w:r>
    </w:p>
    <w:p>
      <w:pPr>
        <w:pStyle w:val="SourceCode"/>
      </w:pPr>
      <w:r>
        <w:rPr>
          <w:rFonts w:ascii="Consolas" w:hAnsi="Consolas" w:cs="Consolas" w:eastAsia="Consolas"/>
          <w:sz w:val="18"/>
          <w:szCs w:val="18"/>
        </w:rPr>
        <w:t xml:space="preserve">Is the value canonical or returned by API?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YES → Server/query state.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NO → Is it an unsaved user edit?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YES → Form state.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NO → Must it survive/share via URL/back button?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YES → Router/URL state.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NO → Is it visualization-only (selection/layout/zoom)?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  YES → Visualization controller state.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  NO → Is it transient UI chrome?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    YES → Local component state.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    NO → Define explicit feature ownership; do not default to global store.</w:t>
      </w:r>
    </w:p>
    <w:bookmarkEnd w:id="34"/>
    <w:bookmarkStart w:id="35" w:name="annex-b--frontend-review-checklist"/>
    <w:p>
      <w:pPr>
        <w:pStyle w:val="Heading1"/>
      </w:pPr>
      <w:r>
        <w:t xml:space="preserve">Annex B — Frontend Review Checklist</w:t>
      </w:r>
    </w:p>
    <w:p>
      <w:pPr>
        <w:numPr>
          <w:ilvl w:val="0"/>
          <w:numId w:val="1007"/>
        </w:numPr>
      </w:pPr>
      <w:r>
        <w:t xml:space="preserve">No canonical object copied into unversioned global mutable state.</w:t>
      </w:r>
    </w:p>
    <w:p>
      <w:pPr>
        <w:numPr>
          <w:ilvl w:val="0"/>
          <w:numId w:val="1007"/>
        </w:numPr>
      </w:pPr>
      <w:r>
        <w:t xml:space="preserve">Query key includes relevant case/context dimensions.</w:t>
      </w:r>
    </w:p>
    <w:p>
      <w:pPr>
        <w:numPr>
          <w:ilvl w:val="0"/>
          <w:numId w:val="1007"/>
        </w:numPr>
      </w:pPr>
      <w:r>
        <w:t xml:space="preserve">Logout/user switch clears sensitive caches.</w:t>
      </w:r>
    </w:p>
    <w:p>
      <w:pPr>
        <w:numPr>
          <w:ilvl w:val="0"/>
          <w:numId w:val="1007"/>
        </w:numPr>
      </w:pPr>
      <w:r>
        <w:t xml:space="preserve">403/404 non-disclosing states handled correctly.</w:t>
      </w:r>
    </w:p>
    <w:p>
      <w:pPr>
        <w:numPr>
          <w:ilvl w:val="0"/>
          <w:numId w:val="1007"/>
        </w:numPr>
      </w:pPr>
      <w:r>
        <w:t xml:space="preserve">Unknown/null/zero distinctions preserved.</w:t>
      </w:r>
    </w:p>
    <w:p>
      <w:pPr>
        <w:numPr>
          <w:ilvl w:val="0"/>
          <w:numId w:val="1007"/>
        </w:numPr>
      </w:pPr>
      <w:r>
        <w:t xml:space="preserve">No optimistic high-impact approval/merge/dissemination.</w:t>
      </w:r>
    </w:p>
    <w:p>
      <w:pPr>
        <w:numPr>
          <w:ilvl w:val="0"/>
          <w:numId w:val="1007"/>
        </w:numPr>
      </w:pPr>
      <w:r>
        <w:t xml:space="preserve">Stale-version conflict tested: 412 → "record changed" recovery; 409 → workflow message; 428 → client bug.</w:t>
      </w:r>
      <w:r>
        <w:t xml:space="preserve"> </w:t>
      </w:r>
      <w:r>
        <w:rPr>
          <w:i/>
          <w:iCs/>
        </w:rPr>
        <w:t xml:space="preserve">[v0.1.1 · A04]</w:t>
      </w:r>
    </w:p>
    <w:p>
      <w:pPr>
        <w:numPr>
          <w:ilvl w:val="0"/>
          <w:numId w:val="1007"/>
        </w:numPr>
      </w:pPr>
      <w:r>
        <w:t xml:space="preserve">Graph/timeline/value-flow derived state does not mutate canonical objects.</w:t>
      </w:r>
    </w:p>
    <w:p>
      <w:pPr>
        <w:numPr>
          <w:ilvl w:val="0"/>
          <w:numId w:val="1007"/>
        </w:numPr>
      </w:pPr>
      <w:r>
        <w:t xml:space="preserve">Keyboard/focus/error/loading states tested.</w:t>
      </w:r>
    </w:p>
    <w:p>
      <w:pPr>
        <w:numPr>
          <w:ilvl w:val="0"/>
          <w:numId w:val="1007"/>
        </w:numPr>
      </w:pPr>
      <w:r>
        <w:t xml:space="preserve">No protected-source content in ordinary browser storage or telemetry.</w:t>
      </w:r>
    </w:p>
    <w:bookmarkEnd w:id="35"/>
    <w:sectPr>
      <w:headerReference r:id="rIdCsamlHdr" w:type="default"/>
      <w:footerReference r:id="rIdCsamlFtr" w:type="default"/>
      <w:footnotePr>
        <w:numRestart w:val="eachSect"/>
      </w:footnotePr>
      <w:pgSz w:h="16838" w:w="11906"/>
      <w:pgMar w:bottom="1247" w:footer="567" w:gutter="0" w:header="567" w:left="1134" w:right="1134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1" w:color="808080"/>
      </w:pBdr>
      <w:tabs>
        <w:tab w:val="right" w:pos="9638"/>
      </w:tabs>
      <w:spacing w:before="0" w:after="0"/>
    </w:pPr>
    <w:r>
      <w:rPr>
        <w:sz w:val="16"/>
      </w:rPr>
      <w:t xml:space="preserve">Approved Internal Specification Baseline</w:t>
    </w:r>
    <w:r>
      <w:rPr>
        <w:sz w:val="16"/>
      </w:rPr>
      <w:tab/>
      <w:t xml:space="preserve">Page </w:t>
    </w:r>
    <w:fldSimple w:instr=" PAGE ">
      <w:r>
        <w:rPr>
          <w:sz w:val="16"/>
        </w:rPr>
        <w:t>1</w:t>
      </w:r>
    </w:fldSimple>
    <w:r>
      <w:rPr>
        <w:sz w:val="16"/>
      </w:rPr>
      <w:t xml:space="preserve"> of </w:t>
    </w:r>
    <w:fldSimple w:instr=" NUMPAGES ">
      <w:r>
        <w:rPr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808080"/>
      </w:pBdr>
      <w:tabs>
        <w:tab w:val="right" w:pos="9638"/>
      </w:tabs>
      <w:spacing w:before="0" w:after="0"/>
    </w:pPr>
    <w:r>
      <w:rPr>
        <w:b/>
        <w:sz w:val="16"/>
      </w:rPr>
      <w:t xml:space="preserve">CS-AML </w:t>
    </w:r>
    <w:r>
      <w:rPr>
        <w:sz w:val="16"/>
      </w:rPr>
      <w:t xml:space="preserve">Frontend Architecture &amp; State Management Specification</w:t>
    </w:r>
    <w:r>
      <w:rPr>
        <w:sz w:val="16"/>
      </w:rPr>
      <w:tab/>
      <w:t xml:space="preserve">Version 0.1.2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0"/>
        <w:szCs w:val="20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10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0A8B0" w:space="0" w:sz="4" w:val="single"/>
        <w:left w:color="A0A8B0" w:space="0" w:sz="4" w:val="single"/>
        <w:bottom w:color="A0A8B0" w:space="0" w:sz="4" w:val="single"/>
        <w:right w:color="A0A8B0" w:space="0" w:sz="4" w:val="single"/>
        <w:insideH w:color="A0A8B0" w:space="0" w:sz="4" w:val="single"/>
        <w:insideV w:color="A0A8B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shd w:color="auto" w:fill="E6EBF0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wordWrap w:val="0"/>
      <w:shd w:color="auto" w:fill="F4F6F8" w:val="clear"/>
      <w:pBdr>
        <w:left w:color="A0A8B0" w:space="6" w:sz="8" w:val="single"/>
      </w:pBdr>
      <w:spacing w:after="120" w:before="60" w:line="240" w:lineRule="auto"/>
    </w:pPr>
    <w:rPr>
      <w:rFonts w:ascii="Consolas" w:cs="Consolas" w:eastAsia="Consolas" w:hAnsi="Consolas"/>
      <w:sz w:val="16"/>
      <w:szCs w:val="16"/>
    </w:rPr>
  </w:style>
  <w:style w:customStyle="1" w:styleId="TableText" w:type="paragraph">
    <w:name w:val="Table Text"/>
    <w:basedOn w:val="Compact"/>
    <w:qFormat/>
    <w:pPr>
      <w:spacing w:after="20" w:before="20"/>
    </w:pPr>
    <w:rPr>
      <w:sz w:val="17"/>
      <w:szCs w:val="17"/>
    </w:rPr>
  </w:style>
  <w:style w:customStyle="1" w:styleId="TableTextSmall" w:type="paragraph">
    <w:name w:val="Table Text Small"/>
    <w:basedOn w:val="Compact"/>
    <w:qFormat/>
    <w:pPr>
      <w:spacing w:after="10" w:before="10"/>
    </w:pPr>
    <w:rPr>
      <w:sz w:val="14"/>
      <w:szCs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CsamlHdr" Target="header1.xml" Type="http://schemas.openxmlformats.org/officeDocument/2006/relationships/header" /><Relationship Id="rIdCsamlFt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Architecture &amp; State Management Specification</dc:title>
  <dc:creator/>
  <dc:language>en-GB</dc:language>
  <cp:keywords/>
  <dcterms:created xsi:type="dcterms:W3CDTF">2026-10-10T04:00:41Z</dcterms:created>
  <dcterms:modified xsi:type="dcterms:W3CDTF">2026-10-10T04:00:41Z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2026-10-09</vt:lpwstr>
  </property>
  <property fmtid="{D5CDD505-2E9C-101B-9397-08002B2CF9AE}" pid="3" name="doctitle">
    <vt:lpwstr>Frontend Architecture &amp; State Management Specification</vt:lpwstr>
  </property>
  <property fmtid="{D5CDD505-2E9C-101B-9397-08002B2CF9AE}" pid="4" name="docversion">
    <vt:lpwstr>0.1.2</vt:lpwstr>
  </property>
  <property fmtid="{D5CDD505-2E9C-101B-9397-08002B2CF9AE}" pid="5" name="subtitle">
    <vt:lpwstr>Version 0.1.2 — Approved Internal Specification Baseline (tag v0.1.2-spec)</vt:lpwstr>
  </property>
  <property fmtid="{D5CDD505-2E9C-101B-9397-08002B2CF9AE}" pid="6" name="toc-title">
    <vt:lpwstr>Contents</vt:lpwstr>
  </property>
</Properties>
</file>