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 and Feature Specification</w:t>
      </w:r>
    </w:p>
    <w:p>
      <w:pPr>
        <w:pStyle w:val="Subtitle"/>
      </w:pPr>
      <w:r>
        <w:t xml:space="preserve">Version 0.1.1 — Approved Internal Specification Baseline (tag v0.1.1-spec)</w:t>
      </w:r>
    </w:p>
    <w:p>
      <w:pPr>
        <w:pStyle w:val="Date"/>
      </w:pPr>
      <w:r>
        <w:t xml:space="preserve">2026-10-08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rPr>
          <w:b/>
          <w:bCs/>
        </w:rPr>
        <w:t xml:space="preserve">CS-AML</w:t>
      </w:r>
    </w:p>
    <w:p>
      <w:pPr>
        <w:pStyle w:val="BodyText"/>
      </w:pPr>
      <w:r>
        <w:rPr>
          <w:b/>
          <w:bCs/>
        </w:rPr>
        <w:t xml:space="preserve">Product &amp; Feature Specification</w:t>
      </w:r>
    </w:p>
    <w:p>
      <w:pPr>
        <w:pStyle w:val="BodyText"/>
      </w:pPr>
      <w:r>
        <w:t xml:space="preserve">Version 0.1.1</w:t>
      </w:r>
    </w:p>
    <w:p>
      <w:pPr>
        <w:pStyle w:val="BlockText"/>
      </w:pPr>
      <w:r>
        <w:rPr>
          <w:b/>
          <w:bCs/>
        </w:rPr>
        <w:t xml:space="preserve">Document status — v0.1.1</w:t>
      </w:r>
      <w:r>
        <w:br/>
      </w:r>
      <w:r>
        <w:t xml:space="preserve">Version: 0.1.1 — Approved Internal Specification Baseline (2026-10-08, tag v0.1.1-spec).</w:t>
      </w:r>
      <w:r>
        <w:t xml:space="preserve"> </w:t>
      </w:r>
      <w:r>
        <w:rPr>
          <w:i/>
          <w:iCs/>
        </w:rPr>
        <w:t xml:space="preserve">[v0.1.1 · A01]</w:t>
      </w:r>
      <w:r>
        <w:br/>
      </w:r>
      <w:r>
        <w:t xml:space="preserve">Supersedes: CS-AML Product &amp; Feature Specification v0.1. The DOCX/PDF files in this repository are the unchanged v0.1 baseline (legacy); this Markdown file is the canonical source.</w:t>
      </w:r>
      <w:r>
        <w:br/>
      </w:r>
      <w:r>
        <w:t xml:space="preserve">Validation: approved by the product owner as the internal specification baseline on 2026-10-08 (decision register and release gates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). No implementation test result or independent audit exists yet. Acceptance criteria in this document are targets, not evidence that tests have passed.</w:t>
      </w:r>
      <w:r>
        <w:br/>
      </w:r>
      <w:r>
        <w:t xml:space="preserve">CS-AML is not an external standard or certification. References to FATF, Wolfsberg, PPATK, UNODC or other bodies do not imply their endorsement.</w:t>
      </w:r>
      <w:r>
        <w:br/>
      </w:r>
      <w:r>
        <w:t xml:space="preserve">Changes in 0.1.1: see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at the repository root (audit findings A01–A16).</w:t>
      </w:r>
    </w:p>
    <w:p>
      <w:pPr>
        <w:pStyle w:val="FirstParagraph"/>
      </w:pPr>
      <w:r>
        <w:t xml:space="preserve">Civil Society Financial Intelligence / AML Investigation Platform</w:t>
      </w:r>
    </w:p>
    <w:p>
      <w:pPr>
        <w:pStyle w:val="BodyText"/>
      </w:pPr>
      <w:r>
        <w:t xml:space="preserve">Status: Approved Internal Specification Baseline (2026-10-08, tag v0.1.1-spec) — product baseline / implementation specification</w:t>
      </w:r>
      <w:r>
        <w:t xml:space="preserve"> </w:t>
      </w:r>
      <w:r>
        <w:rPr>
          <w:i/>
          <w:iCs/>
        </w:rPr>
        <w:t xml:space="preserve">[v0.1.1 · A01]</w:t>
      </w:r>
    </w:p>
    <w:p>
      <w:pPr>
        <w:pStyle w:val="BlockText"/>
      </w:pPr>
      <w:r>
        <w:rPr>
          <w:b/>
          <w:bCs/>
        </w:rPr>
        <w:t xml:space="preserve">Product axiom</w:t>
      </w:r>
      <w:r>
        <w:br/>
      </w:r>
      <w:r>
        <w:t xml:space="preserve">The platform SHALL help analysts discover, structure, test, explain, review, and disseminate financial intelligence without converting uncertainty into fact or replacing accountable human judgement.</w:t>
      </w:r>
    </w:p>
    <w:bookmarkStart w:id="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4"/>
        <w:gridCol w:w="693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Document</w:t>
            </w:r>
          </w:p>
        </w:tc>
        <w:tc>
          <w:tcPr/>
          <w:p>
            <w:pPr>
              <w:pStyle w:val="TableText"/>
            </w:pPr>
            <w:r>
              <w:t xml:space="preserve">CS-AML Product &amp; Feature Specification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Version</w:t>
            </w:r>
          </w:p>
        </w:tc>
        <w:tc>
          <w:tcPr/>
          <w:p>
            <w:pPr>
              <w:pStyle w:val="TableText"/>
            </w:pPr>
            <w:r>
              <w:t xml:space="preserve">0.1.1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Status</w:t>
            </w:r>
          </w:p>
        </w:tc>
        <w:tc>
          <w:tcPr/>
          <w:p>
            <w:pPr>
              <w:pStyle w:val="TableText"/>
            </w:pPr>
            <w:r>
              <w:t xml:space="preserve">Approved Internal Specification Baseline (2026-10-08, tag v0.1.1-spec)</w:t>
            </w:r>
            <w:r>
              <w:t xml:space="preserve"> </w:t>
            </w:r>
            <w:r>
              <w:rPr>
                <w:i/>
                <w:iCs/>
              </w:rPr>
              <w:t xml:space="preserve">[v0.1.1 · A01]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audience</w:t>
            </w:r>
          </w:p>
        </w:tc>
        <w:tc>
          <w:tcPr/>
          <w:p>
            <w:pPr>
              <w:pStyle w:val="TableText"/>
            </w:pPr>
            <w:r>
              <w:t xml:space="preserve">Product owners, investigators, analysts, architects, developers, security/privacy reviewers, QA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Normative inputs</w:t>
            </w:r>
          </w:p>
        </w:tc>
        <w:tc>
          <w:tcPr/>
          <w:p>
            <w:pPr>
              <w:pStyle w:val="TableText"/>
            </w:pPr>
            <w:r>
              <w:t xml:space="preserve">CS-AML Framework v0.1.1; Goals &amp; Non-Goals v0.1.1; Typology Catalogue v0.1.1; Investigation Methodology v0.1.1; Data Model Specification v0.1.1; Control Implementation Guide v0.1.1; Technology Architecture v0.1.1 (Markdown,</w:t>
            </w:r>
            <w:r>
              <w:t xml:space="preserve"> </w:t>
            </w:r>
            <w:r>
              <w:rPr>
                <w:rStyle w:val="VerbatimChar"/>
              </w:rPr>
              <w:t xml:space="preserve">Documents/*_v0.1.1.md</w:t>
            </w:r>
            <w:r>
              <w:t xml:space="preserve">)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Normative language</w:t>
            </w:r>
          </w:p>
        </w:tc>
        <w:tc>
          <w:tcPr/>
          <w:p>
            <w:pPr>
              <w:pStyle w:val="TableText"/>
            </w:pPr>
            <w:r>
              <w:t xml:space="preserve">SHALL/MUST = mandatory; SHOULD = recommended; MAY = optional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output</w:t>
            </w:r>
          </w:p>
        </w:tc>
        <w:tc>
          <w:tcPr/>
          <w:p>
            <w:pPr>
              <w:pStyle w:val="TableText"/>
            </w:pPr>
            <w:r>
              <w:t xml:space="preserve">Prioritised, testable product backlog and release scope</w:t>
            </w:r>
          </w:p>
        </w:tc>
      </w:tr>
    </w:tbl>
    <w:bookmarkEnd w:id="9"/>
    <w:bookmarkStart w:id="10" w:name="Xd22f611279312c0e09a10965767720f40b55e9a"/>
    <w:p>
      <w:pPr>
        <w:pStyle w:val="Heading1"/>
      </w:pPr>
      <w:r>
        <w:t xml:space="preserve">1. Purpose and Product Definition</w:t>
      </w:r>
    </w:p>
    <w:p>
      <w:pPr>
        <w:pStyle w:val="FirstParagraph"/>
      </w:pPr>
      <w:r>
        <w:t xml:space="preserve">This specification translates the CS-AML normative framework into a buildable software product. It defines the product boundary, user roles, capabilities, functional features, acceptance criteria, integrations, non-functional requirements, release priorities, and traceability expectations for a Civil Society Financial Intelligence / AML Investigation Platform.</w:t>
      </w:r>
    </w:p>
    <w:p>
      <w:pPr>
        <w:pStyle w:val="BlockText"/>
      </w:pPr>
      <w:r>
        <w:rPr>
          <w:b/>
          <w:bCs/>
        </w:rPr>
        <w:t xml:space="preserve">Product definition</w:t>
      </w:r>
      <w:r>
        <w:br/>
      </w:r>
      <w:r>
        <w:t xml:space="preserve">CS-AML Platform is a civil-society financial intelligence and investigation system. It is NOT a bank transaction-monitoring system, a law-enforcement case system, a guilt-determination engine, or a general-purpose mass-surveillance platform.</w:t>
      </w:r>
    </w:p>
    <w:p>
      <w:pPr>
        <w:pStyle w:val="FirstParagraph"/>
      </w:pPr>
      <w:r>
        <w:rPr>
          <w:b/>
          <w:bCs/>
        </w:rPr>
        <w:t xml:space="preserve">The product SHALL enable a structured chain:</w:t>
      </w:r>
    </w:p>
    <w:p>
      <w:pPr>
        <w:pStyle w:val="BodyText"/>
      </w:pPr>
      <w:r>
        <w:t xml:space="preserve">SOURCE → EVIDENCE → CLAIM/FACT → INDICATOR → HYPOTHESIS → ASSESSMENT → INTELLIGENCE PRODUCT</w:t>
      </w:r>
    </w:p>
    <w:p>
      <w:pPr>
        <w:pStyle w:val="BodyText"/>
      </w:pPr>
      <w:r>
        <w:t xml:space="preserve">The product SHALL preserve reusable truth-bearing objects—especially Evidence, Entity, Relationship, Asset, Event, and ValueFlow—across cases while preserving case compartmentalisation and access controls.</w:t>
      </w:r>
    </w:p>
    <w:bookmarkEnd w:id="10"/>
    <w:bookmarkStart w:id="11" w:name="Xbaf283f404e399b17e3b3c25089d0d9e3bec8ea"/>
    <w:p>
      <w:pPr>
        <w:pStyle w:val="Heading1"/>
      </w:pPr>
      <w:r>
        <w:t xml:space="preserve">2. Product Goals and Success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6"/>
        <w:gridCol w:w="1550"/>
        <w:gridCol w:w="576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Outcome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PG-01</w:t>
            </w:r>
          </w:p>
        </w:tc>
        <w:tc>
          <w:tcPr/>
          <w:p>
            <w:pPr>
              <w:pStyle w:val="TableText"/>
            </w:pPr>
            <w:r>
              <w:t xml:space="preserve">Structure investigations</w:t>
            </w:r>
          </w:p>
        </w:tc>
        <w:tc>
          <w:tcPr/>
          <w:p>
            <w:pPr>
              <w:pStyle w:val="TableText"/>
            </w:pPr>
            <w:r>
              <w:t xml:space="preserve">Replace ad-hoc folders, spreadsheets, screenshots, and disconnected notes with a controlled investigation workspace.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PG-02</w:t>
            </w:r>
          </w:p>
        </w:tc>
        <w:tc>
          <w:tcPr/>
          <w:p>
            <w:pPr>
              <w:pStyle w:val="TableText"/>
            </w:pPr>
            <w:r>
              <w:t xml:space="preserve">Preserve provenance</w:t>
            </w:r>
          </w:p>
        </w:tc>
        <w:tc>
          <w:tcPr/>
          <w:p>
            <w:pPr>
              <w:pStyle w:val="TableText"/>
            </w:pPr>
            <w:r>
              <w:t xml:space="preserve">Make every material analytical conclusion traceable to source and evidence.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PG-03</w:t>
            </w:r>
          </w:p>
        </w:tc>
        <w:tc>
          <w:tcPr/>
          <w:p>
            <w:pPr>
              <w:pStyle w:val="TableText"/>
            </w:pPr>
            <w:r>
              <w:t xml:space="preserve">Follow the value</w:t>
            </w:r>
          </w:p>
        </w:tc>
        <w:tc>
          <w:tcPr/>
          <w:p>
            <w:pPr>
              <w:pStyle w:val="TableText"/>
            </w:pPr>
            <w:r>
              <w:t xml:space="preserve">Support direct, documented, reconstructed, and hypothetical value-flow analysis without pretending public-source inference is bank-transaction evidence.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PG-04</w:t>
            </w:r>
          </w:p>
        </w:tc>
        <w:tc>
          <w:tcPr/>
          <w:p>
            <w:pPr>
              <w:pStyle w:val="TableText"/>
            </w:pPr>
            <w:r>
              <w:t xml:space="preserve">Resolve entities safely</w:t>
            </w:r>
          </w:p>
        </w:tc>
        <w:tc>
          <w:tcPr/>
          <w:p>
            <w:pPr>
              <w:pStyle w:val="TableText"/>
            </w:pPr>
            <w:r>
              <w:t xml:space="preserve">Allow identity/entity consolidation while retaining confidence, evidence, reversibility, and audit history.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PG-05</w:t>
            </w:r>
          </w:p>
        </w:tc>
        <w:tc>
          <w:tcPr/>
          <w:p>
            <w:pPr>
              <w:pStyle w:val="TableText"/>
            </w:pPr>
            <w:r>
              <w:t xml:space="preserve">Test hypotheses</w:t>
            </w:r>
          </w:p>
        </w:tc>
        <w:tc>
          <w:tcPr/>
          <w:p>
            <w:pPr>
              <w:pStyle w:val="TableText"/>
            </w:pPr>
            <w:r>
              <w:t xml:space="preserve">Support competing explanations, disconfirming evidence, unknowns, and confidence-based assessments.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PG-06</w:t>
            </w:r>
          </w:p>
        </w:tc>
        <w:tc>
          <w:tcPr/>
          <w:p>
            <w:pPr>
              <w:pStyle w:val="TableText"/>
            </w:pPr>
            <w:r>
              <w:t xml:space="preserve">Apply typologies carefully</w:t>
            </w:r>
          </w:p>
        </w:tc>
        <w:tc>
          <w:tcPr/>
          <w:p>
            <w:pPr>
              <w:pStyle w:val="TableText"/>
            </w:pPr>
            <w:r>
              <w:t xml:space="preserve">Use typology catalogues as analytical references, not proof of wrongdoing.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PG-07</w:t>
            </w:r>
          </w:p>
        </w:tc>
        <w:tc>
          <w:tcPr/>
          <w:p>
            <w:pPr>
              <w:pStyle w:val="TableText"/>
            </w:pPr>
            <w:r>
              <w:t xml:space="preserve">Create decision-useful intelligence</w:t>
            </w:r>
          </w:p>
        </w:tc>
        <w:tc>
          <w:tcPr/>
          <w:p>
            <w:pPr>
              <w:pStyle w:val="TableText"/>
            </w:pPr>
            <w:r>
              <w:t xml:space="preserve">Generate reviewable intelligence notes, network analysis, referral packages, and publication-ready outputs.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PG-08</w:t>
            </w:r>
          </w:p>
        </w:tc>
        <w:tc>
          <w:tcPr/>
          <w:p>
            <w:pPr>
              <w:pStyle w:val="TableText"/>
            </w:pPr>
            <w:r>
              <w:t xml:space="preserve">Protect people and sources</w:t>
            </w:r>
          </w:p>
        </w:tc>
        <w:tc>
          <w:tcPr/>
          <w:p>
            <w:pPr>
              <w:pStyle w:val="TableText"/>
            </w:pPr>
            <w:r>
              <w:t xml:space="preserve">Apply minimisation, compartmentalisation, least privilege, source protection, secure dissemination, and retention controls.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PG-09</w:t>
            </w:r>
          </w:p>
        </w:tc>
        <w:tc>
          <w:tcPr/>
          <w:p>
            <w:pPr>
              <w:pStyle w:val="TableText"/>
            </w:pPr>
            <w:r>
              <w:t xml:space="preserve">Enable collaboration</w:t>
            </w:r>
          </w:p>
        </w:tc>
        <w:tc>
          <w:tcPr/>
          <w:p>
            <w:pPr>
              <w:pStyle w:val="TableText"/>
            </w:pPr>
            <w:r>
              <w:t xml:space="preserve">Support accountable multi-analyst workflows, peer review, structured handover, and controlled partner sharing.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PG-10</w:t>
            </w:r>
          </w:p>
        </w:tc>
        <w:tc>
          <w:tcPr/>
          <w:p>
            <w:pPr>
              <w:pStyle w:val="TableText"/>
            </w:pPr>
            <w:r>
              <w:t xml:space="preserve">Remain extensible</w:t>
            </w:r>
          </w:p>
        </w:tc>
        <w:tc>
          <w:tcPr/>
          <w:p>
            <w:pPr>
              <w:pStyle w:val="TableText"/>
            </w:pPr>
            <w:r>
              <w:t xml:space="preserve">Integrate specialised external tools rather than rebuilding mature capabilities unnecessarily.</w:t>
            </w:r>
          </w:p>
        </w:tc>
      </w:tr>
    </w:tbl>
    <w:bookmarkEnd w:id="11"/>
    <w:bookmarkStart w:id="12" w:name="Xb89752adcedd5adc62e212220016d500971ccb7"/>
    <w:p>
      <w:pPr>
        <w:pStyle w:val="Heading1"/>
      </w:pPr>
      <w:r>
        <w:t xml:space="preserve">3. Product Non-Goals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6"/>
        <w:gridCol w:w="1594"/>
        <w:gridCol w:w="571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Non-goal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NG-01</w:t>
            </w:r>
          </w:p>
        </w:tc>
        <w:tc>
          <w:tcPr/>
          <w:p>
            <w:pPr>
              <w:pStyle w:val="TableText"/>
            </w:pPr>
            <w:r>
              <w:t xml:space="preserve">No autonomous guilt determination</w:t>
            </w:r>
          </w:p>
        </w:tc>
        <w:tc>
          <w:tcPr/>
          <w:p>
            <w:pPr>
              <w:pStyle w:val="TableText"/>
            </w:pPr>
            <w:r>
              <w:t xml:space="preserve">The system SHALL NOT determine that a person committed money laundering or another crime.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NG-02</w:t>
            </w:r>
          </w:p>
        </w:tc>
        <w:tc>
          <w:tcPr/>
          <w:p>
            <w:pPr>
              <w:pStyle w:val="TableText"/>
            </w:pPr>
            <w:r>
              <w:t xml:space="preserve">No unrestricted surveillance</w:t>
            </w:r>
          </w:p>
        </w:tc>
        <w:tc>
          <w:tcPr/>
          <w:p>
            <w:pPr>
              <w:pStyle w:val="TableText"/>
            </w:pPr>
            <w:r>
              <w:t xml:space="preserve">The product SHALL NOT be designed for bulk collection of people unrelated to a defined investigation purpose.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NG-03</w:t>
            </w:r>
          </w:p>
        </w:tc>
        <w:tc>
          <w:tcPr/>
          <w:p>
            <w:pPr>
              <w:pStyle w:val="TableText"/>
            </w:pPr>
            <w:r>
              <w:t xml:space="preserve">No unauthorised acquisition</w:t>
            </w:r>
          </w:p>
        </w:tc>
        <w:tc>
          <w:tcPr/>
          <w:p>
            <w:pPr>
              <w:pStyle w:val="TableText"/>
            </w:pPr>
            <w:r>
              <w:t xml:space="preserve">The product SHALL NOT provide hacking, credential theft, unauthorised interception, or covert access functions.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NG-04</w:t>
            </w:r>
          </w:p>
        </w:tc>
        <w:tc>
          <w:tcPr/>
          <w:p>
            <w:pPr>
              <w:pStyle w:val="TableText"/>
            </w:pPr>
            <w:r>
              <w:t xml:space="preserve">No bank-core replacement</w:t>
            </w:r>
          </w:p>
        </w:tc>
        <w:tc>
          <w:tcPr/>
          <w:p>
            <w:pPr>
              <w:pStyle w:val="TableText"/>
            </w:pPr>
            <w:r>
              <w:t xml:space="preserve">The product is not a bank AML transaction-monitoring or customer-onboarding system.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NG-05</w:t>
            </w:r>
          </w:p>
        </w:tc>
        <w:tc>
          <w:tcPr/>
          <w:p>
            <w:pPr>
              <w:pStyle w:val="TableText"/>
            </w:pPr>
            <w:r>
              <w:t xml:space="preserve">No evidence laundering</w:t>
            </w:r>
          </w:p>
        </w:tc>
        <w:tc>
          <w:tcPr/>
          <w:p>
            <w:pPr>
              <w:pStyle w:val="TableText"/>
            </w:pPr>
            <w:r>
              <w:t xml:space="preserve">AI, graph scores, data enrichment, or imported intelligence SHALL NOT silently become verified fact.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NG-06</w:t>
            </w:r>
          </w:p>
        </w:tc>
        <w:tc>
          <w:tcPr/>
          <w:p>
            <w:pPr>
              <w:pStyle w:val="TableText"/>
            </w:pPr>
            <w:r>
              <w:t xml:space="preserve">No forced monolith</w:t>
            </w:r>
          </w:p>
        </w:tc>
        <w:tc>
          <w:tcPr/>
          <w:p>
            <w:pPr>
              <w:pStyle w:val="TableText"/>
            </w:pPr>
            <w:r>
              <w:t xml:space="preserve">Search, graph, OCR, sanctions screening, and blockchain analytics MAY be delegated to external components.</w:t>
            </w:r>
          </w:p>
        </w:tc>
      </w:tr>
    </w:tbl>
    <w:bookmarkEnd w:id="12"/>
    <w:bookmarkStart w:id="13" w:name="X08c93e7df4f622247d18e87540e0e4073719138"/>
    <w:p>
      <w:pPr>
        <w:pStyle w:val="Heading1"/>
      </w:pPr>
      <w:r>
        <w:t xml:space="preserve">4. User Roles and 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646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Primary responsibility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Investigator / Analyst</w:t>
            </w:r>
          </w:p>
        </w:tc>
        <w:tc>
          <w:tcPr/>
          <w:p>
            <w:pPr>
              <w:pStyle w:val="TableText"/>
            </w:pPr>
            <w:r>
              <w:t xml:space="preserve">Opens and develops cases; registers sources/evidence; creates entities, relationships, events, flows, hypotheses, and assessments.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 Owner / Investigation Lead</w:t>
            </w:r>
          </w:p>
        </w:tc>
        <w:tc>
          <w:tcPr/>
          <w:p>
            <w:pPr>
              <w:pStyle w:val="TableText"/>
            </w:pPr>
            <w:r>
              <w:t xml:space="preserve">Owns scope, lifecycle gates, prioritisation, escalation, closure, and accountability.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Reviewer / Red-Team Analyst</w:t>
            </w:r>
          </w:p>
        </w:tc>
        <w:tc>
          <w:tcPr/>
          <w:p>
            <w:pPr>
              <w:pStyle w:val="TableText"/>
            </w:pPr>
            <w:r>
              <w:t xml:space="preserve">Independently tests identity resolution, evidence basis, alternative explanations, confidence, and wording.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Custodian</w:t>
            </w:r>
          </w:p>
        </w:tc>
        <w:tc>
          <w:tcPr/>
          <w:p>
            <w:pPr>
              <w:pStyle w:val="TableText"/>
            </w:pPr>
            <w:r>
              <w:t xml:space="preserve">Preserves originals, hashes, derivative lineage, retention status, and evidence integrity.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Data Steward</w:t>
            </w:r>
          </w:p>
        </w:tc>
        <w:tc>
          <w:tcPr/>
          <w:p>
            <w:pPr>
              <w:pStyle w:val="TableText"/>
            </w:pPr>
            <w:r>
              <w:t xml:space="preserve">Maintains entity quality, controlled vocabularies, merge/split history, and data-quality remediation.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Privacy / Legal Reviewer</w:t>
            </w:r>
          </w:p>
        </w:tc>
        <w:tc>
          <w:tcPr/>
          <w:p>
            <w:pPr>
              <w:pStyle w:val="TableText"/>
            </w:pPr>
            <w:r>
              <w:t xml:space="preserve">Reviews sensitive collection, personal-data necessity, publication/referral risk, retention, and lawful access.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Security Administrator</w:t>
            </w:r>
          </w:p>
        </w:tc>
        <w:tc>
          <w:tcPr/>
          <w:p>
            <w:pPr>
              <w:pStyle w:val="TableText"/>
            </w:pPr>
            <w:r>
              <w:t xml:space="preserve">Manages IAM, access policy, secrets, audit, secure storage, backup, incident response, and system hardening.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Partner / External Reviewer</w:t>
            </w:r>
          </w:p>
        </w:tc>
        <w:tc>
          <w:tcPr/>
          <w:p>
            <w:pPr>
              <w:pStyle w:val="TableText"/>
            </w:pPr>
            <w:r>
              <w:t xml:space="preserve">Receives only authorised cases/products/objects under explicit sharing controls.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Platform Administrator</w:t>
            </w:r>
          </w:p>
        </w:tc>
        <w:tc>
          <w:tcPr/>
          <w:p>
            <w:pPr>
              <w:pStyle w:val="TableText"/>
            </w:pPr>
            <w:r>
              <w:t xml:space="preserve">Manages configuration, connectors, taxonomy, templates, feature flags, and system operations without automatic access to case content.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Auditor / Assurance Reviewer</w:t>
            </w:r>
          </w:p>
        </w:tc>
        <w:tc>
          <w:tcPr/>
          <w:p>
            <w:pPr>
              <w:pStyle w:val="TableText"/>
            </w:pPr>
            <w:r>
              <w:t xml:space="preserve">Tests controls and reconstructs material analytical decisions without altering investigation content.</w:t>
            </w:r>
          </w:p>
        </w:tc>
      </w:tr>
    </w:tbl>
    <w:bookmarkEnd w:id="13"/>
    <w:bookmarkStart w:id="14" w:name="Xf366d840ce34aab2c53359db94fdbbf2e111630"/>
    <w:p>
      <w:pPr>
        <w:pStyle w:val="Heading1"/>
      </w:pPr>
      <w:r>
        <w:t xml:space="preserve">5. Product 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5"/>
        <w:gridCol w:w="646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Principle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Product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before allegation</w:t>
            </w:r>
          </w:p>
        </w:tc>
        <w:tc>
          <w:tcPr/>
          <w:p>
            <w:pPr>
              <w:pStyle w:val="TableText"/>
            </w:pPr>
            <w:r>
              <w:t xml:space="preserve">The UX SHALL visually distinguish source statements, verified facts, analyst inference, typology indicators, hypotheses, and assessments.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 is context</w:t>
            </w:r>
          </w:p>
        </w:tc>
        <w:tc>
          <w:tcPr/>
          <w:p>
            <w:pPr>
              <w:pStyle w:val="TableText"/>
            </w:pPr>
            <w:r>
              <w:t xml:space="preserve">Case controls scope, permissions, questions, tasks, review, and products; reusable entities/evidence SHALL not be duplicated merely because they appear in multiple cases.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Human accountability</w:t>
            </w:r>
          </w:p>
        </w:tc>
        <w:tc>
          <w:tcPr/>
          <w:p>
            <w:pPr>
              <w:pStyle w:val="TableText"/>
            </w:pPr>
            <w:r>
              <w:t xml:space="preserve">Material merges, adverse assessments, dissemination, and publication SHALL require attributable human actions.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Uncertainty is data</w:t>
            </w:r>
          </w:p>
        </w:tc>
        <w:tc>
          <w:tcPr/>
          <w:p>
            <w:pPr>
              <w:pStyle w:val="TableText"/>
            </w:pPr>
            <w:r>
              <w:t xml:space="preserve">Confidence, unknowns, dispute, ambiguity, and alternative explanations SHALL be representable as first-class information.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Derived is not canonical</w:t>
            </w:r>
          </w:p>
        </w:tc>
        <w:tc>
          <w:tcPr/>
          <w:p>
            <w:pPr>
              <w:pStyle w:val="TableText"/>
            </w:pPr>
            <w:r>
              <w:t xml:space="preserve">Search indexes, graph projections, embeddings, AI summaries, and caches SHALL be rebuildable from canonical records.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Security by default</w:t>
            </w:r>
          </w:p>
        </w:tc>
        <w:tc>
          <w:tcPr/>
          <w:p>
            <w:pPr>
              <w:pStyle w:val="TableText"/>
            </w:pPr>
            <w:r>
              <w:t xml:space="preserve">Least privilege, sensitive-source compartmentalisation, auditability, secure export, and retention SHALL be default product behaviours.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Build the unique layer</w:t>
            </w:r>
          </w:p>
        </w:tc>
        <w:tc>
          <w:tcPr/>
          <w:p>
            <w:pPr>
              <w:pStyle w:val="TableText"/>
            </w:pPr>
            <w:r>
              <w:t xml:space="preserve">CS-AML SHALL prioritise its unique investigation methodology over reimplementing commodity OCR, graph database, sanctions datasets, or blockchain ingestion.</w:t>
            </w:r>
          </w:p>
        </w:tc>
      </w:tr>
    </w:tbl>
    <w:bookmarkEnd w:id="14"/>
    <w:bookmarkStart w:id="15" w:name="X7cd265038c8f3a4e3759d0e3ec9e94c91b23c9b"/>
    <w:p>
      <w:pPr>
        <w:pStyle w:val="Heading1"/>
      </w:pPr>
      <w:r>
        <w:t xml:space="preserve">6. End-to-End Product Workflow</w:t>
      </w:r>
    </w:p>
    <w:p>
      <w:pPr>
        <w:numPr>
          <w:ilvl w:val="0"/>
          <w:numId w:val="1001"/>
        </w:numPr>
      </w:pPr>
      <w:r>
        <w:t xml:space="preserve">1. Lead / tip intake</w:t>
      </w:r>
    </w:p>
    <w:p>
      <w:pPr>
        <w:numPr>
          <w:ilvl w:val="0"/>
          <w:numId w:val="1001"/>
        </w:numPr>
      </w:pPr>
      <w:r>
        <w:t xml:space="preserve">2. Triage and legitimacy check</w:t>
      </w:r>
    </w:p>
    <w:p>
      <w:pPr>
        <w:numPr>
          <w:ilvl w:val="0"/>
          <w:numId w:val="1001"/>
        </w:numPr>
      </w:pPr>
      <w:r>
        <w:t xml:space="preserve">3. Case charter and investigation question</w:t>
      </w:r>
    </w:p>
    <w:p>
      <w:pPr>
        <w:numPr>
          <w:ilvl w:val="0"/>
          <w:numId w:val="1001"/>
        </w:numPr>
      </w:pPr>
      <w:r>
        <w:t xml:space="preserve">4. Collection plan</w:t>
      </w:r>
    </w:p>
    <w:p>
      <w:pPr>
        <w:numPr>
          <w:ilvl w:val="0"/>
          <w:numId w:val="1001"/>
        </w:numPr>
      </w:pPr>
      <w:r>
        <w:t xml:space="preserve">5. Lawful source collection</w:t>
      </w:r>
    </w:p>
    <w:p>
      <w:pPr>
        <w:numPr>
          <w:ilvl w:val="0"/>
          <w:numId w:val="1001"/>
        </w:numPr>
      </w:pPr>
      <w:r>
        <w:t xml:space="preserve">6. Evidence registration and preservation</w:t>
      </w:r>
    </w:p>
    <w:p>
      <w:pPr>
        <w:numPr>
          <w:ilvl w:val="0"/>
          <w:numId w:val="1001"/>
        </w:numPr>
      </w:pPr>
      <w:r>
        <w:t xml:space="preserve">7. Document processing / extraction</w:t>
      </w:r>
    </w:p>
    <w:p>
      <w:pPr>
        <w:numPr>
          <w:ilvl w:val="0"/>
          <w:numId w:val="1001"/>
        </w:numPr>
      </w:pPr>
      <w:r>
        <w:t xml:space="preserve">8. Entity resolution</w:t>
      </w:r>
    </w:p>
    <w:p>
      <w:pPr>
        <w:numPr>
          <w:ilvl w:val="0"/>
          <w:numId w:val="1001"/>
        </w:numPr>
      </w:pPr>
      <w:r>
        <w:t xml:space="preserve">9. Relationship / ownership / asset mapping</w:t>
      </w:r>
    </w:p>
    <w:p>
      <w:pPr>
        <w:numPr>
          <w:ilvl w:val="0"/>
          <w:numId w:val="1001"/>
        </w:numPr>
      </w:pPr>
      <w:r>
        <w:t xml:space="preserve">10. Timeline construction</w:t>
      </w:r>
    </w:p>
    <w:p>
      <w:pPr>
        <w:numPr>
          <w:ilvl w:val="0"/>
          <w:numId w:val="1001"/>
        </w:numPr>
      </w:pPr>
      <w:r>
        <w:t xml:space="preserve">11. Value-flow reconstruction</w:t>
      </w:r>
    </w:p>
    <w:p>
      <w:pPr>
        <w:numPr>
          <w:ilvl w:val="0"/>
          <w:numId w:val="1001"/>
        </w:numPr>
      </w:pPr>
      <w:r>
        <w:t xml:space="preserve">12. Typology and indicator mapping</w:t>
      </w:r>
    </w:p>
    <w:p>
      <w:pPr>
        <w:numPr>
          <w:ilvl w:val="0"/>
          <w:numId w:val="1001"/>
        </w:numPr>
      </w:pPr>
      <w:r>
        <w:t xml:space="preserve">13. Hypothesis testing</w:t>
      </w:r>
    </w:p>
    <w:p>
      <w:pPr>
        <w:numPr>
          <w:ilvl w:val="0"/>
          <w:numId w:val="1001"/>
        </w:numPr>
      </w:pPr>
      <w:r>
        <w:t xml:space="preserve">14. Assessment and confidence</w:t>
      </w:r>
    </w:p>
    <w:p>
      <w:pPr>
        <w:numPr>
          <w:ilvl w:val="0"/>
          <w:numId w:val="1001"/>
        </w:numPr>
      </w:pPr>
      <w:r>
        <w:t xml:space="preserve">15. Peer / legal / security review</w:t>
      </w:r>
    </w:p>
    <w:p>
      <w:pPr>
        <w:numPr>
          <w:ilvl w:val="0"/>
          <w:numId w:val="1001"/>
        </w:numPr>
      </w:pPr>
      <w:r>
        <w:t xml:space="preserve">16. Intelligence product</w:t>
      </w:r>
    </w:p>
    <w:p>
      <w:pPr>
        <w:numPr>
          <w:ilvl w:val="0"/>
          <w:numId w:val="1001"/>
        </w:numPr>
      </w:pPr>
      <w:r>
        <w:t xml:space="preserve">17. Referral / controlled sharing / publication</w:t>
      </w:r>
    </w:p>
    <w:p>
      <w:pPr>
        <w:numPr>
          <w:ilvl w:val="0"/>
          <w:numId w:val="1001"/>
        </w:numPr>
      </w:pPr>
      <w:r>
        <w:t xml:space="preserve">18. Closure / monitoring / retention</w:t>
      </w:r>
    </w:p>
    <w:bookmarkEnd w:id="15"/>
    <w:bookmarkStart w:id="16" w:name="X9415f4330b87f26592d6545b2a0e2741aa38119"/>
    <w:p>
      <w:pPr>
        <w:pStyle w:val="Heading1"/>
      </w:pPr>
      <w:r>
        <w:t xml:space="preserve">7. Product Capability Map</w:t>
      </w:r>
    </w:p>
    <w:p>
      <w:pPr>
        <w:pStyle w:val="FirstParagraph"/>
      </w:pPr>
      <w:r>
        <w:t xml:space="preserve">This map (CAP-01…CAP-15) is the authoritative</w:t>
      </w:r>
      <w:r>
        <w:t xml:space="preserve"> </w:t>
      </w:r>
      <w:r>
        <w:rPr>
          <w:b/>
          <w:bCs/>
        </w:rPr>
        <w:t xml:space="preserve">product capability registry</w:t>
      </w:r>
      <w:r>
        <w:t xml:space="preserve">; its IDs are unchanged. The Technology Architecture uses a separate namespace, TA-CAP-01…TA-CAP-16, with a crosswalk to these IDs. Any other document using</w:t>
      </w:r>
      <w:r>
        <w:t xml:space="preserve"> </w:t>
      </w:r>
      <w:r>
        <w:rPr>
          <w:rStyle w:val="VerbatimChar"/>
        </w:rPr>
        <w:t xml:space="preserve">CAP-xx</w:t>
      </w:r>
      <w:r>
        <w:t xml:space="preserve"> </w:t>
      </w:r>
      <w:r>
        <w:t xml:space="preserve">refers to this registry.</w:t>
      </w:r>
      <w:r>
        <w:t xml:space="preserve"> </w:t>
      </w:r>
      <w:r>
        <w:rPr>
          <w:i/>
          <w:iCs/>
        </w:rPr>
        <w:t xml:space="preserve">[v0.1.1 · A07]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1"/>
        <w:gridCol w:w="1993"/>
        <w:gridCol w:w="522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Scope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CAP-01</w:t>
            </w:r>
          </w:p>
        </w:tc>
        <w:tc>
          <w:tcPr/>
          <w:p>
            <w:pPr>
              <w:pStyle w:val="TableText"/>
            </w:pPr>
            <w:r>
              <w:t xml:space="preserve">Case &amp; Workflow Management</w:t>
            </w:r>
          </w:p>
        </w:tc>
        <w:tc>
          <w:tcPr/>
          <w:p>
            <w:pPr>
              <w:pStyle w:val="TableText"/>
            </w:pPr>
            <w:r>
              <w:t xml:space="preserve">Case, charter, scope, tasks, lifecycle gates, status, assignment, review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CAP-02</w:t>
            </w:r>
          </w:p>
        </w:tc>
        <w:tc>
          <w:tcPr/>
          <w:p>
            <w:pPr>
              <w:pStyle w:val="TableText"/>
            </w:pPr>
            <w:r>
              <w:t xml:space="preserve">Source &amp; Evidence Management</w:t>
            </w:r>
          </w:p>
        </w:tc>
        <w:tc>
          <w:tcPr/>
          <w:p>
            <w:pPr>
              <w:pStyle w:val="TableText"/>
            </w:pPr>
            <w:r>
              <w:t xml:space="preserve">Source register, evidence store, hashes, extracts, derivatives, provenance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CAP-03</w:t>
            </w:r>
          </w:p>
        </w:tc>
        <w:tc>
          <w:tcPr/>
          <w:p>
            <w:pPr>
              <w:pStyle w:val="TableText"/>
            </w:pPr>
            <w:r>
              <w:t xml:space="preserve">Document Intelligence</w:t>
            </w:r>
          </w:p>
        </w:tc>
        <w:tc>
          <w:tcPr/>
          <w:p>
            <w:pPr>
              <w:pStyle w:val="TableText"/>
            </w:pPr>
            <w:r>
              <w:t xml:space="preserve">Upload, OCR, parsing, metadata, extraction candidates, deduplication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CAP-04</w:t>
            </w:r>
          </w:p>
        </w:tc>
        <w:tc>
          <w:tcPr/>
          <w:p>
            <w:pPr>
              <w:pStyle w:val="TableText"/>
            </w:pPr>
            <w:r>
              <w:t xml:space="preserve">Entity &amp; Identity Management</w:t>
            </w:r>
          </w:p>
        </w:tc>
        <w:tc>
          <w:tcPr/>
          <w:p>
            <w:pPr>
              <w:pStyle w:val="TableText"/>
            </w:pPr>
            <w:r>
              <w:t xml:space="preserve">Registry, aliases, identifiers, candidate matching, merge/split, confidence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CAP-05</w:t>
            </w:r>
          </w:p>
        </w:tc>
        <w:tc>
          <w:tcPr/>
          <w:p>
            <w:pPr>
              <w:pStyle w:val="TableText"/>
            </w:pPr>
            <w:r>
              <w:t xml:space="preserve">Relationship / Ownership / Asset</w:t>
            </w:r>
          </w:p>
        </w:tc>
        <w:tc>
          <w:tcPr/>
          <w:p>
            <w:pPr>
              <w:pStyle w:val="TableText"/>
            </w:pPr>
            <w:r>
              <w:t xml:space="preserve">First-class relationships, beneficial ownership, control, assets, attribution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CAP-06</w:t>
            </w:r>
          </w:p>
        </w:tc>
        <w:tc>
          <w:tcPr/>
          <w:p>
            <w:pPr>
              <w:pStyle w:val="TableText"/>
            </w:pPr>
            <w:r>
              <w:t xml:space="preserve">Timeline &amp; Events</w:t>
            </w:r>
          </w:p>
        </w:tc>
        <w:tc>
          <w:tcPr/>
          <w:p>
            <w:pPr>
              <w:pStyle w:val="TableText"/>
            </w:pPr>
            <w:r>
              <w:t xml:space="preserve">Events, temporal precision, chronology, visual timeline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CAP-07</w:t>
            </w:r>
          </w:p>
        </w:tc>
        <w:tc>
          <w:tcPr/>
          <w:p>
            <w:pPr>
              <w:pStyle w:val="TableText"/>
            </w:pPr>
            <w:r>
              <w:t xml:space="preserve">Value-Flow Analysis</w:t>
            </w:r>
          </w:p>
        </w:tc>
        <w:tc>
          <w:tcPr/>
          <w:p>
            <w:pPr>
              <w:pStyle w:val="TableText"/>
            </w:pPr>
            <w:r>
              <w:t xml:space="preserve">Direct/documented/reconstructed/hypothetical flows, multi-leg flows, flow graph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CAP-08</w:t>
            </w:r>
          </w:p>
        </w:tc>
        <w:tc>
          <w:tcPr/>
          <w:p>
            <w:pPr>
              <w:pStyle w:val="TableText"/>
            </w:pPr>
            <w:r>
              <w:t xml:space="preserve">Typology &amp; Indicator Analysis</w:t>
            </w:r>
          </w:p>
        </w:tc>
        <w:tc>
          <w:tcPr/>
          <w:p>
            <w:pPr>
              <w:pStyle w:val="TableText"/>
            </w:pPr>
            <w:r>
              <w:t xml:space="preserve">Typology catalogue, indicators, counter-indicators, mapping, consistency level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CAP-09</w:t>
            </w:r>
          </w:p>
        </w:tc>
        <w:tc>
          <w:tcPr/>
          <w:p>
            <w:pPr>
              <w:pStyle w:val="TableText"/>
            </w:pPr>
            <w:r>
              <w:t xml:space="preserve">Hypothesis &amp; Assessment</w:t>
            </w:r>
          </w:p>
        </w:tc>
        <w:tc>
          <w:tcPr/>
          <w:p>
            <w:pPr>
              <w:pStyle w:val="TableText"/>
            </w:pPr>
            <w:r>
              <w:t xml:space="preserve">Competing hypotheses, support/contradiction, gaps, confidence, judgement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CAP-10</w:t>
            </w:r>
          </w:p>
        </w:tc>
        <w:tc>
          <w:tcPr/>
          <w:p>
            <w:pPr>
              <w:pStyle w:val="TableText"/>
            </w:pPr>
            <w:r>
              <w:t xml:space="preserve">Search / Graph / Analytics</w:t>
            </w:r>
          </w:p>
        </w:tc>
        <w:tc>
          <w:tcPr/>
          <w:p>
            <w:pPr>
              <w:pStyle w:val="TableText"/>
            </w:pPr>
            <w:r>
              <w:t xml:space="preserve">Full-text, faceted search, graph navigation, paths, clusters, network analytics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CAP-11</w:t>
            </w:r>
          </w:p>
        </w:tc>
        <w:tc>
          <w:tcPr/>
          <w:p>
            <w:pPr>
              <w:pStyle w:val="TableText"/>
            </w:pPr>
            <w:r>
              <w:t xml:space="preserve">Intelligence Products &amp; Review</w:t>
            </w:r>
          </w:p>
        </w:tc>
        <w:tc>
          <w:tcPr/>
          <w:p>
            <w:pPr>
              <w:pStyle w:val="TableText"/>
            </w:pPr>
            <w:r>
              <w:t xml:space="preserve">Reports, peer review, red-team review, approval, correction/versioning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CAP-12</w:t>
            </w:r>
          </w:p>
        </w:tc>
        <w:tc>
          <w:tcPr/>
          <w:p>
            <w:pPr>
              <w:pStyle w:val="TableText"/>
            </w:pPr>
            <w:r>
              <w:t xml:space="preserve">Dissemination &amp; Referral</w:t>
            </w:r>
          </w:p>
        </w:tc>
        <w:tc>
          <w:tcPr/>
          <w:p>
            <w:pPr>
              <w:pStyle w:val="TableText"/>
            </w:pPr>
            <w:r>
              <w:t xml:space="preserve">Export, handling labels, recipient controls, referral packages, sharing log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CAP-13</w:t>
            </w:r>
          </w:p>
        </w:tc>
        <w:tc>
          <w:tcPr/>
          <w:p>
            <w:pPr>
              <w:pStyle w:val="TableText"/>
            </w:pPr>
            <w:r>
              <w:t xml:space="preserve">Administration &amp; Governance</w:t>
            </w:r>
          </w:p>
        </w:tc>
        <w:tc>
          <w:tcPr/>
          <w:p>
            <w:pPr>
              <w:pStyle w:val="TableText"/>
            </w:pPr>
            <w:r>
              <w:t xml:space="preserve">Roles, vocabularies, templates, policies, retention, feature flags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CAP-14</w:t>
            </w:r>
          </w:p>
        </w:tc>
        <w:tc>
          <w:tcPr/>
          <w:p>
            <w:pPr>
              <w:pStyle w:val="TableText"/>
            </w:pPr>
            <w:r>
              <w:t xml:space="preserve">Security / Audit / Operations</w:t>
            </w:r>
          </w:p>
        </w:tc>
        <w:tc>
          <w:tcPr/>
          <w:p>
            <w:pPr>
              <w:pStyle w:val="TableText"/>
            </w:pPr>
            <w:r>
              <w:t xml:space="preserve">IAM, MFA, audit, backup, monitoring, incident response, DR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CAP-15</w:t>
            </w:r>
          </w:p>
        </w:tc>
        <w:tc>
          <w:tcPr/>
          <w:p>
            <w:pPr>
              <w:pStyle w:val="TableText"/>
            </w:pPr>
            <w:r>
              <w:t xml:space="preserve">Integrations &amp; Automation</w:t>
            </w:r>
          </w:p>
        </w:tc>
        <w:tc>
          <w:tcPr/>
          <w:p>
            <w:pPr>
              <w:pStyle w:val="TableText"/>
            </w:pPr>
            <w:r>
              <w:t xml:space="preserve">OpenAleph, OpenSanctions, Flowintel, GraphSense, graph/search, AI assist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Priority model</w:t>
      </w:r>
      <w:r>
        <w:br/>
      </w:r>
      <w:r>
        <w:t xml:space="preserve">P0 = MVP mandatory; P1 = Phase 2 / operational depth; P2 = Phase 3 / advanced intelligence. A feature can be technically sophisticated yet remain P2 if the core methodology works without it.</w:t>
      </w:r>
    </w:p>
    <w:bookmarkEnd w:id="16"/>
    <w:bookmarkStart w:id="32" w:name="X1a866817700c461dd36be728eceb95765c7062a"/>
    <w:p>
      <w:pPr>
        <w:pStyle w:val="Heading1"/>
      </w:pPr>
      <w:r>
        <w:t xml:space="preserve">8. Functional Feature Catalogue</w:t>
      </w:r>
    </w:p>
    <w:p>
      <w:pPr>
        <w:pStyle w:val="FirstParagraph"/>
      </w:pPr>
      <w:r>
        <w:t xml:space="preserve">The following catalogue is the product baseline. IDs are stable across v0.1 and v0.1.1 (existing IDs keep their meaning; new features receive new IDs) and SHOULD be used in issue trackers, architecture decisions, test cases, and release notes.</w:t>
      </w:r>
    </w:p>
    <w:bookmarkStart w:id="17" w:name="cap-01--case--workflow-management"/>
    <w:p>
      <w:pPr>
        <w:pStyle w:val="Heading2"/>
      </w:pPr>
      <w:r>
        <w:t xml:space="preserve">CAP-01 — Case &amp; Workflow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9"/>
        <w:gridCol w:w="928"/>
        <w:gridCol w:w="298"/>
        <w:gridCol w:w="865"/>
        <w:gridCol w:w="1765"/>
        <w:gridCol w:w="1431"/>
        <w:gridCol w:w="550"/>
        <w:gridCol w:w="1341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F-CASE-001</w:t>
            </w:r>
          </w:p>
        </w:tc>
        <w:tc>
          <w:tcPr/>
          <w:p>
            <w:pPr>
              <w:pStyle w:val="TableTextSmall"/>
            </w:pPr>
            <w:r>
              <w:t xml:space="preserve">Case creation and register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Create a case with stable ID, title, owner, purpose, classification and status.</w:t>
            </w:r>
          </w:p>
        </w:tc>
        <w:tc>
          <w:tcPr/>
          <w:p>
            <w:pPr>
              <w:pStyle w:val="TableTextSmall"/>
            </w:pPr>
            <w:r>
              <w:t xml:space="preserve">Case</w:t>
            </w:r>
          </w:p>
        </w:tc>
        <w:tc>
          <w:tcPr/>
          <w:p>
            <w:pPr>
              <w:pStyle w:val="TableTextSmall"/>
            </w:pPr>
            <w:r>
              <w:t xml:space="preserve">GOV-01,CAS-01</w:t>
            </w:r>
          </w:p>
        </w:tc>
        <w:tc>
          <w:tcPr/>
          <w:p>
            <w:pPr>
              <w:pStyle w:val="TableTextSmall"/>
            </w:pPr>
            <w:r>
              <w:t xml:space="preserve">Case cannot become Active without owner, purpose and investigation question.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F-CASE-002</w:t>
            </w:r>
          </w:p>
        </w:tc>
        <w:tc>
          <w:tcPr/>
          <w:p>
            <w:pPr>
              <w:pStyle w:val="TableTextSmall"/>
            </w:pPr>
            <w:r>
              <w:t xml:space="preserve">Investigation Charter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Case Owner</w:t>
            </w:r>
          </w:p>
        </w:tc>
        <w:tc>
          <w:tcPr/>
          <w:p>
            <w:pPr>
              <w:pStyle w:val="TableTextSmall"/>
            </w:pPr>
            <w:r>
              <w:t xml:space="preserve">Define question, scope, exclusions, jurisdictions, period, risks, authorised/prohibited collection and intended outputs.</w:t>
            </w:r>
          </w:p>
        </w:tc>
        <w:tc>
          <w:tcPr/>
          <w:p>
            <w:pPr>
              <w:pStyle w:val="TableTextSmall"/>
            </w:pPr>
            <w:r>
              <w:t xml:space="preserve">Case, InvestigationQuestion</w:t>
            </w:r>
          </w:p>
        </w:tc>
        <w:tc>
          <w:tcPr/>
          <w:p>
            <w:pPr>
              <w:pStyle w:val="TableTextSmall"/>
            </w:pPr>
            <w:r>
              <w:t xml:space="preserve">CAS-01,PRI-01</w:t>
            </w:r>
          </w:p>
        </w:tc>
        <w:tc>
          <w:tcPr/>
          <w:p>
            <w:pPr>
              <w:pStyle w:val="TableTextSmall"/>
            </w:pPr>
            <w:r>
              <w:t xml:space="preserve">Charter version is preserved; scope changes are recorded and attributable.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F-CASE-003</w:t>
            </w:r>
          </w:p>
        </w:tc>
        <w:tc>
          <w:tcPr/>
          <w:p>
            <w:pPr>
              <w:pStyle w:val="TableTextSmall"/>
            </w:pPr>
            <w:r>
              <w:t xml:space="preserve">Lifecycle gates G0-G6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Case Owner</w:t>
            </w:r>
          </w:p>
        </w:tc>
        <w:tc>
          <w:tcPr/>
          <w:p>
            <w:pPr>
              <w:pStyle w:val="TableTextSmall"/>
            </w:pPr>
            <w:r>
              <w:t xml:space="preserve">Advance a case only when required review gates are satisfied.</w:t>
            </w:r>
          </w:p>
        </w:tc>
        <w:tc>
          <w:tcPr/>
          <w:p>
            <w:pPr>
              <w:pStyle w:val="TableTextSmall"/>
            </w:pPr>
            <w:r>
              <w:t xml:space="preserve">Case, Review, AuditEvent</w:t>
            </w:r>
          </w:p>
        </w:tc>
        <w:tc>
          <w:tcPr/>
          <w:p>
            <w:pPr>
              <w:pStyle w:val="TableTextSmall"/>
            </w:pPr>
            <w:r>
              <w:t xml:space="preserve">CAS-02,QUA-01</w:t>
            </w:r>
          </w:p>
        </w:tc>
        <w:tc>
          <w:tcPr/>
          <w:p>
            <w:pPr>
              <w:pStyle w:val="TableTextSmall"/>
            </w:pPr>
            <w:r>
              <w:t xml:space="preserve">High-risk gate cannot self-approve where policy requires independent review.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F-CASE-004</w:t>
            </w:r>
          </w:p>
        </w:tc>
        <w:tc>
          <w:tcPr/>
          <w:p>
            <w:pPr>
              <w:pStyle w:val="TableTextSmall"/>
            </w:pPr>
            <w:r>
              <w:t xml:space="preserve">Tasks and assignments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Assign collection, verification, analysis and review tasks with due dates and status.</w:t>
            </w:r>
          </w:p>
        </w:tc>
        <w:tc>
          <w:tcPr/>
          <w:p>
            <w:pPr>
              <w:pStyle w:val="TableTextSmall"/>
            </w:pPr>
            <w:r>
              <w:t xml:space="preserve">Task, Case</w:t>
            </w:r>
          </w:p>
        </w:tc>
        <w:tc>
          <w:tcPr/>
          <w:p>
            <w:pPr>
              <w:pStyle w:val="TableTextSmall"/>
            </w:pPr>
            <w:r>
              <w:t xml:space="preserve">GOV-01</w:t>
            </w:r>
          </w:p>
        </w:tc>
        <w:tc>
          <w:tcPr/>
          <w:p>
            <w:pPr>
              <w:pStyle w:val="TableTextSmall"/>
            </w:pPr>
            <w:r>
              <w:t xml:space="preserve">Task ownership, completion and history are visible.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F-CASE-005</w:t>
            </w:r>
          </w:p>
        </w:tc>
        <w:tc>
          <w:tcPr/>
          <w:p>
            <w:pPr>
              <w:pStyle w:val="TableTextSmall"/>
            </w:pPr>
            <w:r>
              <w:t xml:space="preserve">Case activity timeline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All roles</w:t>
            </w:r>
          </w:p>
        </w:tc>
        <w:tc>
          <w:tcPr/>
          <w:p>
            <w:pPr>
              <w:pStyle w:val="TableTextSmall"/>
            </w:pPr>
            <w:r>
              <w:t xml:space="preserve">See significant case actions in chronological order.</w:t>
            </w:r>
          </w:p>
        </w:tc>
        <w:tc>
          <w:tcPr/>
          <w:p>
            <w:pPr>
              <w:pStyle w:val="TableTextSmall"/>
            </w:pPr>
            <w:r>
              <w:t xml:space="preserve">AuditEvent, Case</w:t>
            </w:r>
          </w:p>
        </w:tc>
        <w:tc>
          <w:tcPr/>
          <w:p>
            <w:pPr>
              <w:pStyle w:val="TableTextSmall"/>
            </w:pPr>
            <w:r>
              <w:t xml:space="preserve">AUD-01</w:t>
            </w:r>
          </w:p>
        </w:tc>
        <w:tc>
          <w:tcPr/>
          <w:p>
            <w:pPr>
              <w:pStyle w:val="TableTextSmall"/>
            </w:pPr>
            <w:r>
              <w:t xml:space="preserve">Material actions appear with actor and timestamp.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F-CASE-006</w:t>
            </w:r>
          </w:p>
        </w:tc>
        <w:tc>
          <w:tcPr/>
          <w:p>
            <w:pPr>
              <w:pStyle w:val="TableTextSmall"/>
            </w:pPr>
            <w:r>
              <w:t xml:space="preserve">Case-to-case links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Link related cases without exposing restricted contents automatically.</w:t>
            </w:r>
          </w:p>
        </w:tc>
        <w:tc>
          <w:tcPr/>
          <w:p>
            <w:pPr>
              <w:pStyle w:val="TableTextSmall"/>
            </w:pPr>
            <w:r>
              <w:t xml:space="preserve">CaseRelationship</w:t>
            </w:r>
          </w:p>
        </w:tc>
        <w:tc>
          <w:tcPr/>
          <w:p>
            <w:pPr>
              <w:pStyle w:val="TableTextSmall"/>
            </w:pPr>
            <w:r>
              <w:t xml:space="preserve">SEC-01</w:t>
            </w:r>
          </w:p>
        </w:tc>
        <w:tc>
          <w:tcPr/>
          <w:p>
            <w:pPr>
              <w:pStyle w:val="TableTextSmall"/>
            </w:pPr>
            <w:r>
              <w:t xml:space="preserve">Cross-case link respects access policy and does not grant implicit access.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F-CASE-007</w:t>
            </w:r>
          </w:p>
        </w:tc>
        <w:tc>
          <w:tcPr/>
          <w:p>
            <w:pPr>
              <w:pStyle w:val="TableTextSmall"/>
            </w:pPr>
            <w:r>
              <w:t xml:space="preserve">Monitoring / reopen state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Case Owner</w:t>
            </w:r>
          </w:p>
        </w:tc>
        <w:tc>
          <w:tcPr/>
          <w:p>
            <w:pPr>
              <w:pStyle w:val="TableTextSmall"/>
            </w:pPr>
            <w:r>
              <w:t xml:space="preserve">Close, monitor, or reopen cases with rationale.</w:t>
            </w:r>
          </w:p>
        </w:tc>
        <w:tc>
          <w:tcPr/>
          <w:p>
            <w:pPr>
              <w:pStyle w:val="TableTextSmall"/>
            </w:pPr>
            <w:r>
              <w:t xml:space="preserve">Case</w:t>
            </w:r>
          </w:p>
        </w:tc>
        <w:tc>
          <w:tcPr/>
          <w:p>
            <w:pPr>
              <w:pStyle w:val="TableTextSmall"/>
            </w:pPr>
            <w:r>
              <w:t xml:space="preserve">CAS-01,AUD-01</w:t>
            </w:r>
          </w:p>
        </w:tc>
        <w:tc>
          <w:tcPr/>
          <w:p>
            <w:pPr>
              <w:pStyle w:val="TableTextSmall"/>
            </w:pPr>
            <w:r>
              <w:t xml:space="preserve">Closure reason and reopen event are immutable history.</w:t>
            </w:r>
          </w:p>
        </w:tc>
      </w:tr>
    </w:tbl>
    <w:bookmarkEnd w:id="17"/>
    <w:bookmarkStart w:id="18" w:name="cap-02--source--evidence-management"/>
    <w:p>
      <w:pPr>
        <w:pStyle w:val="Heading2"/>
      </w:pPr>
      <w:r>
        <w:t xml:space="preserve">CAP-02 — Source &amp; Evidence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9"/>
        <w:gridCol w:w="881"/>
        <w:gridCol w:w="304"/>
        <w:gridCol w:w="881"/>
        <w:gridCol w:w="1757"/>
        <w:gridCol w:w="1394"/>
        <w:gridCol w:w="560"/>
        <w:gridCol w:w="1450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F-EVD-001</w:t>
            </w:r>
          </w:p>
        </w:tc>
        <w:tc>
          <w:tcPr/>
          <w:p>
            <w:pPr>
              <w:pStyle w:val="TableTextSmall"/>
            </w:pPr>
            <w:r>
              <w:t xml:space="preserve">Source register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Register source origin, publisher, URL/location, dates, access method, reliability and legal/access note.</w:t>
            </w:r>
          </w:p>
        </w:tc>
        <w:tc>
          <w:tcPr/>
          <w:p>
            <w:pPr>
              <w:pStyle w:val="TableTextSmall"/>
            </w:pPr>
            <w:r>
              <w:t xml:space="preserve">Source</w:t>
            </w:r>
          </w:p>
        </w:tc>
        <w:tc>
          <w:tcPr/>
          <w:p>
            <w:pPr>
              <w:pStyle w:val="TableTextSmall"/>
            </w:pPr>
            <w:r>
              <w:t xml:space="preserve">SRC-01,SRC-02</w:t>
            </w:r>
          </w:p>
        </w:tc>
        <w:tc>
          <w:tcPr/>
          <w:p>
            <w:pPr>
              <w:pStyle w:val="TableTextSmall"/>
            </w:pPr>
            <w:r>
              <w:t xml:space="preserve">Material source cannot support assessment without provenance fields.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F-EVD-002</w:t>
            </w:r>
          </w:p>
        </w:tc>
        <w:tc>
          <w:tcPr/>
          <w:p>
            <w:pPr>
              <w:pStyle w:val="TableTextSmall"/>
            </w:pPr>
            <w:r>
              <w:t xml:space="preserve">Evidence upload and original preservation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Evidence Custodian</w:t>
            </w:r>
          </w:p>
        </w:tc>
        <w:tc>
          <w:tcPr/>
          <w:p>
            <w:pPr>
              <w:pStyle w:val="TableTextSmall"/>
            </w:pPr>
            <w:r>
              <w:t xml:space="preserve">Store original evidence separately from working copies.</w:t>
            </w:r>
          </w:p>
        </w:tc>
        <w:tc>
          <w:tcPr/>
          <w:p>
            <w:pPr>
              <w:pStyle w:val="TableTextSmall"/>
            </w:pPr>
            <w:r>
              <w:t xml:space="preserve">EvidenceItem</w:t>
            </w:r>
          </w:p>
        </w:tc>
        <w:tc>
          <w:tcPr/>
          <w:p>
            <w:pPr>
              <w:pStyle w:val="TableTextSmall"/>
            </w:pPr>
            <w:r>
              <w:t xml:space="preserve">EVD-01,SEC-01</w:t>
            </w:r>
          </w:p>
        </w:tc>
        <w:tc>
          <w:tcPr/>
          <w:p>
            <w:pPr>
              <w:pStyle w:val="TableTextSmall"/>
            </w:pPr>
            <w:r>
              <w:t xml:space="preserve">Original is read-only to analysts; replacement creates a new version.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F-EVD-003</w:t>
            </w:r>
          </w:p>
        </w:tc>
        <w:tc>
          <w:tcPr/>
          <w:p>
            <w:pPr>
              <w:pStyle w:val="TableTextSmall"/>
            </w:pPr>
            <w:r>
              <w:t xml:space="preserve">Hash and integrity record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Evidence Custodian</w:t>
            </w:r>
          </w:p>
        </w:tc>
        <w:tc>
          <w:tcPr/>
          <w:p>
            <w:pPr>
              <w:pStyle w:val="TableTextSmall"/>
            </w:pPr>
            <w:r>
              <w:t xml:space="preserve">Compute and verify cryptographic hash for critical files.</w:t>
            </w:r>
          </w:p>
        </w:tc>
        <w:tc>
          <w:tcPr/>
          <w:p>
            <w:pPr>
              <w:pStyle w:val="TableTextSmall"/>
            </w:pPr>
            <w:r>
              <w:t xml:space="preserve">EvidenceItem</w:t>
            </w:r>
          </w:p>
        </w:tc>
        <w:tc>
          <w:tcPr/>
          <w:p>
            <w:pPr>
              <w:pStyle w:val="TableTextSmall"/>
            </w:pPr>
            <w:r>
              <w:t xml:space="preserve">EVD-01</w:t>
            </w:r>
          </w:p>
        </w:tc>
        <w:tc>
          <w:tcPr/>
          <w:p>
            <w:pPr>
              <w:pStyle w:val="TableTextSmall"/>
            </w:pPr>
            <w:r>
              <w:t xml:space="preserve">Stored hash can be recomputed and compared.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F-EVD-004</w:t>
            </w:r>
          </w:p>
        </w:tc>
        <w:tc>
          <w:tcPr/>
          <w:p>
            <w:pPr>
              <w:pStyle w:val="TableTextSmall"/>
            </w:pPr>
            <w:r>
              <w:t xml:space="preserve">Evidence extract / citation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Create page/paragraph/region extracts linked to original evidence.</w:t>
            </w:r>
          </w:p>
        </w:tc>
        <w:tc>
          <w:tcPr/>
          <w:p>
            <w:pPr>
              <w:pStyle w:val="TableTextSmall"/>
            </w:pPr>
            <w:r>
              <w:t xml:space="preserve">EvidenceExtract</w:t>
            </w:r>
          </w:p>
        </w:tc>
        <w:tc>
          <w:tcPr/>
          <w:p>
            <w:pPr>
              <w:pStyle w:val="TableTextSmall"/>
            </w:pPr>
            <w:r>
              <w:t xml:space="preserve">EVD-02</w:t>
            </w:r>
          </w:p>
        </w:tc>
        <w:tc>
          <w:tcPr/>
          <w:p>
            <w:pPr>
              <w:pStyle w:val="TableTextSmall"/>
            </w:pPr>
            <w:r>
              <w:t xml:space="preserve">Each extract links to parent evidence and precise location.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F-EVD-005</w:t>
            </w:r>
          </w:p>
        </w:tc>
        <w:tc>
          <w:tcPr/>
          <w:p>
            <w:pPr>
              <w:pStyle w:val="TableTextSmall"/>
            </w:pPr>
            <w:r>
              <w:t xml:space="preserve">Derivative lineage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Track OCR, translation, cropped image, parsed table or transformed dataset as derivative.</w:t>
            </w:r>
          </w:p>
        </w:tc>
        <w:tc>
          <w:tcPr/>
          <w:p>
            <w:pPr>
              <w:pStyle w:val="TableTextSmall"/>
            </w:pPr>
            <w:r>
              <w:t xml:space="preserve">EvidenceItem</w:t>
            </w:r>
          </w:p>
        </w:tc>
        <w:tc>
          <w:tcPr/>
          <w:p>
            <w:pPr>
              <w:pStyle w:val="TableTextSmall"/>
            </w:pPr>
            <w:r>
              <w:t xml:space="preserve">EVD-02</w:t>
            </w:r>
          </w:p>
        </w:tc>
        <w:tc>
          <w:tcPr/>
          <w:p>
            <w:pPr>
              <w:pStyle w:val="TableTextSmall"/>
            </w:pPr>
            <w:r>
              <w:t xml:space="preserve">Derivative records parent, transformation, creator/tool and time.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F-EVD-006</w:t>
            </w:r>
          </w:p>
        </w:tc>
        <w:tc>
          <w:tcPr/>
          <w:p>
            <w:pPr>
              <w:pStyle w:val="TableTextSmall"/>
            </w:pPr>
            <w:r>
              <w:t xml:space="preserve">Source reliability &amp; information credibility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Rate source reliability separately from information credibility.</w:t>
            </w:r>
          </w:p>
        </w:tc>
        <w:tc>
          <w:tcPr/>
          <w:p>
            <w:pPr>
              <w:pStyle w:val="TableTextSmall"/>
            </w:pPr>
            <w:r>
              <w:t xml:space="preserve">Source,Claim</w:t>
            </w:r>
          </w:p>
        </w:tc>
        <w:tc>
          <w:tcPr/>
          <w:p>
            <w:pPr>
              <w:pStyle w:val="TableTextSmall"/>
            </w:pPr>
            <w:r>
              <w:t xml:space="preserve">SRC-02,ASM-01</w:t>
            </w:r>
          </w:p>
        </w:tc>
        <w:tc>
          <w:tcPr/>
          <w:p>
            <w:pPr>
              <w:pStyle w:val="TableTextSmall"/>
            </w:pPr>
            <w:r>
              <w:t xml:space="preserve">UI prevents one rating from silently standing for both dimensions.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F-EVD-007</w:t>
            </w:r>
          </w:p>
        </w:tc>
        <w:tc>
          <w:tcPr/>
          <w:p>
            <w:pPr>
              <w:pStyle w:val="TableTextSmall"/>
            </w:pPr>
            <w:r>
              <w:t xml:space="preserve">Evidence legal hold / retention state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Evidence Custodian</w:t>
            </w:r>
          </w:p>
        </w:tc>
        <w:tc>
          <w:tcPr/>
          <w:p>
            <w:pPr>
              <w:pStyle w:val="TableTextSmall"/>
            </w:pPr>
            <w:r>
              <w:t xml:space="preserve">Apply retention, legal hold and disposition state.</w:t>
            </w:r>
          </w:p>
        </w:tc>
        <w:tc>
          <w:tcPr/>
          <w:p>
            <w:pPr>
              <w:pStyle w:val="TableTextSmall"/>
            </w:pPr>
            <w:r>
              <w:t xml:space="preserve">EvidenceItem</w:t>
            </w:r>
          </w:p>
        </w:tc>
        <w:tc>
          <w:tcPr/>
          <w:p>
            <w:pPr>
              <w:pStyle w:val="TableTextSmall"/>
            </w:pPr>
            <w:r>
              <w:t xml:space="preserve">PRI-02</w:t>
            </w:r>
          </w:p>
        </w:tc>
        <w:tc>
          <w:tcPr/>
          <w:p>
            <w:pPr>
              <w:pStyle w:val="TableTextSmall"/>
            </w:pPr>
            <w:r>
              <w:t xml:space="preserve">Deletion workflow respects hold and produces audit record.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F-EVD-008</w:t>
            </w:r>
          </w:p>
        </w:tc>
        <w:tc>
          <w:tcPr/>
          <w:p>
            <w:pPr>
              <w:pStyle w:val="TableTextSmall"/>
            </w:pPr>
            <w:r>
              <w:t xml:space="preserve">Claim and fact lifecycle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 / Reviewer</w:t>
            </w:r>
          </w:p>
        </w:tc>
        <w:tc>
          <w:tcPr/>
          <w:p>
            <w:pPr>
              <w:pStyle w:val="TableTextSmall"/>
            </w:pPr>
            <w:r>
              <w:t xml:space="preserve">Record source claims without overwriting them with analyst conclusions; record each verification outcome as an append-only verification decision; create PROVISIONAL facts supported by evidence (mandatory) and, optionally, claims (claims are never converted or overwritten)</w:t>
            </w:r>
            <w:r>
              <w:t xml:space="preserve"> </w:t>
            </w:r>
            <w:r>
              <w:rPr>
                <w:i/>
                <w:iCs/>
              </w:rPr>
              <w:t xml:space="preserve">[v0.1.1 · C02]</w:t>
            </w:r>
            <w:r>
              <w:t xml:space="preserve">; establish, dispute or supersede facts. Added in v0.1.1; approved by product owner, 2026-10-08.</w:t>
            </w:r>
          </w:p>
        </w:tc>
        <w:tc>
          <w:tcPr/>
          <w:p>
            <w:pPr>
              <w:pStyle w:val="TableTextSmall"/>
            </w:pPr>
            <w:r>
              <w:t xml:space="preserve">Claim,VerificationDecision,Fact</w:t>
            </w:r>
          </w:p>
        </w:tc>
        <w:tc>
          <w:tcPr/>
          <w:p>
            <w:pPr>
              <w:pStyle w:val="TableTextSmall"/>
            </w:pPr>
            <w:r>
              <w:t xml:space="preserve">SRC-01,EVD-02,QUA-01</w:t>
            </w:r>
          </w:p>
        </w:tc>
        <w:tc>
          <w:tcPr/>
          <w:p>
            <w:pPr>
              <w:pStyle w:val="TableTextSmall"/>
            </w:pPr>
            <w:r>
              <w:t xml:space="preserve">A fact cannot be created without claim/evidence refs and a verification decision; ESTABLISHED requires a reviewer other than the proposer; DISPUTED/SUPERSEDED flags dependent assessments/products</w:t>
            </w:r>
            <w:r>
              <w:t xml:space="preserve"> </w:t>
            </w:r>
            <w:r>
              <w:rPr>
                <w:rStyle w:val="VerbatimChar"/>
              </w:rPr>
              <w:t xml:space="preserve">review_required</w:t>
            </w:r>
            <w:r>
              <w:t xml:space="preserve"> </w:t>
            </w:r>
            <w:r>
              <w:t xml:space="preserve">without mutating published products; history is preserved.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</w:tbl>
    <w:bookmarkEnd w:id="18"/>
    <w:bookmarkStart w:id="19" w:name="cap-03--document-intelligence"/>
    <w:p>
      <w:pPr>
        <w:pStyle w:val="Heading2"/>
      </w:pPr>
      <w:r>
        <w:t xml:space="preserve">CAP-03 — Document Intelligence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3"/>
        <w:gridCol w:w="894"/>
        <w:gridCol w:w="332"/>
        <w:gridCol w:w="964"/>
        <w:gridCol w:w="1646"/>
        <w:gridCol w:w="1174"/>
        <w:gridCol w:w="613"/>
        <w:gridCol w:w="1540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F-DOC-001</w:t>
            </w:r>
          </w:p>
        </w:tc>
        <w:tc>
          <w:tcPr/>
          <w:p>
            <w:pPr>
              <w:pStyle w:val="TableTextSmall"/>
            </w:pPr>
            <w:r>
              <w:t xml:space="preserve">Document ingestion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Upload PDF, DOCX, XLSX, CSV, image and text evidence.</w:t>
            </w:r>
          </w:p>
        </w:tc>
        <w:tc>
          <w:tcPr/>
          <w:p>
            <w:pPr>
              <w:pStyle w:val="TableTextSmall"/>
            </w:pPr>
            <w:r>
              <w:t xml:space="preserve">EvidenceItem</w:t>
            </w:r>
          </w:p>
        </w:tc>
        <w:tc>
          <w:tcPr/>
          <w:p>
            <w:pPr>
              <w:pStyle w:val="TableTextSmall"/>
            </w:pPr>
            <w:r>
              <w:t xml:space="preserve">EVD-01</w:t>
            </w:r>
          </w:p>
        </w:tc>
        <w:tc>
          <w:tcPr/>
          <w:p>
            <w:pPr>
              <w:pStyle w:val="TableTextSmall"/>
            </w:pPr>
            <w:r>
              <w:t xml:space="preserve">Unsupported/failed ingest does not alter original.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F-DOC-002</w:t>
            </w:r>
          </w:p>
        </w:tc>
        <w:tc>
          <w:tcPr/>
          <w:p>
            <w:pPr>
              <w:pStyle w:val="TableTextSmall"/>
            </w:pPr>
            <w:r>
              <w:t xml:space="preserve">OCR / text extraction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Investigator</w:t>
            </w:r>
          </w:p>
        </w:tc>
        <w:tc>
          <w:tcPr/>
          <w:p>
            <w:pPr>
              <w:pStyle w:val="TableTextSmall"/>
            </w:pPr>
            <w:r>
              <w:t xml:space="preserve">Extract searchable text while preserving original and page mapping.</w:t>
            </w:r>
          </w:p>
        </w:tc>
        <w:tc>
          <w:tcPr/>
          <w:p>
            <w:pPr>
              <w:pStyle w:val="TableTextSmall"/>
            </w:pPr>
            <w:r>
              <w:t xml:space="preserve">EvidenceItem,DerivedArtifact</w:t>
            </w:r>
          </w:p>
        </w:tc>
        <w:tc>
          <w:tcPr/>
          <w:p>
            <w:pPr>
              <w:pStyle w:val="TableTextSmall"/>
            </w:pPr>
            <w:r>
              <w:t xml:space="preserve">EVD-02,TEC-01</w:t>
            </w:r>
          </w:p>
        </w:tc>
        <w:tc>
          <w:tcPr/>
          <w:p>
            <w:pPr>
              <w:pStyle w:val="TableTextSmall"/>
            </w:pPr>
            <w:r>
              <w:t xml:space="preserve">OCR output is marked derived and page-linked.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F-DOC-003</w:t>
            </w:r>
          </w:p>
        </w:tc>
        <w:tc>
          <w:tcPr/>
          <w:p>
            <w:pPr>
              <w:pStyle w:val="TableTextSmall"/>
            </w:pPr>
            <w:r>
              <w:t xml:space="preserve">Structured table extraction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Extract tabular data as reviewable derivative records.</w:t>
            </w:r>
          </w:p>
        </w:tc>
        <w:tc>
          <w:tcPr/>
          <w:p>
            <w:pPr>
              <w:pStyle w:val="TableTextSmall"/>
            </w:pPr>
            <w:r>
              <w:t xml:space="preserve">DerivedArtifact</w:t>
            </w:r>
          </w:p>
        </w:tc>
        <w:tc>
          <w:tcPr/>
          <w:p>
            <w:pPr>
              <w:pStyle w:val="TableTextSmall"/>
            </w:pPr>
            <w:r>
              <w:t xml:space="preserve">EVD-02,TEC-01</w:t>
            </w:r>
          </w:p>
        </w:tc>
        <w:tc>
          <w:tcPr/>
          <w:p>
            <w:pPr>
              <w:pStyle w:val="TableTextSmall"/>
            </w:pPr>
            <w:r>
              <w:t xml:space="preserve">Analyst can compare extracted cells to original.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F-DOC-004</w:t>
            </w:r>
          </w:p>
        </w:tc>
        <w:tc>
          <w:tcPr/>
          <w:p>
            <w:pPr>
              <w:pStyle w:val="TableTextSmall"/>
            </w:pPr>
            <w:r>
              <w:t xml:space="preserve">Entity candidate extraction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Generate person/company/address/identifier candidates from documents.</w:t>
            </w:r>
          </w:p>
        </w:tc>
        <w:tc>
          <w:tcPr/>
          <w:p>
            <w:pPr>
              <w:pStyle w:val="TableTextSmall"/>
            </w:pPr>
            <w:r>
              <w:t xml:space="preserve">EntityCandidate</w:t>
            </w:r>
          </w:p>
        </w:tc>
        <w:tc>
          <w:tcPr/>
          <w:p>
            <w:pPr>
              <w:pStyle w:val="TableTextSmall"/>
            </w:pPr>
            <w:r>
              <w:t xml:space="preserve">TEC-01</w:t>
            </w:r>
          </w:p>
        </w:tc>
        <w:tc>
          <w:tcPr/>
          <w:p>
            <w:pPr>
              <w:pStyle w:val="TableTextSmall"/>
            </w:pPr>
            <w:r>
              <w:t xml:space="preserve">Candidates never become canonical entities without human confirmation or configured rule.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F-DOC-005</w:t>
            </w:r>
          </w:p>
        </w:tc>
        <w:tc>
          <w:tcPr/>
          <w:p>
            <w:pPr>
              <w:pStyle w:val="TableTextSmall"/>
            </w:pPr>
            <w:r>
              <w:t xml:space="preserve">Duplicate document detection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Evidence Custodian</w:t>
            </w:r>
          </w:p>
        </w:tc>
        <w:tc>
          <w:tcPr/>
          <w:p>
            <w:pPr>
              <w:pStyle w:val="TableTextSmall"/>
            </w:pPr>
            <w:r>
              <w:t xml:space="preserve">Detect exact/near duplicate files and preserve provenance for each source occurrence.</w:t>
            </w:r>
          </w:p>
        </w:tc>
        <w:tc>
          <w:tcPr/>
          <w:p>
            <w:pPr>
              <w:pStyle w:val="TableTextSmall"/>
            </w:pPr>
            <w:r>
              <w:t xml:space="preserve">EvidenceItem</w:t>
            </w:r>
          </w:p>
        </w:tc>
        <w:tc>
          <w:tcPr/>
          <w:p>
            <w:pPr>
              <w:pStyle w:val="TableTextSmall"/>
            </w:pPr>
            <w:r>
              <w:t xml:space="preserve">EVD-01</w:t>
            </w:r>
          </w:p>
        </w:tc>
        <w:tc>
          <w:tcPr/>
          <w:p>
            <w:pPr>
              <w:pStyle w:val="TableTextSmall"/>
            </w:pPr>
            <w:r>
              <w:t xml:space="preserve">Deduplication never drops separate provenance.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F-DOC-006</w:t>
            </w:r>
          </w:p>
        </w:tc>
        <w:tc>
          <w:tcPr/>
          <w:p>
            <w:pPr>
              <w:pStyle w:val="TableTextSmall"/>
            </w:pPr>
            <w:r>
              <w:t xml:space="preserve">Translation assist</w:t>
            </w:r>
          </w:p>
        </w:tc>
        <w:tc>
          <w:tcPr/>
          <w:p>
            <w:pPr>
              <w:pStyle w:val="TableTextSmall"/>
            </w:pPr>
            <w:r>
              <w:t xml:space="preserve">P2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Create linked translations with source text retained.</w:t>
            </w:r>
          </w:p>
        </w:tc>
        <w:tc>
          <w:tcPr/>
          <w:p>
            <w:pPr>
              <w:pStyle w:val="TableTextSmall"/>
            </w:pPr>
            <w:r>
              <w:t xml:space="preserve">DerivedArtifact</w:t>
            </w:r>
          </w:p>
        </w:tc>
        <w:tc>
          <w:tcPr/>
          <w:p>
            <w:pPr>
              <w:pStyle w:val="TableTextSmall"/>
            </w:pPr>
            <w:r>
              <w:t xml:space="preserve">EVD-02,TEC-01</w:t>
            </w:r>
          </w:p>
        </w:tc>
        <w:tc>
          <w:tcPr/>
          <w:p>
            <w:pPr>
              <w:pStyle w:val="TableTextSmall"/>
            </w:pPr>
            <w:r>
              <w:t xml:space="preserve">Translation is marked derived and reviewable.</w:t>
            </w:r>
          </w:p>
        </w:tc>
      </w:tr>
    </w:tbl>
    <w:bookmarkEnd w:id="19"/>
    <w:bookmarkStart w:id="20" w:name="cap-04--entity--identity-management"/>
    <w:p>
      <w:pPr>
        <w:pStyle w:val="Heading2"/>
      </w:pPr>
      <w:r>
        <w:t xml:space="preserve">CAP-04 — Entity &amp; Identity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9"/>
        <w:gridCol w:w="794"/>
        <w:gridCol w:w="295"/>
        <w:gridCol w:w="545"/>
        <w:gridCol w:w="2544"/>
        <w:gridCol w:w="1356"/>
        <w:gridCol w:w="545"/>
        <w:gridCol w:w="1169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F-ENT-001</w:t>
            </w:r>
          </w:p>
        </w:tc>
        <w:tc>
          <w:tcPr/>
          <w:p>
            <w:pPr>
              <w:pStyle w:val="TableTextSmall"/>
            </w:pPr>
            <w:r>
              <w:t xml:space="preserve">Entity registry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Create canonical person, organisation, account, wallet, address, domain and other entity records.</w:t>
            </w:r>
          </w:p>
        </w:tc>
        <w:tc>
          <w:tcPr/>
          <w:p>
            <w:pPr>
              <w:pStyle w:val="TableTextSmall"/>
            </w:pPr>
            <w:r>
              <w:t xml:space="preserve">Entity</w:t>
            </w:r>
          </w:p>
        </w:tc>
        <w:tc>
          <w:tcPr/>
          <w:p>
            <w:pPr>
              <w:pStyle w:val="TableTextSmall"/>
            </w:pPr>
            <w:r>
              <w:t xml:space="preserve">ENT-01</w:t>
            </w:r>
          </w:p>
        </w:tc>
        <w:tc>
          <w:tcPr/>
          <w:p>
            <w:pPr>
              <w:pStyle w:val="TableTextSmall"/>
            </w:pPr>
            <w:r>
              <w:t xml:space="preserve">Each entity has type, canonical name and provenance-linked assertions.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F-ENT-002</w:t>
            </w:r>
          </w:p>
        </w:tc>
        <w:tc>
          <w:tcPr/>
          <w:p>
            <w:pPr>
              <w:pStyle w:val="TableTextSmall"/>
            </w:pPr>
            <w:r>
              <w:t xml:space="preserve">Aliases and identifiers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Record aliases, registration numbers, IDs, phones, emails and external IDs with source.</w:t>
            </w:r>
          </w:p>
        </w:tc>
        <w:tc>
          <w:tcPr/>
          <w:p>
            <w:pPr>
              <w:pStyle w:val="TableTextSmall"/>
            </w:pPr>
            <w:r>
              <w:t xml:space="preserve">Entity,Identifier</w:t>
            </w:r>
          </w:p>
        </w:tc>
        <w:tc>
          <w:tcPr/>
          <w:p>
            <w:pPr>
              <w:pStyle w:val="TableTextSmall"/>
            </w:pPr>
            <w:r>
              <w:t xml:space="preserve">ENT-01</w:t>
            </w:r>
          </w:p>
        </w:tc>
        <w:tc>
          <w:tcPr/>
          <w:p>
            <w:pPr>
              <w:pStyle w:val="TableTextSmall"/>
            </w:pPr>
            <w:r>
              <w:t xml:space="preserve">Identifier provenance is visible and conflicting values can coexist.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F-ENT-003</w:t>
            </w:r>
          </w:p>
        </w:tc>
        <w:tc>
          <w:tcPr/>
          <w:p>
            <w:pPr>
              <w:pStyle w:val="TableTextSmall"/>
            </w:pPr>
            <w:r>
              <w:t xml:space="preserve">Candidate matching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Compare possible duplicate entities using discriminating features.</w:t>
            </w:r>
          </w:p>
        </w:tc>
        <w:tc>
          <w:tcPr/>
          <w:p>
            <w:pPr>
              <w:pStyle w:val="TableTextSmall"/>
            </w:pPr>
            <w:r>
              <w:t xml:space="preserve">EntityMatchCandidate</w:t>
            </w:r>
          </w:p>
        </w:tc>
        <w:tc>
          <w:tcPr/>
          <w:p>
            <w:pPr>
              <w:pStyle w:val="TableTextSmall"/>
            </w:pPr>
            <w:r>
              <w:t xml:space="preserve">ENT-01</w:t>
            </w:r>
          </w:p>
        </w:tc>
        <w:tc>
          <w:tcPr/>
          <w:p>
            <w:pPr>
              <w:pStyle w:val="TableTextSmall"/>
            </w:pPr>
            <w:r>
              <w:t xml:space="preserve">System shows both matching and conflicting attributes.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F-ENT-004</w:t>
            </w:r>
          </w:p>
        </w:tc>
        <w:tc>
          <w:tcPr/>
          <w:p>
            <w:pPr>
              <w:pStyle w:val="TableTextSmall"/>
            </w:pPr>
            <w:r>
              <w:t xml:space="preserve">Merge / unmerge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Data Steward</w:t>
            </w:r>
          </w:p>
        </w:tc>
        <w:tc>
          <w:tcPr/>
          <w:p>
            <w:pPr>
              <w:pStyle w:val="TableTextSmall"/>
            </w:pPr>
            <w:r>
              <w:t xml:space="preserve">Merge with rationale and later reverse while preserving history. Each merge, unmerge, keep-separate, possible-match and defer decision is an append-only ResolutionDecision (v0.1 name: MergeDecision).</w:t>
            </w:r>
            <w:r>
              <w:t xml:space="preserve"> </w:t>
            </w:r>
            <w:r>
              <w:rPr>
                <w:i/>
                <w:iCs/>
              </w:rPr>
              <w:t xml:space="preserve">[v0.1.1 · ER]</w:t>
            </w:r>
          </w:p>
        </w:tc>
        <w:tc>
          <w:tcPr/>
          <w:p>
            <w:pPr>
              <w:pStyle w:val="TableTextSmall"/>
            </w:pPr>
            <w:r>
              <w:t xml:space="preserve">Entity,ResolutionDecision</w:t>
            </w:r>
          </w:p>
        </w:tc>
        <w:tc>
          <w:tcPr/>
          <w:p>
            <w:pPr>
              <w:pStyle w:val="TableTextSmall"/>
            </w:pPr>
            <w:r>
              <w:t xml:space="preserve">ENT-01,AUD-01</w:t>
            </w:r>
          </w:p>
        </w:tc>
        <w:tc>
          <w:tcPr/>
          <w:p>
            <w:pPr>
              <w:pStyle w:val="TableTextSmall"/>
            </w:pPr>
            <w:r>
              <w:t xml:space="preserve">Unmerge restores prior identities and relationships without history loss.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F-ENT-005</w:t>
            </w:r>
          </w:p>
        </w:tc>
        <w:tc>
          <w:tcPr/>
          <w:p>
            <w:pPr>
              <w:pStyle w:val="TableTextSmall"/>
            </w:pPr>
            <w:r>
              <w:t xml:space="preserve">Entity confidence/status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Show entity resolution state (UNRESOLVED, RESOLVED, CONFLICTED, MERGED, SPLIT), derived only from ResolutionDecisions; candidate/probable matches are POSSIBLE_MATCH decisions (v0.1 terms: confirmed → RESOLVED, disputed → CONFLICTED).</w:t>
            </w:r>
            <w:r>
              <w:t xml:space="preserve"> </w:t>
            </w:r>
            <w:r>
              <w:rPr>
                <w:i/>
                <w:iCs/>
              </w:rPr>
              <w:t xml:space="preserve">[v0.1.1 · ER]</w:t>
            </w:r>
          </w:p>
        </w:tc>
        <w:tc>
          <w:tcPr/>
          <w:p>
            <w:pPr>
              <w:pStyle w:val="TableTextSmall"/>
            </w:pPr>
            <w:r>
              <w:t xml:space="preserve">Entity</w:t>
            </w:r>
          </w:p>
        </w:tc>
        <w:tc>
          <w:tcPr/>
          <w:p>
            <w:pPr>
              <w:pStyle w:val="TableTextSmall"/>
            </w:pPr>
            <w:r>
              <w:t xml:space="preserve">ENT-01,ASM-01</w:t>
            </w:r>
          </w:p>
        </w:tc>
        <w:tc>
          <w:tcPr/>
          <w:p>
            <w:pPr>
              <w:pStyle w:val="TableTextSmall"/>
            </w:pPr>
            <w:r>
              <w:t xml:space="preserve">Graph/search visibly carries status.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F-ENT-006</w:t>
            </w:r>
          </w:p>
        </w:tc>
        <w:tc>
          <w:tcPr/>
          <w:p>
            <w:pPr>
              <w:pStyle w:val="TableTextSmall"/>
            </w:pPr>
            <w:r>
              <w:t xml:space="preserve">External entity enrichment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Request authorised enrichment from external registries/screening services.</w:t>
            </w:r>
          </w:p>
        </w:tc>
        <w:tc>
          <w:tcPr/>
          <w:p>
            <w:pPr>
              <w:pStyle w:val="TableTextSmall"/>
            </w:pPr>
            <w:r>
              <w:t xml:space="preserve">Entity,ExternalReference</w:t>
            </w:r>
          </w:p>
        </w:tc>
        <w:tc>
          <w:tcPr/>
          <w:p>
            <w:pPr>
              <w:pStyle w:val="TableTextSmall"/>
            </w:pPr>
            <w:r>
              <w:t xml:space="preserve">SRC-01,PRI-01</w:t>
            </w:r>
          </w:p>
        </w:tc>
        <w:tc>
          <w:tcPr/>
          <w:p>
            <w:pPr>
              <w:pStyle w:val="TableTextSmall"/>
            </w:pPr>
            <w:r>
              <w:t xml:space="preserve">Imported enrichment retains provider/source/time/licence metadata.</w:t>
            </w:r>
          </w:p>
        </w:tc>
      </w:tr>
    </w:tbl>
    <w:bookmarkEnd w:id="20"/>
    <w:bookmarkStart w:id="21" w:name="cap-05--relationship--ownership--asset"/>
    <w:p>
      <w:pPr>
        <w:pStyle w:val="Heading2"/>
      </w:pPr>
      <w:r>
        <w:t xml:space="preserve">CAP-05 — Relationship / Ownership / Asset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8"/>
        <w:gridCol w:w="995"/>
        <w:gridCol w:w="343"/>
        <w:gridCol w:w="633"/>
        <w:gridCol w:w="1912"/>
        <w:gridCol w:w="1357"/>
        <w:gridCol w:w="633"/>
        <w:gridCol w:w="1266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F-REL-001</w:t>
            </w:r>
          </w:p>
        </w:tc>
        <w:tc>
          <w:tcPr/>
          <w:p>
            <w:pPr>
              <w:pStyle w:val="TableTextSmall"/>
            </w:pPr>
            <w:r>
              <w:t xml:space="preserve">Relationship records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Create first-class typed relationship with evidence, dates, confidence and status.</w:t>
            </w:r>
          </w:p>
        </w:tc>
        <w:tc>
          <w:tcPr/>
          <w:p>
            <w:pPr>
              <w:pStyle w:val="TableTextSmall"/>
            </w:pPr>
            <w:r>
              <w:t xml:space="preserve">Relationship</w:t>
            </w:r>
          </w:p>
        </w:tc>
        <w:tc>
          <w:tcPr/>
          <w:p>
            <w:pPr>
              <w:pStyle w:val="TableTextSmall"/>
            </w:pPr>
            <w:r>
              <w:t xml:space="preserve">REL-01</w:t>
            </w:r>
          </w:p>
        </w:tc>
        <w:tc>
          <w:tcPr/>
          <w:p>
            <w:pPr>
              <w:pStyle w:val="TableTextSmall"/>
            </w:pPr>
            <w:r>
              <w:t xml:space="preserve">Graph edge can be traced to relationship record and evidence.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F-REL-002</w:t>
            </w:r>
          </w:p>
        </w:tc>
        <w:tc>
          <w:tcPr/>
          <w:p>
            <w:pPr>
              <w:pStyle w:val="TableTextSmall"/>
            </w:pPr>
            <w:r>
              <w:t xml:space="preserve">Ownership interest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Record direct/indirect ownership, percentage, dates and evidence.</w:t>
            </w:r>
          </w:p>
        </w:tc>
        <w:tc>
          <w:tcPr/>
          <w:p>
            <w:pPr>
              <w:pStyle w:val="TableTextSmall"/>
            </w:pPr>
            <w:r>
              <w:t xml:space="preserve">OwnershipInterest</w:t>
            </w:r>
          </w:p>
        </w:tc>
        <w:tc>
          <w:tcPr/>
          <w:p>
            <w:pPr>
              <w:pStyle w:val="TableTextSmall"/>
            </w:pPr>
            <w:r>
              <w:t xml:space="preserve">REL-01,AST-01</w:t>
            </w:r>
          </w:p>
        </w:tc>
        <w:tc>
          <w:tcPr/>
          <w:p>
            <w:pPr>
              <w:pStyle w:val="TableTextSmall"/>
            </w:pPr>
            <w:r>
              <w:t xml:space="preserve">Unknown percentage is permitted; not coerced to zero.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F-REL-003</w:t>
            </w:r>
          </w:p>
        </w:tc>
        <w:tc>
          <w:tcPr/>
          <w:p>
            <w:pPr>
              <w:pStyle w:val="TableTextSmall"/>
            </w:pPr>
            <w:r>
              <w:t xml:space="preserve">Control assertion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Represent legal owner, beneficial owner, controller, user and associate separately.</w:t>
            </w:r>
          </w:p>
        </w:tc>
        <w:tc>
          <w:tcPr/>
          <w:p>
            <w:pPr>
              <w:pStyle w:val="TableTextSmall"/>
            </w:pPr>
            <w:r>
              <w:t xml:space="preserve">ControlAssertion</w:t>
            </w:r>
          </w:p>
        </w:tc>
        <w:tc>
          <w:tcPr/>
          <w:p>
            <w:pPr>
              <w:pStyle w:val="TableTextSmall"/>
            </w:pPr>
            <w:r>
              <w:t xml:space="preserve">AST-01</w:t>
            </w:r>
          </w:p>
        </w:tc>
        <w:tc>
          <w:tcPr/>
          <w:p>
            <w:pPr>
              <w:pStyle w:val="TableTextSmall"/>
            </w:pPr>
            <w:r>
              <w:t xml:space="preserve">UI never collapses ownership/control/use into one field.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F-AST-001</w:t>
            </w:r>
          </w:p>
        </w:tc>
        <w:tc>
          <w:tcPr/>
          <w:p>
            <w:pPr>
              <w:pStyle w:val="TableTextSmall"/>
            </w:pPr>
            <w:r>
              <w:t xml:space="preserve">Asset registry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Create property, vehicle, shares, vessel, aircraft, crypto and other asset records.</w:t>
            </w:r>
          </w:p>
        </w:tc>
        <w:tc>
          <w:tcPr/>
          <w:p>
            <w:pPr>
              <w:pStyle w:val="TableTextSmall"/>
            </w:pPr>
            <w:r>
              <w:t xml:space="preserve">Asset</w:t>
            </w:r>
          </w:p>
        </w:tc>
        <w:tc>
          <w:tcPr/>
          <w:p>
            <w:pPr>
              <w:pStyle w:val="TableTextSmall"/>
            </w:pPr>
            <w:r>
              <w:t xml:space="preserve">AST-01</w:t>
            </w:r>
          </w:p>
        </w:tc>
        <w:tc>
          <w:tcPr/>
          <w:p>
            <w:pPr>
              <w:pStyle w:val="TableTextSmall"/>
            </w:pPr>
            <w:r>
              <w:t xml:space="preserve">Asset attribution type and evidence are required for material claims.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F-AST-002</w:t>
            </w:r>
          </w:p>
        </w:tc>
        <w:tc>
          <w:tcPr/>
          <w:p>
            <w:pPr>
              <w:pStyle w:val="TableTextSmall"/>
            </w:pPr>
            <w:r>
              <w:t xml:space="preserve">Valuation records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Record estimated/reported valuations with date, currency and source.</w:t>
            </w:r>
          </w:p>
        </w:tc>
        <w:tc>
          <w:tcPr/>
          <w:p>
            <w:pPr>
              <w:pStyle w:val="TableTextSmall"/>
            </w:pPr>
            <w:r>
              <w:t xml:space="preserve">AssetValuation</w:t>
            </w:r>
          </w:p>
        </w:tc>
        <w:tc>
          <w:tcPr/>
          <w:p>
            <w:pPr>
              <w:pStyle w:val="TableTextSmall"/>
            </w:pPr>
            <w:r>
              <w:t xml:space="preserve">AST-01</w:t>
            </w:r>
          </w:p>
        </w:tc>
        <w:tc>
          <w:tcPr/>
          <w:p>
            <w:pPr>
              <w:pStyle w:val="TableTextSmall"/>
            </w:pPr>
            <w:r>
              <w:t xml:space="preserve">Valuation method and uncertainty are visible.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F-REL-004</w:t>
            </w:r>
          </w:p>
        </w:tc>
        <w:tc>
          <w:tcPr/>
          <w:p>
            <w:pPr>
              <w:pStyle w:val="TableTextSmall"/>
            </w:pPr>
            <w:r>
              <w:t xml:space="preserve">Beneficial ownership chain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Traverse multi-level ownership/control chains and calculate indicative indirect interest when inputs are known.</w:t>
            </w:r>
          </w:p>
        </w:tc>
        <w:tc>
          <w:tcPr/>
          <w:p>
            <w:pPr>
              <w:pStyle w:val="TableTextSmall"/>
            </w:pPr>
            <w:r>
              <w:t xml:space="preserve">OwnershipInterest,Relationship</w:t>
            </w:r>
          </w:p>
        </w:tc>
        <w:tc>
          <w:tcPr/>
          <w:p>
            <w:pPr>
              <w:pStyle w:val="TableTextSmall"/>
            </w:pPr>
            <w:r>
              <w:t xml:space="preserve">REL-01,TEC-02</w:t>
            </w:r>
          </w:p>
        </w:tc>
        <w:tc>
          <w:tcPr/>
          <w:p>
            <w:pPr>
              <w:pStyle w:val="TableTextSmall"/>
            </w:pPr>
            <w:r>
              <w:t xml:space="preserve">Calculated values display assumptions and source chain.</w:t>
            </w:r>
          </w:p>
        </w:tc>
      </w:tr>
    </w:tbl>
    <w:bookmarkEnd w:id="21"/>
    <w:bookmarkStart w:id="22" w:name="cap-06--timeline--events"/>
    <w:p>
      <w:pPr>
        <w:pStyle w:val="Heading2"/>
      </w:pPr>
      <w:r>
        <w:t xml:space="preserve">CAP-06 — Timeline &amp;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974"/>
        <w:gridCol w:w="336"/>
        <w:gridCol w:w="619"/>
        <w:gridCol w:w="2260"/>
        <w:gridCol w:w="974"/>
        <w:gridCol w:w="619"/>
        <w:gridCol w:w="1373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F-TIM-001</w:t>
            </w:r>
          </w:p>
        </w:tc>
        <w:tc>
          <w:tcPr/>
          <w:p>
            <w:pPr>
              <w:pStyle w:val="TableTextSmall"/>
            </w:pPr>
            <w:r>
              <w:t xml:space="preserve">Event records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Record appointments, incorporation, tender awards, purchases, transfers, court events and other time-bounded events.</w:t>
            </w:r>
          </w:p>
        </w:tc>
        <w:tc>
          <w:tcPr/>
          <w:p>
            <w:pPr>
              <w:pStyle w:val="TableTextSmall"/>
            </w:pPr>
            <w:r>
              <w:t xml:space="preserve">Event</w:t>
            </w:r>
          </w:p>
        </w:tc>
        <w:tc>
          <w:tcPr/>
          <w:p>
            <w:pPr>
              <w:pStyle w:val="TableTextSmall"/>
            </w:pPr>
            <w:r>
              <w:t xml:space="preserve">REL-01</w:t>
            </w:r>
          </w:p>
        </w:tc>
        <w:tc>
          <w:tcPr/>
          <w:p>
            <w:pPr>
              <w:pStyle w:val="TableTextSmall"/>
            </w:pPr>
            <w:r>
              <w:t xml:space="preserve">Event date precision and evidence are explicit.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F-TIM-002</w:t>
            </w:r>
          </w:p>
        </w:tc>
        <w:tc>
          <w:tcPr/>
          <w:p>
            <w:pPr>
              <w:pStyle w:val="TableTextSmall"/>
            </w:pPr>
            <w:r>
              <w:t xml:space="preserve">Visual timeline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View case/entity/asset events chronologically with filtering.</w:t>
            </w:r>
          </w:p>
        </w:tc>
        <w:tc>
          <w:tcPr/>
          <w:p>
            <w:pPr>
              <w:pStyle w:val="TableTextSmall"/>
            </w:pPr>
            <w:r>
              <w:t xml:space="preserve">Event</w:t>
            </w:r>
          </w:p>
        </w:tc>
        <w:tc>
          <w:tcPr/>
          <w:p>
            <w:pPr>
              <w:pStyle w:val="TableTextSmall"/>
            </w:pPr>
            <w:r>
              <w:t xml:space="preserve">AUD-01</w:t>
            </w:r>
          </w:p>
        </w:tc>
        <w:tc>
          <w:tcPr/>
          <w:p>
            <w:pPr>
              <w:pStyle w:val="TableTextSmall"/>
            </w:pPr>
            <w:r>
              <w:t xml:space="preserve">Timeline items link back to canonical event and evidence.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F-TIM-003</w:t>
            </w:r>
          </w:p>
        </w:tc>
        <w:tc>
          <w:tcPr/>
          <w:p>
            <w:pPr>
              <w:pStyle w:val="TableTextSmall"/>
            </w:pPr>
            <w:r>
              <w:t xml:space="preserve">Temporal relationship view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Show when ownership/directorship/control existed.</w:t>
            </w:r>
          </w:p>
        </w:tc>
        <w:tc>
          <w:tcPr/>
          <w:p>
            <w:pPr>
              <w:pStyle w:val="TableTextSmall"/>
            </w:pPr>
            <w:r>
              <w:t xml:space="preserve">Relationship,Event</w:t>
            </w:r>
          </w:p>
        </w:tc>
        <w:tc>
          <w:tcPr/>
          <w:p>
            <w:pPr>
              <w:pStyle w:val="TableTextSmall"/>
            </w:pPr>
            <w:r>
              <w:t xml:space="preserve">REL-01</w:t>
            </w:r>
          </w:p>
        </w:tc>
        <w:tc>
          <w:tcPr/>
          <w:p>
            <w:pPr>
              <w:pStyle w:val="TableTextSmall"/>
            </w:pPr>
            <w:r>
              <w:t xml:space="preserve">Historical and current relationships are distinguishable.</w:t>
            </w:r>
          </w:p>
        </w:tc>
      </w:tr>
    </w:tbl>
    <w:bookmarkEnd w:id="22"/>
    <w:bookmarkStart w:id="23" w:name="cap-07--value-flow-analysis"/>
    <w:p>
      <w:pPr>
        <w:pStyle w:val="Heading2"/>
      </w:pPr>
      <w:r>
        <w:t xml:space="preserve">CAP-07 — Value-Flow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5"/>
        <w:gridCol w:w="1165"/>
        <w:gridCol w:w="350"/>
        <w:gridCol w:w="647"/>
        <w:gridCol w:w="1836"/>
        <w:gridCol w:w="1017"/>
        <w:gridCol w:w="647"/>
        <w:gridCol w:w="1459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F-VAL-001</w:t>
            </w:r>
          </w:p>
        </w:tc>
        <w:tc>
          <w:tcPr/>
          <w:p>
            <w:pPr>
              <w:pStyle w:val="TableTextSmall"/>
            </w:pPr>
            <w:r>
              <w:t xml:space="preserve">ValueFlow record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Record origin, destination, value/range, currency, date, mechanism, evidence and class.</w:t>
            </w:r>
          </w:p>
        </w:tc>
        <w:tc>
          <w:tcPr/>
          <w:p>
            <w:pPr>
              <w:pStyle w:val="TableTextSmall"/>
            </w:pPr>
            <w:r>
              <w:t xml:space="preserve">ValueFlow</w:t>
            </w:r>
          </w:p>
        </w:tc>
        <w:tc>
          <w:tcPr/>
          <w:p>
            <w:pPr>
              <w:pStyle w:val="TableTextSmall"/>
            </w:pPr>
            <w:r>
              <w:t xml:space="preserve">VAL-01</w:t>
            </w:r>
          </w:p>
        </w:tc>
        <w:tc>
          <w:tcPr/>
          <w:p>
            <w:pPr>
              <w:pStyle w:val="TableTextSmall"/>
            </w:pPr>
            <w:r>
              <w:t xml:space="preserve">flow_class is mandatory: DIRECT, DOCUMENTED, RECONSTRUCTED, or HYPOTHETICAL.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F-VAL-002</w:t>
            </w:r>
          </w:p>
        </w:tc>
        <w:tc>
          <w:tcPr/>
          <w:p>
            <w:pPr>
              <w:pStyle w:val="TableTextSmall"/>
            </w:pPr>
            <w:r>
              <w:t xml:space="preserve">Multi-leg value flow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Build chains of contracts, payments, loans, transfers, purchases and conversions.</w:t>
            </w:r>
          </w:p>
        </w:tc>
        <w:tc>
          <w:tcPr/>
          <w:p>
            <w:pPr>
              <w:pStyle w:val="TableTextSmall"/>
            </w:pPr>
            <w:r>
              <w:t xml:space="preserve">ValueFlow,ValueFlowLeg</w:t>
            </w:r>
          </w:p>
        </w:tc>
        <w:tc>
          <w:tcPr/>
          <w:p>
            <w:pPr>
              <w:pStyle w:val="TableTextSmall"/>
            </w:pPr>
            <w:r>
              <w:t xml:space="preserve">VAL-01</w:t>
            </w:r>
          </w:p>
        </w:tc>
        <w:tc>
          <w:tcPr/>
          <w:p>
            <w:pPr>
              <w:pStyle w:val="TableTextSmall"/>
            </w:pPr>
            <w:r>
              <w:t xml:space="preserve">Each leg retains separate evidence/confidence.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F-VAL-003</w:t>
            </w:r>
          </w:p>
        </w:tc>
        <w:tc>
          <w:tcPr/>
          <w:p>
            <w:pPr>
              <w:pStyle w:val="TableTextSmall"/>
            </w:pPr>
            <w:r>
              <w:t xml:space="preserve">Flow visualisation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Visualise value movement without erasing flow class or uncertainty.</w:t>
            </w:r>
          </w:p>
        </w:tc>
        <w:tc>
          <w:tcPr/>
          <w:p>
            <w:pPr>
              <w:pStyle w:val="TableTextSmall"/>
            </w:pPr>
            <w:r>
              <w:t xml:space="preserve">ValueFlow</w:t>
            </w:r>
          </w:p>
        </w:tc>
        <w:tc>
          <w:tcPr/>
          <w:p>
            <w:pPr>
              <w:pStyle w:val="TableTextSmall"/>
            </w:pPr>
            <w:r>
              <w:t xml:space="preserve">VAL-01</w:t>
            </w:r>
          </w:p>
        </w:tc>
        <w:tc>
          <w:tcPr/>
          <w:p>
            <w:pPr>
              <w:pStyle w:val="TableTextSmall"/>
            </w:pPr>
            <w:r>
              <w:t xml:space="preserve">Line style/label communicates class in UI and export.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F-VAL-004</w:t>
            </w:r>
          </w:p>
        </w:tc>
        <w:tc>
          <w:tcPr/>
          <w:p>
            <w:pPr>
              <w:pStyle w:val="TableTextSmall"/>
            </w:pPr>
            <w:r>
              <w:t xml:space="preserve">Unknown / range values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Represent unknown, minimum, maximum and approximate values.</w:t>
            </w:r>
          </w:p>
        </w:tc>
        <w:tc>
          <w:tcPr/>
          <w:p>
            <w:pPr>
              <w:pStyle w:val="TableTextSmall"/>
            </w:pPr>
            <w:r>
              <w:t xml:space="preserve">ValueFlow</w:t>
            </w:r>
          </w:p>
        </w:tc>
        <w:tc>
          <w:tcPr/>
          <w:p>
            <w:pPr>
              <w:pStyle w:val="TableTextSmall"/>
            </w:pPr>
            <w:r>
              <w:t xml:space="preserve">VAL-01</w:t>
            </w:r>
          </w:p>
        </w:tc>
        <w:tc>
          <w:tcPr/>
          <w:p>
            <w:pPr>
              <w:pStyle w:val="TableTextSmall"/>
            </w:pPr>
            <w:r>
              <w:t xml:space="preserve">System does not invent numeric zero for unknown value.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F-VAL-005</w:t>
            </w:r>
          </w:p>
        </w:tc>
        <w:tc>
          <w:tcPr/>
          <w:p>
            <w:pPr>
              <w:pStyle w:val="TableTextSmall"/>
            </w:pPr>
            <w:r>
              <w:t xml:space="preserve">Flow reconciliation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Compare incoming/outgoing known values and identify gaps without implying illegality.</w:t>
            </w:r>
          </w:p>
        </w:tc>
        <w:tc>
          <w:tcPr/>
          <w:p>
            <w:pPr>
              <w:pStyle w:val="TableTextSmall"/>
            </w:pPr>
            <w:r>
              <w:t xml:space="preserve">ValueFlow</w:t>
            </w:r>
          </w:p>
        </w:tc>
        <w:tc>
          <w:tcPr/>
          <w:p>
            <w:pPr>
              <w:pStyle w:val="TableTextSmall"/>
            </w:pPr>
            <w:r>
              <w:t xml:space="preserve">TEC-02</w:t>
            </w:r>
          </w:p>
        </w:tc>
        <w:tc>
          <w:tcPr/>
          <w:p>
            <w:pPr>
              <w:pStyle w:val="TableTextSmall"/>
            </w:pPr>
            <w:r>
              <w:t xml:space="preserve">Computed gap is labelled analytical calculation with inputs/version.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F-VAL-006</w:t>
            </w:r>
          </w:p>
        </w:tc>
        <w:tc>
          <w:tcPr/>
          <w:p>
            <w:pPr>
              <w:pStyle w:val="TableTextSmall"/>
            </w:pPr>
            <w:r>
              <w:t xml:space="preserve">Currency normalisation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View original currency and optionally normalised value using dated FX reference.</w:t>
            </w:r>
          </w:p>
        </w:tc>
        <w:tc>
          <w:tcPr/>
          <w:p>
            <w:pPr>
              <w:pStyle w:val="TableTextSmall"/>
            </w:pPr>
            <w:r>
              <w:t xml:space="preserve">ValueFlow</w:t>
            </w:r>
          </w:p>
        </w:tc>
        <w:tc>
          <w:tcPr/>
          <w:p>
            <w:pPr>
              <w:pStyle w:val="TableTextSmall"/>
            </w:pPr>
            <w:r>
              <w:t xml:space="preserve">TEC-02</w:t>
            </w:r>
          </w:p>
        </w:tc>
        <w:tc>
          <w:tcPr/>
          <w:p>
            <w:pPr>
              <w:pStyle w:val="TableTextSmall"/>
            </w:pPr>
            <w:r>
              <w:t xml:space="preserve">Original value/currency always preserved.</w:t>
            </w:r>
          </w:p>
        </w:tc>
      </w:tr>
    </w:tbl>
    <w:bookmarkEnd w:id="23"/>
    <w:bookmarkStart w:id="24" w:name="cap-08--typology--indicator-analysis"/>
    <w:p>
      <w:pPr>
        <w:pStyle w:val="Heading2"/>
      </w:pPr>
      <w:r>
        <w:t xml:space="preserve">CAP-08 — Typology &amp; Indicator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2"/>
        <w:gridCol w:w="964"/>
        <w:gridCol w:w="310"/>
        <w:gridCol w:w="571"/>
        <w:gridCol w:w="1888"/>
        <w:gridCol w:w="1291"/>
        <w:gridCol w:w="571"/>
        <w:gridCol w:w="1620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F-TYP-001</w:t>
            </w:r>
          </w:p>
        </w:tc>
        <w:tc>
          <w:tcPr/>
          <w:p>
            <w:pPr>
              <w:pStyle w:val="TableTextSmall"/>
            </w:pPr>
            <w:r>
              <w:t xml:space="preserve">Typology catalogue browser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Browse CS-AML typologies, mechanisms, observables, indicators and false positives.</w:t>
            </w:r>
          </w:p>
        </w:tc>
        <w:tc>
          <w:tcPr/>
          <w:p>
            <w:pPr>
              <w:pStyle w:val="TableTextSmall"/>
            </w:pPr>
            <w:r>
              <w:t xml:space="preserve">Typology</w:t>
            </w:r>
          </w:p>
        </w:tc>
        <w:tc>
          <w:tcPr/>
          <w:p>
            <w:pPr>
              <w:pStyle w:val="TableTextSmall"/>
            </w:pPr>
            <w:r>
              <w:t xml:space="preserve">TYP-01</w:t>
            </w:r>
          </w:p>
        </w:tc>
        <w:tc>
          <w:tcPr/>
          <w:p>
            <w:pPr>
              <w:pStyle w:val="TableTextSmall"/>
            </w:pPr>
            <w:r>
              <w:t xml:space="preserve">Catalogue entry version is visible.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F-TYP-002</w:t>
            </w:r>
          </w:p>
        </w:tc>
        <w:tc>
          <w:tcPr/>
          <w:p>
            <w:pPr>
              <w:pStyle w:val="TableTextSmall"/>
            </w:pPr>
            <w:r>
              <w:t xml:space="preserve">Indicator capture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Link observed indicators/counter-indicators to entities, events, flows and evidence.</w:t>
            </w:r>
          </w:p>
        </w:tc>
        <w:tc>
          <w:tcPr/>
          <w:p>
            <w:pPr>
              <w:pStyle w:val="TableTextSmall"/>
            </w:pPr>
            <w:r>
              <w:t xml:space="preserve">Indicator</w:t>
            </w:r>
          </w:p>
        </w:tc>
        <w:tc>
          <w:tcPr/>
          <w:p>
            <w:pPr>
              <w:pStyle w:val="TableTextSmall"/>
            </w:pPr>
            <w:r>
              <w:t xml:space="preserve">TYP-01</w:t>
            </w:r>
          </w:p>
        </w:tc>
        <w:tc>
          <w:tcPr/>
          <w:p>
            <w:pPr>
              <w:pStyle w:val="TableTextSmall"/>
            </w:pPr>
            <w:r>
              <w:t xml:space="preserve">Indicator cannot exist as unattributed free-floating accusation in final assessment.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F-TYP-003</w:t>
            </w:r>
          </w:p>
        </w:tc>
        <w:tc>
          <w:tcPr/>
          <w:p>
            <w:pPr>
              <w:pStyle w:val="TableTextSmall"/>
            </w:pPr>
            <w:r>
              <w:t xml:space="preserve">Typology match worksheet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Compare observed case pattern to typology with consistency level and alternatives.</w:t>
            </w:r>
          </w:p>
        </w:tc>
        <w:tc>
          <w:tcPr/>
          <w:p>
            <w:pPr>
              <w:pStyle w:val="TableTextSmall"/>
            </w:pPr>
            <w:r>
              <w:t xml:space="preserve">TypologyMatch</w:t>
            </w:r>
          </w:p>
        </w:tc>
        <w:tc>
          <w:tcPr/>
          <w:p>
            <w:pPr>
              <w:pStyle w:val="TableTextSmall"/>
            </w:pPr>
            <w:r>
              <w:t xml:space="preserve">TYP-01,HYP-01</w:t>
            </w:r>
          </w:p>
        </w:tc>
        <w:tc>
          <w:tcPr/>
          <w:p>
            <w:pPr>
              <w:pStyle w:val="TableTextSmall"/>
            </w:pPr>
            <w:r>
              <w:t xml:space="preserve">Single weak indicator cannot auto-produce strong match.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F-TYP-004</w:t>
            </w:r>
          </w:p>
        </w:tc>
        <w:tc>
          <w:tcPr/>
          <w:p>
            <w:pPr>
              <w:pStyle w:val="TableTextSmall"/>
            </w:pPr>
            <w:r>
              <w:t xml:space="preserve">Custom/local typologies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Admin/Analyst</w:t>
            </w:r>
          </w:p>
        </w:tc>
        <w:tc>
          <w:tcPr/>
          <w:p>
            <w:pPr>
              <w:pStyle w:val="TableTextSmall"/>
            </w:pPr>
            <w:r>
              <w:t xml:space="preserve">Create versioned local typologies without modifying official catalogue history.</w:t>
            </w:r>
          </w:p>
        </w:tc>
        <w:tc>
          <w:tcPr/>
          <w:p>
            <w:pPr>
              <w:pStyle w:val="TableTextSmall"/>
            </w:pPr>
            <w:r>
              <w:t xml:space="preserve">Typology</w:t>
            </w:r>
          </w:p>
        </w:tc>
        <w:tc>
          <w:tcPr/>
          <w:p>
            <w:pPr>
              <w:pStyle w:val="TableTextSmall"/>
            </w:pPr>
            <w:r>
              <w:t xml:space="preserve">AUD-01</w:t>
            </w:r>
          </w:p>
        </w:tc>
        <w:tc>
          <w:tcPr/>
          <w:p>
            <w:pPr>
              <w:pStyle w:val="TableTextSmall"/>
            </w:pPr>
            <w:r>
              <w:t xml:space="preserve">Custom typology has owner, version and source lineage.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F-TYP-005</w:t>
            </w:r>
          </w:p>
        </w:tc>
        <w:tc>
          <w:tcPr/>
          <w:p>
            <w:pPr>
              <w:pStyle w:val="TableTextSmall"/>
            </w:pPr>
            <w:r>
              <w:t xml:space="preserve">Rule-assisted indicator suggestions</w:t>
            </w:r>
          </w:p>
        </w:tc>
        <w:tc>
          <w:tcPr/>
          <w:p>
            <w:pPr>
              <w:pStyle w:val="TableTextSmall"/>
            </w:pPr>
            <w:r>
              <w:t xml:space="preserve">P2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Suggest potential indicators from graph/data while requiring confirmation.</w:t>
            </w:r>
          </w:p>
        </w:tc>
        <w:tc>
          <w:tcPr/>
          <w:p>
            <w:pPr>
              <w:pStyle w:val="TableTextSmall"/>
            </w:pPr>
            <w:r>
              <w:t xml:space="preserve">IndicatorCandidate</w:t>
            </w:r>
          </w:p>
        </w:tc>
        <w:tc>
          <w:tcPr/>
          <w:p>
            <w:pPr>
              <w:pStyle w:val="TableTextSmall"/>
            </w:pPr>
            <w:r>
              <w:t xml:space="preserve">TEC-01,TEC-02</w:t>
            </w:r>
          </w:p>
        </w:tc>
        <w:tc>
          <w:tcPr/>
          <w:p>
            <w:pPr>
              <w:pStyle w:val="TableTextSmall"/>
            </w:pPr>
            <w:r>
              <w:t xml:space="preserve">Suggestions are labelled machine/rule-generated and cannot auto-escalate case.</w:t>
            </w:r>
          </w:p>
        </w:tc>
      </w:tr>
    </w:tbl>
    <w:bookmarkEnd w:id="24"/>
    <w:bookmarkStart w:id="25" w:name="cap-09--hypothesis--assessment"/>
    <w:p>
      <w:pPr>
        <w:pStyle w:val="Heading2"/>
      </w:pPr>
      <w:r>
        <w:t xml:space="preserve">CAP-09 — Hypothesis &amp;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9"/>
        <w:gridCol w:w="945"/>
        <w:gridCol w:w="304"/>
        <w:gridCol w:w="624"/>
        <w:gridCol w:w="1901"/>
        <w:gridCol w:w="1074"/>
        <w:gridCol w:w="560"/>
        <w:gridCol w:w="1819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F-HYP-001</w:t>
            </w:r>
          </w:p>
        </w:tc>
        <w:tc>
          <w:tcPr/>
          <w:p>
            <w:pPr>
              <w:pStyle w:val="TableTextSmall"/>
            </w:pPr>
            <w:r>
              <w:t xml:space="preserve">Hypothesis workspace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Maintain multiple hypotheses including legitimate explanations.</w:t>
            </w:r>
          </w:p>
        </w:tc>
        <w:tc>
          <w:tcPr/>
          <w:p>
            <w:pPr>
              <w:pStyle w:val="TableTextSmall"/>
            </w:pPr>
            <w:r>
              <w:t xml:space="preserve">Hypothesis</w:t>
            </w:r>
          </w:p>
        </w:tc>
        <w:tc>
          <w:tcPr/>
          <w:p>
            <w:pPr>
              <w:pStyle w:val="TableTextSmall"/>
            </w:pPr>
            <w:r>
              <w:t xml:space="preserve">HYP-01</w:t>
            </w:r>
          </w:p>
        </w:tc>
        <w:tc>
          <w:tcPr/>
          <w:p>
            <w:pPr>
              <w:pStyle w:val="TableTextSmall"/>
            </w:pPr>
            <w:r>
              <w:t xml:space="preserve">At least one alternative hypothesis is supported for high-impact adverse assessment unless rationale documented.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F-HYP-002</w:t>
            </w:r>
          </w:p>
        </w:tc>
        <w:tc>
          <w:tcPr/>
          <w:p>
            <w:pPr>
              <w:pStyle w:val="TableTextSmall"/>
            </w:pPr>
            <w:r>
              <w:t xml:space="preserve">Evidence support / contradiction matrix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Link evidence and indicators as supporting, contradicting, neutral or unknown for each hypothesis.</w:t>
            </w:r>
          </w:p>
        </w:tc>
        <w:tc>
          <w:tcPr/>
          <w:p>
            <w:pPr>
              <w:pStyle w:val="TableTextSmall"/>
            </w:pPr>
            <w:r>
              <w:t xml:space="preserve">Hypothesis,EvidenceItem,Indicator</w:t>
            </w:r>
          </w:p>
        </w:tc>
        <w:tc>
          <w:tcPr/>
          <w:p>
            <w:pPr>
              <w:pStyle w:val="TableTextSmall"/>
            </w:pPr>
            <w:r>
              <w:t xml:space="preserve">HYP-01,HYP-02</w:t>
            </w:r>
          </w:p>
        </w:tc>
        <w:tc>
          <w:tcPr/>
          <w:p>
            <w:pPr>
              <w:pStyle w:val="TableTextSmall"/>
            </w:pPr>
            <w:r>
              <w:t xml:space="preserve">Matrix records analyst and rationale.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F-HYP-003</w:t>
            </w:r>
          </w:p>
        </w:tc>
        <w:tc>
          <w:tcPr/>
          <w:p>
            <w:pPr>
              <w:pStyle w:val="TableTextSmall"/>
            </w:pPr>
            <w:r>
              <w:t xml:space="preserve">Intelligence gaps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Record unknowns that could materially change assessment.</w:t>
            </w:r>
          </w:p>
        </w:tc>
        <w:tc>
          <w:tcPr/>
          <w:p>
            <w:pPr>
              <w:pStyle w:val="TableTextSmall"/>
            </w:pPr>
            <w:r>
              <w:t xml:space="preserve">IntelligenceGap</w:t>
            </w:r>
          </w:p>
        </w:tc>
        <w:tc>
          <w:tcPr/>
          <w:p>
            <w:pPr>
              <w:pStyle w:val="TableTextSmall"/>
            </w:pPr>
            <w:r>
              <w:t xml:space="preserve">GAP-01</w:t>
            </w:r>
          </w:p>
        </w:tc>
        <w:tc>
          <w:tcPr/>
          <w:p>
            <w:pPr>
              <w:pStyle w:val="TableTextSmall"/>
            </w:pPr>
            <w:r>
              <w:t xml:space="preserve">Final product surfaces material unresolved gaps.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F-ASM-001</w:t>
            </w:r>
          </w:p>
        </w:tc>
        <w:tc>
          <w:tcPr/>
          <w:p>
            <w:pPr>
              <w:pStyle w:val="TableTextSmall"/>
            </w:pPr>
            <w:r>
              <w:t xml:space="preserve">Assessment record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Write judgement, confidence, basis, alternatives, assumptions and gaps.</w:t>
            </w:r>
          </w:p>
        </w:tc>
        <w:tc>
          <w:tcPr/>
          <w:p>
            <w:pPr>
              <w:pStyle w:val="TableTextSmall"/>
            </w:pPr>
            <w:r>
              <w:t xml:space="preserve">Assessment</w:t>
            </w:r>
          </w:p>
        </w:tc>
        <w:tc>
          <w:tcPr/>
          <w:p>
            <w:pPr>
              <w:pStyle w:val="TableTextSmall"/>
            </w:pPr>
            <w:r>
              <w:t xml:space="preserve">ASM-01</w:t>
            </w:r>
          </w:p>
        </w:tc>
        <w:tc>
          <w:tcPr/>
          <w:p>
            <w:pPr>
              <w:pStyle w:val="TableTextSmall"/>
            </w:pPr>
            <w:r>
              <w:t xml:space="preserve">Assessment cannot be final without confidence and evidence-linked basis.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F-ASM-002</w:t>
            </w:r>
          </w:p>
        </w:tc>
        <w:tc>
          <w:tcPr/>
          <w:p>
            <w:pPr>
              <w:pStyle w:val="TableTextSmall"/>
            </w:pPr>
            <w:r>
              <w:t xml:space="preserve">Confidence scale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Apply controlled confidence language with rationale: wire values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INSUFFICIENT_BASIS</w:t>
            </w:r>
            <w:r>
              <w:t xml:space="preserve"> </w:t>
            </w:r>
            <w:r>
              <w:t xml:space="preserve">(Data Model Annex A registry; display labels separate).</w:t>
            </w:r>
            <w:r>
              <w:t xml:space="preserve"> </w:t>
            </w:r>
            <w:r>
              <w:rPr>
                <w:rStyle w:val="VerbatimChar"/>
              </w:rPr>
              <w:t xml:space="preserve">INSUFFICIENT_BASIS</w:t>
            </w:r>
            <w:r>
              <w:t xml:space="preserve"> </w:t>
            </w:r>
            <w:r>
              <w:t xml:space="preserve">is not a level below LOW.</w:t>
            </w:r>
          </w:p>
        </w:tc>
        <w:tc>
          <w:tcPr/>
          <w:p>
            <w:pPr>
              <w:pStyle w:val="TableTextSmall"/>
            </w:pPr>
            <w:r>
              <w:t xml:space="preserve">Assessment</w:t>
            </w:r>
          </w:p>
        </w:tc>
        <w:tc>
          <w:tcPr/>
          <w:p>
            <w:pPr>
              <w:pStyle w:val="TableTextSmall"/>
            </w:pPr>
            <w:r>
              <w:t xml:space="preserve">ASM-01</w:t>
            </w:r>
          </w:p>
        </w:tc>
        <w:tc>
          <w:tcPr/>
          <w:p>
            <w:pPr>
              <w:pStyle w:val="TableTextSmall"/>
            </w:pPr>
            <w:r>
              <w:t xml:space="preserve">Confidence changes are versioned; rationale is mandatory for every level;</w:t>
            </w:r>
            <w:r>
              <w:t xml:space="preserve"> </w:t>
            </w:r>
            <w:r>
              <w:rPr>
                <w:rStyle w:val="VerbatimChar"/>
              </w:rPr>
              <w:t xml:space="preserve">INSUFFICIENT_BASIS</w:t>
            </w:r>
            <w:r>
              <w:t xml:space="preserve"> </w:t>
            </w:r>
            <w:r>
              <w:t xml:space="preserve">is never converted to LOW, null or zero; a finalized assessment carries a non-null level.</w:t>
            </w:r>
            <w:r>
              <w:t xml:space="preserve"> </w:t>
            </w:r>
            <w:r>
              <w:rPr>
                <w:i/>
                <w:iCs/>
              </w:rPr>
              <w:t xml:space="preserve">[v0.1.1 · A09]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F-ASM-003</w:t>
            </w:r>
          </w:p>
        </w:tc>
        <w:tc>
          <w:tcPr/>
          <w:p>
            <w:pPr>
              <w:pStyle w:val="TableTextSmall"/>
            </w:pPr>
            <w:r>
              <w:t xml:space="preserve">Disconfirming search record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Reviewer</w:t>
            </w:r>
          </w:p>
        </w:tc>
        <w:tc>
          <w:tcPr/>
          <w:p>
            <w:pPr>
              <w:pStyle w:val="TableTextSmall"/>
            </w:pPr>
            <w:r>
              <w:t xml:space="preserve">Document what was done to search for evidence that weakens adverse findings.</w:t>
            </w:r>
          </w:p>
        </w:tc>
        <w:tc>
          <w:tcPr/>
          <w:p>
            <w:pPr>
              <w:pStyle w:val="TableTextSmall"/>
            </w:pPr>
            <w:r>
              <w:t xml:space="preserve">Review,Hypothesis</w:t>
            </w:r>
          </w:p>
        </w:tc>
        <w:tc>
          <w:tcPr/>
          <w:p>
            <w:pPr>
              <w:pStyle w:val="TableTextSmall"/>
            </w:pPr>
            <w:r>
              <w:t xml:space="preserve">HYP-02,QUA-01</w:t>
            </w:r>
          </w:p>
        </w:tc>
        <w:tc>
          <w:tcPr/>
          <w:p>
            <w:pPr>
              <w:pStyle w:val="TableTextSmall"/>
            </w:pPr>
            <w:r>
              <w:t xml:space="preserve">High-impact product cannot pass review if no disconfirmation record/rationale.</w:t>
            </w:r>
          </w:p>
        </w:tc>
      </w:tr>
    </w:tbl>
    <w:bookmarkEnd w:id="25"/>
    <w:bookmarkStart w:id="26" w:name="cap-10--search--graph--analytics"/>
    <w:p>
      <w:pPr>
        <w:pStyle w:val="Heading2"/>
      </w:pPr>
      <w:r>
        <w:t xml:space="preserve">CAP-10 — Search / Graph /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3"/>
        <w:gridCol w:w="894"/>
        <w:gridCol w:w="332"/>
        <w:gridCol w:w="613"/>
        <w:gridCol w:w="1698"/>
        <w:gridCol w:w="1245"/>
        <w:gridCol w:w="613"/>
        <w:gridCol w:w="1768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F-SCH-001</w:t>
            </w:r>
          </w:p>
        </w:tc>
        <w:tc>
          <w:tcPr/>
          <w:p>
            <w:pPr>
              <w:pStyle w:val="TableTextSmall"/>
            </w:pPr>
            <w:r>
              <w:t xml:space="preserve">Full-text search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Search case-authorised documents/evidence and extracted text.</w:t>
            </w:r>
          </w:p>
        </w:tc>
        <w:tc>
          <w:tcPr/>
          <w:p>
            <w:pPr>
              <w:pStyle w:val="TableTextSmall"/>
            </w:pPr>
            <w:r>
              <w:t xml:space="preserve">EvidenceItem,DerivedArtifact</w:t>
            </w:r>
          </w:p>
        </w:tc>
        <w:tc>
          <w:tcPr/>
          <w:p>
            <w:pPr>
              <w:pStyle w:val="TableTextSmall"/>
            </w:pPr>
            <w:r>
              <w:t xml:space="preserve">SEC-01</w:t>
            </w:r>
          </w:p>
        </w:tc>
        <w:tc>
          <w:tcPr/>
          <w:p>
            <w:pPr>
              <w:pStyle w:val="TableTextSmall"/>
            </w:pPr>
            <w:r>
              <w:t xml:space="preserve">Results enforce object-level permissions.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F-SCH-002</w:t>
            </w:r>
          </w:p>
        </w:tc>
        <w:tc>
          <w:tcPr/>
          <w:p>
            <w:pPr>
              <w:pStyle w:val="TableTextSmall"/>
            </w:pPr>
            <w:r>
              <w:t xml:space="preserve">Faceted entity/object search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Filter by entity type, identifier, jurisdiction, case, source, date and status.</w:t>
            </w:r>
          </w:p>
        </w:tc>
        <w:tc>
          <w:tcPr/>
          <w:p>
            <w:pPr>
              <w:pStyle w:val="TableTextSmall"/>
            </w:pPr>
            <w:r>
              <w:t xml:space="preserve">Entity,Source,Case</w:t>
            </w:r>
          </w:p>
        </w:tc>
        <w:tc>
          <w:tcPr/>
          <w:p>
            <w:pPr>
              <w:pStyle w:val="TableTextSmall"/>
            </w:pPr>
            <w:r>
              <w:t xml:space="preserve">SEC-01</w:t>
            </w:r>
          </w:p>
        </w:tc>
        <w:tc>
          <w:tcPr/>
          <w:p>
            <w:pPr>
              <w:pStyle w:val="TableTextSmall"/>
            </w:pPr>
            <w:r>
              <w:t xml:space="preserve">Search does not reveal restricted object existence where policy forbids it.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F-GRF-001</w:t>
            </w:r>
          </w:p>
        </w:tc>
        <w:tc>
          <w:tcPr/>
          <w:p>
            <w:pPr>
              <w:pStyle w:val="TableTextSmall"/>
            </w:pPr>
            <w:r>
              <w:t xml:space="preserve">Graph exploration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Explore entities, relationships, assets, events and flows visually.</w:t>
            </w:r>
          </w:p>
        </w:tc>
        <w:tc>
          <w:tcPr/>
          <w:p>
            <w:pPr>
              <w:pStyle w:val="TableTextSmall"/>
            </w:pPr>
            <w:r>
              <w:t xml:space="preserve">Entity,Relationship,Asset,ValueFlow</w:t>
            </w:r>
          </w:p>
        </w:tc>
        <w:tc>
          <w:tcPr/>
          <w:p>
            <w:pPr>
              <w:pStyle w:val="TableTextSmall"/>
            </w:pPr>
            <w:r>
              <w:t xml:space="preserve">REL-01,SEC-01</w:t>
            </w:r>
          </w:p>
        </w:tc>
        <w:tc>
          <w:tcPr/>
          <w:p>
            <w:pPr>
              <w:pStyle w:val="TableTextSmall"/>
            </w:pPr>
            <w:r>
              <w:t xml:space="preserve">Every material edge can display provenance/confidence.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F-GRF-002</w:t>
            </w:r>
          </w:p>
        </w:tc>
        <w:tc>
          <w:tcPr/>
          <w:p>
            <w:pPr>
              <w:pStyle w:val="TableTextSmall"/>
            </w:pPr>
            <w:r>
              <w:t xml:space="preserve">Path finding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Find paths between two entities under permission and relationship filters.</w:t>
            </w:r>
          </w:p>
        </w:tc>
        <w:tc>
          <w:tcPr/>
          <w:p>
            <w:pPr>
              <w:pStyle w:val="TableTextSmall"/>
            </w:pPr>
            <w:r>
              <w:t xml:space="preserve">Relationship</w:t>
            </w:r>
          </w:p>
        </w:tc>
        <w:tc>
          <w:tcPr/>
          <w:p>
            <w:pPr>
              <w:pStyle w:val="TableTextSmall"/>
            </w:pPr>
            <w:r>
              <w:t xml:space="preserve">TEC-02</w:t>
            </w:r>
          </w:p>
        </w:tc>
        <w:tc>
          <w:tcPr/>
          <w:p>
            <w:pPr>
              <w:pStyle w:val="TableTextSmall"/>
            </w:pPr>
            <w:r>
              <w:t xml:space="preserve">Path result is labelled analytical output, not proof of association beyond underlying edges.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F-GRF-003</w:t>
            </w:r>
          </w:p>
        </w:tc>
        <w:tc>
          <w:tcPr/>
          <w:p>
            <w:pPr>
              <w:pStyle w:val="TableTextSmall"/>
            </w:pPr>
            <w:r>
              <w:t xml:space="preserve">Network metrics</w:t>
            </w:r>
          </w:p>
        </w:tc>
        <w:tc>
          <w:tcPr/>
          <w:p>
            <w:pPr>
              <w:pStyle w:val="TableTextSmall"/>
            </w:pPr>
            <w:r>
              <w:t xml:space="preserve">P2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Run centrality, community and cluster analytics as assistive signals.</w:t>
            </w:r>
          </w:p>
        </w:tc>
        <w:tc>
          <w:tcPr/>
          <w:p>
            <w:pPr>
              <w:pStyle w:val="TableTextSmall"/>
            </w:pPr>
            <w:r>
              <w:t xml:space="preserve">DerivedAnalytics</w:t>
            </w:r>
          </w:p>
        </w:tc>
        <w:tc>
          <w:tcPr/>
          <w:p>
            <w:pPr>
              <w:pStyle w:val="TableTextSmall"/>
            </w:pPr>
            <w:r>
              <w:t xml:space="preserve">TEC-02</w:t>
            </w:r>
          </w:p>
        </w:tc>
        <w:tc>
          <w:tcPr/>
          <w:p>
            <w:pPr>
              <w:pStyle w:val="TableTextSmall"/>
            </w:pPr>
            <w:r>
              <w:t xml:space="preserve">Algorithm/version/input scope are recorded and outputs cannot become facts automatically.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F-SCH-003</w:t>
            </w:r>
          </w:p>
        </w:tc>
        <w:tc>
          <w:tcPr/>
          <w:p>
            <w:pPr>
              <w:pStyle w:val="TableTextSmall"/>
            </w:pPr>
            <w:r>
              <w:t xml:space="preserve">Saved searches / watch queries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Save recurring case-scoped queries and notify when new authorised data matches.</w:t>
            </w:r>
          </w:p>
        </w:tc>
        <w:tc>
          <w:tcPr/>
          <w:p>
            <w:pPr>
              <w:pStyle w:val="TableTextSmall"/>
            </w:pPr>
            <w:r>
              <w:t xml:space="preserve">SavedQuery</w:t>
            </w:r>
          </w:p>
        </w:tc>
        <w:tc>
          <w:tcPr/>
          <w:p>
            <w:pPr>
              <w:pStyle w:val="TableTextSmall"/>
            </w:pPr>
            <w:r>
              <w:t xml:space="preserve">SEC-01</w:t>
            </w:r>
          </w:p>
        </w:tc>
        <w:tc>
          <w:tcPr/>
          <w:p>
            <w:pPr>
              <w:pStyle w:val="TableTextSmall"/>
            </w:pPr>
            <w:r>
              <w:t xml:space="preserve">Watch query scope inherits case permissions and can be disabled.</w:t>
            </w:r>
          </w:p>
        </w:tc>
      </w:tr>
    </w:tbl>
    <w:bookmarkEnd w:id="26"/>
    <w:bookmarkStart w:id="27" w:name="cap-11--intelligence-products--review"/>
    <w:p>
      <w:pPr>
        <w:pStyle w:val="Heading2"/>
      </w:pPr>
      <w:r>
        <w:t xml:space="preserve">CAP-11 — Intelligence Products &amp;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8"/>
        <w:gridCol w:w="944"/>
        <w:gridCol w:w="325"/>
        <w:gridCol w:w="669"/>
        <w:gridCol w:w="1880"/>
        <w:gridCol w:w="1425"/>
        <w:gridCol w:w="600"/>
        <w:gridCol w:w="1334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F-PRD-001</w:t>
            </w:r>
          </w:p>
        </w:tc>
        <w:tc>
          <w:tcPr/>
          <w:p>
            <w:pPr>
              <w:pStyle w:val="TableTextSmall"/>
            </w:pPr>
            <w:r>
              <w:t xml:space="preserve">Intelligence product templates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Generate Financial Intelligence Note, Entity Profile, Asset Profile, Network Analysis, Referral Package and Case Report.</w:t>
            </w:r>
          </w:p>
        </w:tc>
        <w:tc>
          <w:tcPr/>
          <w:p>
            <w:pPr>
              <w:pStyle w:val="TableTextSmall"/>
            </w:pPr>
            <w:r>
              <w:t xml:space="preserve">IntelligenceProduct</w:t>
            </w:r>
          </w:p>
        </w:tc>
        <w:tc>
          <w:tcPr/>
          <w:p>
            <w:pPr>
              <w:pStyle w:val="TableTextSmall"/>
            </w:pPr>
            <w:r>
              <w:t xml:space="preserve">ASM-01,DIS-01</w:t>
            </w:r>
          </w:p>
        </w:tc>
        <w:tc>
          <w:tcPr/>
          <w:p>
            <w:pPr>
              <w:pStyle w:val="TableTextSmall"/>
            </w:pPr>
            <w:r>
              <w:t xml:space="preserve">Product embeds version, classification, author/reviewer and evidence index.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F-REV-001</w:t>
            </w:r>
          </w:p>
        </w:tc>
        <w:tc>
          <w:tcPr/>
          <w:p>
            <w:pPr>
              <w:pStyle w:val="TableTextSmall"/>
            </w:pPr>
            <w:r>
              <w:t xml:space="preserve">Peer review workflow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Reviewer</w:t>
            </w:r>
          </w:p>
        </w:tc>
        <w:tc>
          <w:tcPr/>
          <w:p>
            <w:pPr>
              <w:pStyle w:val="TableTextSmall"/>
            </w:pPr>
            <w:r>
              <w:t xml:space="preserve">Comment, request change, approve or reject high-impact products.</w:t>
            </w:r>
          </w:p>
        </w:tc>
        <w:tc>
          <w:tcPr/>
          <w:p>
            <w:pPr>
              <w:pStyle w:val="TableTextSmall"/>
            </w:pPr>
            <w:r>
              <w:t xml:space="preserve">Review</w:t>
            </w:r>
          </w:p>
        </w:tc>
        <w:tc>
          <w:tcPr/>
          <w:p>
            <w:pPr>
              <w:pStyle w:val="TableTextSmall"/>
            </w:pPr>
            <w:r>
              <w:t xml:space="preserve">QUA-01</w:t>
            </w:r>
          </w:p>
        </w:tc>
        <w:tc>
          <w:tcPr/>
          <w:p>
            <w:pPr>
              <w:pStyle w:val="TableTextSmall"/>
            </w:pPr>
            <w:r>
              <w:t xml:space="preserve">Final approval is attributable and separate from author where required.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F-REV-002</w:t>
            </w:r>
          </w:p>
        </w:tc>
        <w:tc>
          <w:tcPr/>
          <w:p>
            <w:pPr>
              <w:pStyle w:val="TableTextSmall"/>
            </w:pPr>
            <w:r>
              <w:t xml:space="preserve">Red-team review checklist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Reviewer</w:t>
            </w:r>
          </w:p>
        </w:tc>
        <w:tc>
          <w:tcPr/>
          <w:p>
            <w:pPr>
              <w:pStyle w:val="TableTextSmall"/>
            </w:pPr>
            <w:r>
              <w:t xml:space="preserve">Challenge identity, evidence, alternatives, confidence and potential harm.</w:t>
            </w:r>
          </w:p>
        </w:tc>
        <w:tc>
          <w:tcPr/>
          <w:p>
            <w:pPr>
              <w:pStyle w:val="TableTextSmall"/>
            </w:pPr>
            <w:r>
              <w:t xml:space="preserve">Review</w:t>
            </w:r>
          </w:p>
        </w:tc>
        <w:tc>
          <w:tcPr/>
          <w:p>
            <w:pPr>
              <w:pStyle w:val="TableTextSmall"/>
            </w:pPr>
            <w:r>
              <w:t xml:space="preserve">QUA-01,HYP-02</w:t>
            </w:r>
          </w:p>
        </w:tc>
        <w:tc>
          <w:tcPr/>
          <w:p>
            <w:pPr>
              <w:pStyle w:val="TableTextSmall"/>
            </w:pPr>
            <w:r>
              <w:t xml:space="preserve">Checklist result is retained with product version.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F-PRD-002</w:t>
            </w:r>
          </w:p>
        </w:tc>
        <w:tc>
          <w:tcPr/>
          <w:p>
            <w:pPr>
              <w:pStyle w:val="TableTextSmall"/>
            </w:pPr>
            <w:r>
              <w:t xml:space="preserve">Product versioning / corrections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Issue revised/corrected versions without deleting prior product history.</w:t>
            </w:r>
          </w:p>
        </w:tc>
        <w:tc>
          <w:tcPr/>
          <w:p>
            <w:pPr>
              <w:pStyle w:val="TableTextSmall"/>
            </w:pPr>
            <w:r>
              <w:t xml:space="preserve">IntelligenceProduct</w:t>
            </w:r>
          </w:p>
        </w:tc>
        <w:tc>
          <w:tcPr/>
          <w:p>
            <w:pPr>
              <w:pStyle w:val="TableTextSmall"/>
            </w:pPr>
            <w:r>
              <w:t xml:space="preserve">AUD-01</w:t>
            </w:r>
          </w:p>
        </w:tc>
        <w:tc>
          <w:tcPr/>
          <w:p>
            <w:pPr>
              <w:pStyle w:val="TableTextSmall"/>
            </w:pPr>
            <w:r>
              <w:t xml:space="preserve">Recipients can distinguish superseded from current versions.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F-PRD-003</w:t>
            </w:r>
          </w:p>
        </w:tc>
        <w:tc>
          <w:tcPr/>
          <w:p>
            <w:pPr>
              <w:pStyle w:val="TableTextSmall"/>
            </w:pPr>
            <w:r>
              <w:t xml:space="preserve">Evidence index generation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Generate evidence/source references supporting material findings.</w:t>
            </w:r>
          </w:p>
        </w:tc>
        <w:tc>
          <w:tcPr/>
          <w:p>
            <w:pPr>
              <w:pStyle w:val="TableTextSmall"/>
            </w:pPr>
            <w:r>
              <w:t xml:space="preserve">IntelligenceProduct,EvidenceItem</w:t>
            </w:r>
          </w:p>
        </w:tc>
        <w:tc>
          <w:tcPr/>
          <w:p>
            <w:pPr>
              <w:pStyle w:val="TableTextSmall"/>
            </w:pPr>
            <w:r>
              <w:t xml:space="preserve">SRC-01,EVD-02</w:t>
            </w:r>
          </w:p>
        </w:tc>
        <w:tc>
          <w:tcPr/>
          <w:p>
            <w:pPr>
              <w:pStyle w:val="TableTextSmall"/>
            </w:pPr>
            <w:r>
              <w:t xml:space="preserve">Every key fact can be traced from product to evidence.</w:t>
            </w:r>
          </w:p>
        </w:tc>
      </w:tr>
    </w:tbl>
    <w:bookmarkEnd w:id="27"/>
    <w:bookmarkStart w:id="28" w:name="cap-12--dissemination--referral"/>
    <w:p>
      <w:pPr>
        <w:pStyle w:val="Heading2"/>
      </w:pPr>
      <w:r>
        <w:t xml:space="preserve">CAP-12 — Dissemination &amp; Referral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0"/>
        <w:gridCol w:w="1003"/>
        <w:gridCol w:w="322"/>
        <w:gridCol w:w="594"/>
        <w:gridCol w:w="1893"/>
        <w:gridCol w:w="1411"/>
        <w:gridCol w:w="594"/>
        <w:gridCol w:w="1368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F-DIS-001</w:t>
            </w:r>
          </w:p>
        </w:tc>
        <w:tc>
          <w:tcPr/>
          <w:p>
            <w:pPr>
              <w:pStyle w:val="TableTextSmall"/>
            </w:pPr>
            <w:r>
              <w:t xml:space="preserve">Dissemination approval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Case Owner</w:t>
            </w:r>
          </w:p>
        </w:tc>
        <w:tc>
          <w:tcPr/>
          <w:p>
            <w:pPr>
              <w:pStyle w:val="TableTextSmall"/>
            </w:pPr>
            <w:r>
              <w:t xml:space="preserve">Approve external sharing with handling classification and intended recipient.</w:t>
            </w:r>
          </w:p>
        </w:tc>
        <w:tc>
          <w:tcPr/>
          <w:p>
            <w:pPr>
              <w:pStyle w:val="TableTextSmall"/>
            </w:pPr>
            <w:r>
              <w:t xml:space="preserve">Dissemination</w:t>
            </w:r>
          </w:p>
        </w:tc>
        <w:tc>
          <w:tcPr/>
          <w:p>
            <w:pPr>
              <w:pStyle w:val="TableTextSmall"/>
            </w:pPr>
            <w:r>
              <w:t xml:space="preserve">DIS-01</w:t>
            </w:r>
          </w:p>
        </w:tc>
        <w:tc>
          <w:tcPr/>
          <w:p>
            <w:pPr>
              <w:pStyle w:val="TableTextSmall"/>
            </w:pPr>
            <w:r>
              <w:t xml:space="preserve">External export is blocked until required approval is present.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F-DIS-002</w:t>
            </w:r>
          </w:p>
        </w:tc>
        <w:tc>
          <w:tcPr/>
          <w:p>
            <w:pPr>
              <w:pStyle w:val="TableTextSmall"/>
            </w:pPr>
            <w:r>
              <w:t xml:space="preserve">Secure export package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Export approved report and evidence index with minimisation/redaction.</w:t>
            </w:r>
          </w:p>
        </w:tc>
        <w:tc>
          <w:tcPr/>
          <w:p>
            <w:pPr>
              <w:pStyle w:val="TableTextSmall"/>
            </w:pPr>
            <w:r>
              <w:t xml:space="preserve">Dissemination,IntelligenceProduct</w:t>
            </w:r>
          </w:p>
        </w:tc>
        <w:tc>
          <w:tcPr/>
          <w:p>
            <w:pPr>
              <w:pStyle w:val="TableTextSmall"/>
            </w:pPr>
            <w:r>
              <w:t xml:space="preserve">DIS-01,PRI-01</w:t>
            </w:r>
          </w:p>
        </w:tc>
        <w:tc>
          <w:tcPr/>
          <w:p>
            <w:pPr>
              <w:pStyle w:val="TableTextSmall"/>
            </w:pPr>
            <w:r>
              <w:t xml:space="preserve">Export records included objects and excludes unauthorised restricted content.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F-DIS-003</w:t>
            </w:r>
          </w:p>
        </w:tc>
        <w:tc>
          <w:tcPr/>
          <w:p>
            <w:pPr>
              <w:pStyle w:val="TableTextSmall"/>
            </w:pPr>
            <w:r>
              <w:t xml:space="preserve">Referral package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Produce structured referral containing subjects, facts, evidence, timeline, flows, indicators, gaps and contact point.</w:t>
            </w:r>
          </w:p>
        </w:tc>
        <w:tc>
          <w:tcPr/>
          <w:p>
            <w:pPr>
              <w:pStyle w:val="TableTextSmall"/>
            </w:pPr>
            <w:r>
              <w:t xml:space="preserve">IntelligenceProduct,Dissemination</w:t>
            </w:r>
          </w:p>
        </w:tc>
        <w:tc>
          <w:tcPr/>
          <w:p>
            <w:pPr>
              <w:pStyle w:val="TableTextSmall"/>
            </w:pPr>
            <w:r>
              <w:t xml:space="preserve">DIS-01</w:t>
            </w:r>
          </w:p>
        </w:tc>
        <w:tc>
          <w:tcPr/>
          <w:p>
            <w:pPr>
              <w:pStyle w:val="TableTextSmall"/>
            </w:pPr>
            <w:r>
              <w:t xml:space="preserve">Referral distinguishes known facts from analysis and unknowns.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F-DIS-004</w:t>
            </w:r>
          </w:p>
        </w:tc>
        <w:tc>
          <w:tcPr/>
          <w:p>
            <w:pPr>
              <w:pStyle w:val="TableTextSmall"/>
            </w:pPr>
            <w:r>
              <w:t xml:space="preserve">Sharing log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Case Owner</w:t>
            </w:r>
          </w:p>
        </w:tc>
        <w:tc>
          <w:tcPr/>
          <w:p>
            <w:pPr>
              <w:pStyle w:val="TableTextSmall"/>
            </w:pPr>
            <w:r>
              <w:t xml:space="preserve">Record who received what version, when, purpose and restrictions.</w:t>
            </w:r>
          </w:p>
        </w:tc>
        <w:tc>
          <w:tcPr/>
          <w:p>
            <w:pPr>
              <w:pStyle w:val="TableTextSmall"/>
            </w:pPr>
            <w:r>
              <w:t xml:space="preserve">Dissemination</w:t>
            </w:r>
          </w:p>
        </w:tc>
        <w:tc>
          <w:tcPr/>
          <w:p>
            <w:pPr>
              <w:pStyle w:val="TableTextSmall"/>
            </w:pPr>
            <w:r>
              <w:t xml:space="preserve">DIS-01,AUD-01</w:t>
            </w:r>
          </w:p>
        </w:tc>
        <w:tc>
          <w:tcPr/>
          <w:p>
            <w:pPr>
              <w:pStyle w:val="TableTextSmall"/>
            </w:pPr>
            <w:r>
              <w:t xml:space="preserve">Log is immutable to ordinary analysts.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F-DIS-005</w:t>
            </w:r>
          </w:p>
        </w:tc>
        <w:tc>
          <w:tcPr/>
          <w:p>
            <w:pPr>
              <w:pStyle w:val="TableTextSmall"/>
            </w:pPr>
            <w:r>
              <w:t xml:space="preserve">Partner workspace / federation</w:t>
            </w:r>
          </w:p>
        </w:tc>
        <w:tc>
          <w:tcPr/>
          <w:p>
            <w:pPr>
              <w:pStyle w:val="TableTextSmall"/>
            </w:pPr>
            <w:r>
              <w:t xml:space="preserve">P2</w:t>
            </w:r>
          </w:p>
        </w:tc>
        <w:tc>
          <w:tcPr/>
          <w:p>
            <w:pPr>
              <w:pStyle w:val="TableTextSmall"/>
            </w:pPr>
            <w:r>
              <w:t xml:space="preserve">Partner</w:t>
            </w:r>
          </w:p>
        </w:tc>
        <w:tc>
          <w:tcPr/>
          <w:p>
            <w:pPr>
              <w:pStyle w:val="TableTextSmall"/>
            </w:pPr>
            <w:r>
              <w:t xml:space="preserve">Share selected objects/products with controlled partner environment.</w:t>
            </w:r>
          </w:p>
        </w:tc>
        <w:tc>
          <w:tcPr/>
          <w:p>
            <w:pPr>
              <w:pStyle w:val="TableTextSmall"/>
            </w:pPr>
            <w:r>
              <w:t xml:space="preserve">SharedObject</w:t>
            </w:r>
          </w:p>
        </w:tc>
        <w:tc>
          <w:tcPr/>
          <w:p>
            <w:pPr>
              <w:pStyle w:val="TableTextSmall"/>
            </w:pPr>
            <w:r>
              <w:t xml:space="preserve">SEC-01,DIS-01</w:t>
            </w:r>
          </w:p>
        </w:tc>
        <w:tc>
          <w:tcPr/>
          <w:p>
            <w:pPr>
              <w:pStyle w:val="TableTextSmall"/>
            </w:pPr>
            <w:r>
              <w:t xml:space="preserve">Sharing is explicit object-level allowlist; no implicit case replication.</w:t>
            </w:r>
          </w:p>
        </w:tc>
      </w:tr>
    </w:tbl>
    <w:bookmarkEnd w:id="28"/>
    <w:bookmarkStart w:id="29" w:name="cap-13--administration--governance"/>
    <w:p>
      <w:pPr>
        <w:pStyle w:val="Heading2"/>
      </w:pPr>
      <w:r>
        <w:t xml:space="preserve">CAP-13 — Administration &amp;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1116"/>
        <w:gridCol w:w="336"/>
        <w:gridCol w:w="690"/>
        <w:gridCol w:w="1762"/>
        <w:gridCol w:w="1187"/>
        <w:gridCol w:w="619"/>
        <w:gridCol w:w="1445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F-ADM-001</w:t>
            </w:r>
          </w:p>
        </w:tc>
        <w:tc>
          <w:tcPr/>
          <w:p>
            <w:pPr>
              <w:pStyle w:val="TableTextSmall"/>
            </w:pPr>
            <w:r>
              <w:t xml:space="preserve">Controlled vocabulary administration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Admin</w:t>
            </w:r>
          </w:p>
        </w:tc>
        <w:tc>
          <w:tcPr/>
          <w:p>
            <w:pPr>
              <w:pStyle w:val="TableTextSmall"/>
            </w:pPr>
            <w:r>
              <w:t xml:space="preserve">Manage relationship types, asset types, statuses and classifications with versioning.</w:t>
            </w:r>
          </w:p>
        </w:tc>
        <w:tc>
          <w:tcPr/>
          <w:p>
            <w:pPr>
              <w:pStyle w:val="TableTextSmall"/>
            </w:pPr>
            <w:r>
              <w:t xml:space="preserve">Vocabulary</w:t>
            </w:r>
          </w:p>
        </w:tc>
        <w:tc>
          <w:tcPr/>
          <w:p>
            <w:pPr>
              <w:pStyle w:val="TableTextSmall"/>
            </w:pPr>
            <w:r>
              <w:t xml:space="preserve">AUD-01</w:t>
            </w:r>
          </w:p>
        </w:tc>
        <w:tc>
          <w:tcPr/>
          <w:p>
            <w:pPr>
              <w:pStyle w:val="TableTextSmall"/>
            </w:pPr>
            <w:r>
              <w:t xml:space="preserve">Historical records preserve original term/version semantics.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F-ADM-002</w:t>
            </w:r>
          </w:p>
        </w:tc>
        <w:tc>
          <w:tcPr/>
          <w:p>
            <w:pPr>
              <w:pStyle w:val="TableTextSmall"/>
            </w:pPr>
            <w:r>
              <w:t xml:space="preserve">Template administration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Admin</w:t>
            </w:r>
          </w:p>
        </w:tc>
        <w:tc>
          <w:tcPr/>
          <w:p>
            <w:pPr>
              <w:pStyle w:val="TableTextSmall"/>
            </w:pPr>
            <w:r>
              <w:t xml:space="preserve">Configure case, review and report templates.</w:t>
            </w:r>
          </w:p>
        </w:tc>
        <w:tc>
          <w:tcPr/>
          <w:p>
            <w:pPr>
              <w:pStyle w:val="TableTextSmall"/>
            </w:pPr>
            <w:r>
              <w:t xml:space="preserve">Template</w:t>
            </w:r>
          </w:p>
        </w:tc>
        <w:tc>
          <w:tcPr/>
          <w:p>
            <w:pPr>
              <w:pStyle w:val="TableTextSmall"/>
            </w:pPr>
            <w:r>
              <w:t xml:space="preserve">AUD-01</w:t>
            </w:r>
          </w:p>
        </w:tc>
        <w:tc>
          <w:tcPr/>
          <w:p>
            <w:pPr>
              <w:pStyle w:val="TableTextSmall"/>
            </w:pPr>
            <w:r>
              <w:t xml:space="preserve">Template changes are versioned and do not rewrite historical products.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F-ADM-003</w:t>
            </w:r>
          </w:p>
        </w:tc>
        <w:tc>
          <w:tcPr/>
          <w:p>
            <w:pPr>
              <w:pStyle w:val="TableTextSmall"/>
            </w:pPr>
            <w:r>
              <w:t xml:space="preserve">Retention policies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Admin/Privacy</w:t>
            </w:r>
          </w:p>
        </w:tc>
        <w:tc>
          <w:tcPr/>
          <w:p>
            <w:pPr>
              <w:pStyle w:val="TableTextSmall"/>
            </w:pPr>
            <w:r>
              <w:t xml:space="preserve">Configure retention/disposition by classification and object type.</w:t>
            </w:r>
          </w:p>
        </w:tc>
        <w:tc>
          <w:tcPr/>
          <w:p>
            <w:pPr>
              <w:pStyle w:val="TableTextSmall"/>
            </w:pPr>
            <w:r>
              <w:t xml:space="preserve">RetentionPolicy</w:t>
            </w:r>
          </w:p>
        </w:tc>
        <w:tc>
          <w:tcPr/>
          <w:p>
            <w:pPr>
              <w:pStyle w:val="TableTextSmall"/>
            </w:pPr>
            <w:r>
              <w:t xml:space="preserve">PRI-02</w:t>
            </w:r>
          </w:p>
        </w:tc>
        <w:tc>
          <w:tcPr/>
          <w:p>
            <w:pPr>
              <w:pStyle w:val="TableTextSmall"/>
            </w:pPr>
            <w:r>
              <w:t xml:space="preserve">Policy execution can be previewed and audited.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F-ADM-004</w:t>
            </w:r>
          </w:p>
        </w:tc>
        <w:tc>
          <w:tcPr/>
          <w:p>
            <w:pPr>
              <w:pStyle w:val="TableTextSmall"/>
            </w:pPr>
            <w:r>
              <w:t xml:space="preserve">Feature flags / environment policy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Platform Admin</w:t>
            </w:r>
          </w:p>
        </w:tc>
        <w:tc>
          <w:tcPr/>
          <w:p>
            <w:pPr>
              <w:pStyle w:val="TableTextSmall"/>
            </w:pPr>
            <w:r>
              <w:t xml:space="preserve">Enable high-risk capabilities (AI, external connectors, federation) per deployment.</w:t>
            </w:r>
          </w:p>
        </w:tc>
        <w:tc>
          <w:tcPr/>
          <w:p>
            <w:pPr>
              <w:pStyle w:val="TableTextSmall"/>
            </w:pPr>
            <w:r>
              <w:t xml:space="preserve">SystemPolicy</w:t>
            </w:r>
          </w:p>
        </w:tc>
        <w:tc>
          <w:tcPr/>
          <w:p>
            <w:pPr>
              <w:pStyle w:val="TableTextSmall"/>
            </w:pPr>
            <w:r>
              <w:t xml:space="preserve">SEC-01</w:t>
            </w:r>
          </w:p>
        </w:tc>
        <w:tc>
          <w:tcPr/>
          <w:p>
            <w:pPr>
              <w:pStyle w:val="TableTextSmall"/>
            </w:pPr>
            <w:r>
              <w:t xml:space="preserve">Disabled capability cannot be bypassed through API.</w:t>
            </w:r>
          </w:p>
        </w:tc>
      </w:tr>
    </w:tbl>
    <w:bookmarkEnd w:id="29"/>
    <w:bookmarkStart w:id="30" w:name="cap-14--security--audit--operations"/>
    <w:p>
      <w:pPr>
        <w:pStyle w:val="Heading2"/>
      </w:pPr>
      <w:r>
        <w:t xml:space="preserve">CAP-14 — Security / Audit /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6"/>
        <w:gridCol w:w="1183"/>
        <w:gridCol w:w="316"/>
        <w:gridCol w:w="649"/>
        <w:gridCol w:w="1816"/>
        <w:gridCol w:w="1183"/>
        <w:gridCol w:w="582"/>
        <w:gridCol w:w="1471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F-SEC-001</w:t>
            </w:r>
          </w:p>
        </w:tc>
        <w:tc>
          <w:tcPr/>
          <w:p>
            <w:pPr>
              <w:pStyle w:val="TableTextSmall"/>
            </w:pPr>
            <w:r>
              <w:t xml:space="preserve">OIDC authentication + MFA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All users</w:t>
            </w:r>
          </w:p>
        </w:tc>
        <w:tc>
          <w:tcPr/>
          <w:p>
            <w:pPr>
              <w:pStyle w:val="TableTextSmall"/>
            </w:pPr>
            <w:r>
              <w:t xml:space="preserve">Authenticate through organisation identity provider with MFA where required.</w:t>
            </w:r>
          </w:p>
        </w:tc>
        <w:tc>
          <w:tcPr/>
          <w:p>
            <w:pPr>
              <w:pStyle w:val="TableTextSmall"/>
            </w:pPr>
            <w:r>
              <w:t xml:space="preserve">User,Session</w:t>
            </w:r>
          </w:p>
        </w:tc>
        <w:tc>
          <w:tcPr/>
          <w:p>
            <w:pPr>
              <w:pStyle w:val="TableTextSmall"/>
            </w:pPr>
            <w:r>
              <w:t xml:space="preserve">SEC-01</w:t>
            </w:r>
          </w:p>
        </w:tc>
        <w:tc>
          <w:tcPr/>
          <w:p>
            <w:pPr>
              <w:pStyle w:val="TableTextSmall"/>
            </w:pPr>
            <w:r>
              <w:t xml:space="preserve">Disabled user loses access; session policy enforced.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F-SEC-002</w:t>
            </w:r>
          </w:p>
        </w:tc>
        <w:tc>
          <w:tcPr/>
          <w:p>
            <w:pPr>
              <w:pStyle w:val="TableTextSmall"/>
            </w:pPr>
            <w:r>
              <w:t xml:space="preserve">Role and object-level access control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Security Admin</w:t>
            </w:r>
          </w:p>
        </w:tc>
        <w:tc>
          <w:tcPr/>
          <w:p>
            <w:pPr>
              <w:pStyle w:val="TableTextSmall"/>
            </w:pPr>
            <w:r>
              <w:t xml:space="preserve">Restrict access by role, case membership, classification and need-to-know.</w:t>
            </w:r>
          </w:p>
        </w:tc>
        <w:tc>
          <w:tcPr/>
          <w:p>
            <w:pPr>
              <w:pStyle w:val="TableTextSmall"/>
            </w:pPr>
            <w:r>
              <w:t xml:space="preserve">AccessPolicy</w:t>
            </w:r>
          </w:p>
        </w:tc>
        <w:tc>
          <w:tcPr/>
          <w:p>
            <w:pPr>
              <w:pStyle w:val="TableTextSmall"/>
            </w:pPr>
            <w:r>
              <w:t xml:space="preserve">SEC-01,SEC-02</w:t>
            </w:r>
          </w:p>
        </w:tc>
        <w:tc>
          <w:tcPr/>
          <w:p>
            <w:pPr>
              <w:pStyle w:val="TableTextSmall"/>
            </w:pPr>
            <w:r>
              <w:t xml:space="preserve">API and UI enforce the same authorisation decision.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F-SEC-003</w:t>
            </w:r>
          </w:p>
        </w:tc>
        <w:tc>
          <w:tcPr/>
          <w:p>
            <w:pPr>
              <w:pStyle w:val="TableTextSmall"/>
            </w:pPr>
            <w:r>
              <w:t xml:space="preserve">Protected-source compartment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Source Handler</w:t>
            </w:r>
          </w:p>
        </w:tc>
        <w:tc>
          <w:tcPr/>
          <w:p>
            <w:pPr>
              <w:pStyle w:val="TableTextSmall"/>
            </w:pPr>
            <w:r>
              <w:t xml:space="preserve">Store protected source identity separately with restricted access.</w:t>
            </w:r>
          </w:p>
        </w:tc>
        <w:tc>
          <w:tcPr/>
          <w:p>
            <w:pPr>
              <w:pStyle w:val="TableTextSmall"/>
            </w:pPr>
            <w:r>
              <w:t xml:space="preserve">ProtectedSource</w:t>
            </w:r>
          </w:p>
        </w:tc>
        <w:tc>
          <w:tcPr/>
          <w:p>
            <w:pPr>
              <w:pStyle w:val="TableTextSmall"/>
            </w:pPr>
            <w:r>
              <w:t xml:space="preserve">SEC-02</w:t>
            </w:r>
          </w:p>
        </w:tc>
        <w:tc>
          <w:tcPr/>
          <w:p>
            <w:pPr>
              <w:pStyle w:val="TableTextSmall"/>
            </w:pPr>
            <w:r>
              <w:t xml:space="preserve">Routine analysts can use source-derived evidence without automatically seeing identity.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F-AUD-001</w:t>
            </w:r>
          </w:p>
        </w:tc>
        <w:tc>
          <w:tcPr/>
          <w:p>
            <w:pPr>
              <w:pStyle w:val="TableTextSmall"/>
            </w:pPr>
            <w:r>
              <w:t xml:space="preserve">Immutable audit trail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Auditor</w:t>
            </w:r>
          </w:p>
        </w:tc>
        <w:tc>
          <w:tcPr/>
          <w:p>
            <w:pPr>
              <w:pStyle w:val="TableTextSmall"/>
            </w:pPr>
            <w:r>
              <w:t xml:space="preserve">Record material create/update/delete/merge/review/export actions.</w:t>
            </w:r>
          </w:p>
        </w:tc>
        <w:tc>
          <w:tcPr/>
          <w:p>
            <w:pPr>
              <w:pStyle w:val="TableTextSmall"/>
            </w:pPr>
            <w:r>
              <w:t xml:space="preserve">AuditEvent</w:t>
            </w:r>
          </w:p>
        </w:tc>
        <w:tc>
          <w:tcPr/>
          <w:p>
            <w:pPr>
              <w:pStyle w:val="TableTextSmall"/>
            </w:pPr>
            <w:r>
              <w:t xml:space="preserve">AUD-01</w:t>
            </w:r>
          </w:p>
        </w:tc>
        <w:tc>
          <w:tcPr/>
          <w:p>
            <w:pPr>
              <w:pStyle w:val="TableTextSmall"/>
            </w:pPr>
            <w:r>
              <w:t xml:space="preserve">Ordinary users cannot edit audit events.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F-OPS-001</w:t>
            </w:r>
          </w:p>
        </w:tc>
        <w:tc>
          <w:tcPr/>
          <w:p>
            <w:pPr>
              <w:pStyle w:val="TableTextSmall"/>
            </w:pPr>
            <w:r>
              <w:t xml:space="preserve">Backup and restore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Security Admin</w:t>
            </w:r>
          </w:p>
        </w:tc>
        <w:tc>
          <w:tcPr/>
          <w:p>
            <w:pPr>
              <w:pStyle w:val="TableTextSmall"/>
            </w:pPr>
            <w:r>
              <w:t xml:space="preserve">Back up canonical DB, evidence and configuration; test restore.</w:t>
            </w:r>
          </w:p>
        </w:tc>
        <w:tc>
          <w:tcPr/>
          <w:p>
            <w:pPr>
              <w:pStyle w:val="TableTextSmall"/>
            </w:pPr>
            <w:r>
              <w:t xml:space="preserve">BackupRecord</w:t>
            </w:r>
          </w:p>
        </w:tc>
        <w:tc>
          <w:tcPr/>
          <w:p>
            <w:pPr>
              <w:pStyle w:val="TableTextSmall"/>
            </w:pPr>
            <w:r>
              <w:t xml:space="preserve">SEC-01</w:t>
            </w:r>
          </w:p>
        </w:tc>
        <w:tc>
          <w:tcPr/>
          <w:p>
            <w:pPr>
              <w:pStyle w:val="TableTextSmall"/>
            </w:pPr>
            <w:r>
              <w:t xml:space="preserve">Restore test is documented at defined interval.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F-OPS-002</w:t>
            </w:r>
          </w:p>
        </w:tc>
        <w:tc>
          <w:tcPr/>
          <w:p>
            <w:pPr>
              <w:pStyle w:val="TableTextSmall"/>
            </w:pPr>
            <w:r>
              <w:t xml:space="preserve">Operational monitoring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Platform Admin</w:t>
            </w:r>
          </w:p>
        </w:tc>
        <w:tc>
          <w:tcPr/>
          <w:p>
            <w:pPr>
              <w:pStyle w:val="TableTextSmall"/>
            </w:pPr>
            <w:r>
              <w:t xml:space="preserve">Monitor health, errors, jobs, capacity and security events without logging sensitive evidence content.</w:t>
            </w:r>
          </w:p>
        </w:tc>
        <w:tc>
          <w:tcPr/>
          <w:p>
            <w:pPr>
              <w:pStyle w:val="TableTextSmall"/>
            </w:pPr>
            <w:r>
              <w:t xml:space="preserve">OperationalEvent</w:t>
            </w:r>
          </w:p>
        </w:tc>
        <w:tc>
          <w:tcPr/>
          <w:p>
            <w:pPr>
              <w:pStyle w:val="TableTextSmall"/>
            </w:pPr>
            <w:r>
              <w:t xml:space="preserve">SEC-01</w:t>
            </w:r>
          </w:p>
        </w:tc>
        <w:tc>
          <w:tcPr/>
          <w:p>
            <w:pPr>
              <w:pStyle w:val="TableTextSmall"/>
            </w:pPr>
            <w:r>
              <w:t xml:space="preserve">Observability redacts/avoids case-sensitive payloads.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F-OPS-003</w:t>
            </w:r>
          </w:p>
        </w:tc>
        <w:tc>
          <w:tcPr/>
          <w:p>
            <w:pPr>
              <w:pStyle w:val="TableTextSmall"/>
            </w:pPr>
            <w:r>
              <w:t xml:space="preserve">Incident response support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Security Admin</w:t>
            </w:r>
          </w:p>
        </w:tc>
        <w:tc>
          <w:tcPr/>
          <w:p>
            <w:pPr>
              <w:pStyle w:val="TableTextSmall"/>
            </w:pPr>
            <w:r>
              <w:t xml:space="preserve">Record security incidents affecting sources, evidence, accounts or exports.</w:t>
            </w:r>
          </w:p>
        </w:tc>
        <w:tc>
          <w:tcPr/>
          <w:p>
            <w:pPr>
              <w:pStyle w:val="TableTextSmall"/>
            </w:pPr>
            <w:r>
              <w:t xml:space="preserve">SecurityIncident</w:t>
            </w:r>
          </w:p>
        </w:tc>
        <w:tc>
          <w:tcPr/>
          <w:p>
            <w:pPr>
              <w:pStyle w:val="TableTextSmall"/>
            </w:pPr>
            <w:r>
              <w:t xml:space="preserve">SEC-02</w:t>
            </w:r>
          </w:p>
        </w:tc>
        <w:tc>
          <w:tcPr/>
          <w:p>
            <w:pPr>
              <w:pStyle w:val="TableTextSmall"/>
            </w:pPr>
            <w:r>
              <w:t xml:space="preserve">Incident workflow supports containment, notification and lessons learned.</w:t>
            </w:r>
          </w:p>
        </w:tc>
      </w:tr>
    </w:tbl>
    <w:bookmarkEnd w:id="30"/>
    <w:bookmarkStart w:id="31" w:name="cap-15--integrations--automation"/>
    <w:p>
      <w:pPr>
        <w:pStyle w:val="Heading2"/>
      </w:pPr>
      <w:r>
        <w:t xml:space="preserve">CAP-15 — Integrations &amp; Automation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3"/>
        <w:gridCol w:w="1096"/>
        <w:gridCol w:w="292"/>
        <w:gridCol w:w="601"/>
        <w:gridCol w:w="1615"/>
        <w:gridCol w:w="1405"/>
        <w:gridCol w:w="540"/>
        <w:gridCol w:w="1703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 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Requirement / user story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Control refs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F-INT-001</w:t>
            </w:r>
          </w:p>
        </w:tc>
        <w:tc>
          <w:tcPr/>
          <w:p>
            <w:pPr>
              <w:pStyle w:val="TableTextSmall"/>
            </w:pPr>
            <w:r>
              <w:t xml:space="preserve">OpenAleph connector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Link/import investigative documents/entities from OpenAleph with provenance.</w:t>
            </w:r>
          </w:p>
        </w:tc>
        <w:tc>
          <w:tcPr/>
          <w:p>
            <w:pPr>
              <w:pStyle w:val="TableTextSmall"/>
            </w:pPr>
            <w:r>
              <w:t xml:space="preserve">ExternalReference,Entity,Source</w:t>
            </w:r>
          </w:p>
        </w:tc>
        <w:tc>
          <w:tcPr/>
          <w:p>
            <w:pPr>
              <w:pStyle w:val="TableTextSmall"/>
            </w:pPr>
            <w:r>
              <w:t xml:space="preserve">SRC-01</w:t>
            </w:r>
          </w:p>
        </w:tc>
        <w:tc>
          <w:tcPr/>
          <w:p>
            <w:pPr>
              <w:pStyle w:val="TableTextSmall"/>
            </w:pPr>
            <w:r>
              <w:t xml:space="preserve">Imported objects retain remote IDs and source metadata; no silent merge.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F-INT-002</w:t>
            </w:r>
          </w:p>
        </w:tc>
        <w:tc>
          <w:tcPr/>
          <w:p>
            <w:pPr>
              <w:pStyle w:val="TableTextSmall"/>
            </w:pPr>
            <w:r>
              <w:t xml:space="preserve">OpenSanctions screening connector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Screen entity against sanctions/PEP/debarment data and review candidate matches.</w:t>
            </w:r>
          </w:p>
        </w:tc>
        <w:tc>
          <w:tcPr/>
          <w:p>
            <w:pPr>
              <w:pStyle w:val="TableTextSmall"/>
            </w:pPr>
            <w:r>
              <w:t xml:space="preserve">ScreeningResult</w:t>
            </w:r>
          </w:p>
        </w:tc>
        <w:tc>
          <w:tcPr/>
          <w:p>
            <w:pPr>
              <w:pStyle w:val="TableTextSmall"/>
            </w:pPr>
            <w:r>
              <w:t xml:space="preserve">ENT-01,TEC-01</w:t>
            </w:r>
          </w:p>
        </w:tc>
        <w:tc>
          <w:tcPr/>
          <w:p>
            <w:pPr>
              <w:pStyle w:val="TableTextSmall"/>
            </w:pPr>
            <w:r>
              <w:t xml:space="preserve">Screening result is a candidate signal, not canonical identity/fact until reviewed.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F-INT-003</w:t>
            </w:r>
          </w:p>
        </w:tc>
        <w:tc>
          <w:tcPr/>
          <w:p>
            <w:pPr>
              <w:pStyle w:val="TableTextSmall"/>
            </w:pPr>
            <w:r>
              <w:t xml:space="preserve">FollowTheMoney mapping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Data Steward</w:t>
            </w:r>
          </w:p>
        </w:tc>
        <w:tc>
          <w:tcPr/>
          <w:p>
            <w:pPr>
              <w:pStyle w:val="TableTextSmall"/>
            </w:pPr>
            <w:r>
              <w:t xml:space="preserve">Map compatible entities/ownership/payment concepts to/from FollowTheMoney.</w:t>
            </w:r>
          </w:p>
        </w:tc>
        <w:tc>
          <w:tcPr/>
          <w:p>
            <w:pPr>
              <w:pStyle w:val="TableTextSmall"/>
            </w:pPr>
            <w:r>
              <w:t xml:space="preserve">Entity,Relationship,ValueFlow</w:t>
            </w:r>
          </w:p>
        </w:tc>
        <w:tc>
          <w:tcPr/>
          <w:p>
            <w:pPr>
              <w:pStyle w:val="TableTextSmall"/>
            </w:pPr>
            <w:r>
              <w:t xml:space="preserve">AUD-01</w:t>
            </w:r>
          </w:p>
        </w:tc>
        <w:tc>
          <w:tcPr/>
          <w:p>
            <w:pPr>
              <w:pStyle w:val="TableTextSmall"/>
            </w:pPr>
            <w:r>
              <w:t xml:space="preserve">Import/export mapping is versioned and preserves unmapped fields.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F-INT-004</w:t>
            </w:r>
          </w:p>
        </w:tc>
        <w:tc>
          <w:tcPr/>
          <w:p>
            <w:pPr>
              <w:pStyle w:val="TableTextSmall"/>
            </w:pPr>
            <w:r>
              <w:t xml:space="preserve">Flowintel interoperability</w:t>
            </w:r>
          </w:p>
        </w:tc>
        <w:tc>
          <w:tcPr/>
          <w:p>
            <w:pPr>
              <w:pStyle w:val="TableTextSmall"/>
            </w:pPr>
            <w:r>
              <w:t xml:space="preserve">P2</w:t>
            </w:r>
          </w:p>
        </w:tc>
        <w:tc>
          <w:tcPr/>
          <w:p>
            <w:pPr>
              <w:pStyle w:val="TableTextSmall"/>
            </w:pPr>
            <w:r>
              <w:t xml:space="preserve">Case Owner</w:t>
            </w:r>
          </w:p>
        </w:tc>
        <w:tc>
          <w:tcPr/>
          <w:p>
            <w:pPr>
              <w:pStyle w:val="TableTextSmall"/>
            </w:pPr>
            <w:r>
              <w:t xml:space="preserve">Link task/case workflow metadata with Flowintel where used.</w:t>
            </w:r>
          </w:p>
        </w:tc>
        <w:tc>
          <w:tcPr/>
          <w:p>
            <w:pPr>
              <w:pStyle w:val="TableTextSmall"/>
            </w:pPr>
            <w:r>
              <w:t xml:space="preserve">ExternalCaseReference</w:t>
            </w:r>
          </w:p>
        </w:tc>
        <w:tc>
          <w:tcPr/>
          <w:p>
            <w:pPr>
              <w:pStyle w:val="TableTextSmall"/>
            </w:pPr>
            <w:r>
              <w:t xml:space="preserve">AUD-01</w:t>
            </w:r>
          </w:p>
        </w:tc>
        <w:tc>
          <w:tcPr/>
          <w:p>
            <w:pPr>
              <w:pStyle w:val="TableTextSmall"/>
            </w:pPr>
            <w:r>
              <w:t xml:space="preserve">No implicit transfer of sensitive evidence without explicit configuration.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F-INT-005</w:t>
            </w:r>
          </w:p>
        </w:tc>
        <w:tc>
          <w:tcPr/>
          <w:p>
            <w:pPr>
              <w:pStyle w:val="TableTextSmall"/>
            </w:pPr>
            <w:r>
              <w:t xml:space="preserve">GraphSense connector</w:t>
            </w:r>
          </w:p>
        </w:tc>
        <w:tc>
          <w:tcPr/>
          <w:p>
            <w:pPr>
              <w:pStyle w:val="TableTextSmall"/>
            </w:pPr>
            <w:r>
              <w:t xml:space="preserve">P2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Enrich public-chain wallet/address analysis using GraphSense.</w:t>
            </w:r>
          </w:p>
        </w:tc>
        <w:tc>
          <w:tcPr/>
          <w:p>
            <w:pPr>
              <w:pStyle w:val="TableTextSmall"/>
            </w:pPr>
            <w:r>
              <w:t xml:space="preserve">ExternalReference,ValueFlow</w:t>
            </w:r>
          </w:p>
        </w:tc>
        <w:tc>
          <w:tcPr/>
          <w:p>
            <w:pPr>
              <w:pStyle w:val="TableTextSmall"/>
            </w:pPr>
            <w:r>
              <w:t xml:space="preserve">TEC-01</w:t>
            </w:r>
          </w:p>
        </w:tc>
        <w:tc>
          <w:tcPr/>
          <w:p>
            <w:pPr>
              <w:pStyle w:val="TableTextSmall"/>
            </w:pPr>
            <w:r>
              <w:t xml:space="preserve">Blockchain analytics output remains attributed to provider and timestamp.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F-INT-006</w:t>
            </w:r>
          </w:p>
        </w:tc>
        <w:tc>
          <w:tcPr/>
          <w:p>
            <w:pPr>
              <w:pStyle w:val="TableTextSmall"/>
            </w:pPr>
            <w:r>
              <w:t xml:space="preserve">Graph projection connector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Platform Admin</w:t>
            </w:r>
          </w:p>
        </w:tc>
        <w:tc>
          <w:tcPr/>
          <w:p>
            <w:pPr>
              <w:pStyle w:val="TableTextSmall"/>
            </w:pPr>
            <w:r>
              <w:t xml:space="preserve">Project canonical relationship/value-flow data to Neo4j/Memgraph or equivalent.</w:t>
            </w:r>
          </w:p>
        </w:tc>
        <w:tc>
          <w:tcPr/>
          <w:p>
            <w:pPr>
              <w:pStyle w:val="TableTextSmall"/>
            </w:pPr>
            <w:r>
              <w:t xml:space="preserve">DerivedProjection</w:t>
            </w:r>
          </w:p>
        </w:tc>
        <w:tc>
          <w:tcPr/>
          <w:p>
            <w:pPr>
              <w:pStyle w:val="TableTextSmall"/>
            </w:pPr>
            <w:r>
              <w:t xml:space="preserve">REL-01</w:t>
            </w:r>
          </w:p>
        </w:tc>
        <w:tc>
          <w:tcPr/>
          <w:p>
            <w:pPr>
              <w:pStyle w:val="TableTextSmall"/>
            </w:pPr>
            <w:r>
              <w:t xml:space="preserve">Projection is rebuildable and cannot become sole canonical source.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F-AI-001</w:t>
            </w:r>
          </w:p>
        </w:tc>
        <w:tc>
          <w:tcPr/>
          <w:p>
            <w:pPr>
              <w:pStyle w:val="TableTextSmall"/>
            </w:pPr>
            <w:r>
              <w:t xml:space="preserve">AI summarisation / extraction assist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Use AI to summarise or propose entities/relationships from authorised content.</w:t>
            </w:r>
          </w:p>
        </w:tc>
        <w:tc>
          <w:tcPr/>
          <w:p>
            <w:pPr>
              <w:pStyle w:val="TableTextSmall"/>
            </w:pPr>
            <w:r>
              <w:t xml:space="preserve">DerivedArtifact,Candidate</w:t>
            </w:r>
          </w:p>
        </w:tc>
        <w:tc>
          <w:tcPr/>
          <w:p>
            <w:pPr>
              <w:pStyle w:val="TableTextSmall"/>
            </w:pPr>
            <w:r>
              <w:t xml:space="preserve">TEC-01</w:t>
            </w:r>
          </w:p>
        </w:tc>
        <w:tc>
          <w:tcPr/>
          <w:p>
            <w:pPr>
              <w:pStyle w:val="TableTextSmall"/>
            </w:pPr>
            <w:r>
              <w:t xml:space="preserve">AI output is labelled generated, attributable to model/version, and review-required.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F-AI-002</w:t>
            </w:r>
          </w:p>
        </w:tc>
        <w:tc>
          <w:tcPr/>
          <w:p>
            <w:pPr>
              <w:pStyle w:val="TableTextSmall"/>
            </w:pPr>
            <w:r>
              <w:t xml:space="preserve">AI analytical assistant</w:t>
            </w:r>
          </w:p>
        </w:tc>
        <w:tc>
          <w:tcPr/>
          <w:p>
            <w:pPr>
              <w:pStyle w:val="TableTextSmall"/>
            </w:pPr>
            <w:r>
              <w:t xml:space="preserve">P2</w:t>
            </w:r>
          </w:p>
        </w:tc>
        <w:tc>
          <w:tcPr/>
          <w:p>
            <w:pPr>
              <w:pStyle w:val="TableTextSmall"/>
            </w:pPr>
            <w:r>
              <w:t xml:space="preserve">Analyst</w:t>
            </w:r>
          </w:p>
        </w:tc>
        <w:tc>
          <w:tcPr/>
          <w:p>
            <w:pPr>
              <w:pStyle w:val="TableTextSmall"/>
            </w:pPr>
            <w:r>
              <w:t xml:space="preserve">Ask questions across authorised case data with citations to canonical objects.</w:t>
            </w:r>
          </w:p>
        </w:tc>
        <w:tc>
          <w:tcPr/>
          <w:p>
            <w:pPr>
              <w:pStyle w:val="TableTextSmall"/>
            </w:pPr>
            <w:r>
              <w:t xml:space="preserve">DerivedAnalysis</w:t>
            </w:r>
          </w:p>
        </w:tc>
        <w:tc>
          <w:tcPr/>
          <w:p>
            <w:pPr>
              <w:pStyle w:val="TableTextSmall"/>
            </w:pPr>
            <w:r>
              <w:t xml:space="preserve">TEC-01,TEC-02</w:t>
            </w:r>
          </w:p>
        </w:tc>
        <w:tc>
          <w:tcPr/>
          <w:p>
            <w:pPr>
              <w:pStyle w:val="TableTextSmall"/>
            </w:pPr>
            <w:r>
              <w:t xml:space="preserve">Assistant cannot create final adverse assessment or dissemination approval autonomously.</w:t>
            </w:r>
          </w:p>
        </w:tc>
      </w:tr>
    </w:tbl>
    <w:bookmarkEnd w:id="31"/>
    <w:bookmarkEnd w:id="32"/>
    <w:bookmarkStart w:id="33" w:name="Xbd810c518fe0e2d1370c4e2146783319d927d1c"/>
    <w:p>
      <w:pPr>
        <w:pStyle w:val="Heading1"/>
      </w:pPr>
      <w:r>
        <w:t xml:space="preserve">9. MVP Definition (Release 0.1)</w:t>
      </w:r>
    </w:p>
    <w:p>
      <w:pPr>
        <w:pStyle w:val="FirstParagraph"/>
      </w:pPr>
      <w:r>
        <w:t xml:space="preserve">The MVP SHALL demonstrate the complete analytical chain on a real or synthetic civil-society investigation without depending on advanced automation. Every P0 feature is in scope unless explicitly waived in a release decision.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4"/>
        <w:gridCol w:w="627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Minimum outcome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MVP-1 Case Workspace</w:t>
            </w:r>
          </w:p>
        </w:tc>
        <w:tc>
          <w:tcPr/>
          <w:p>
            <w:pPr>
              <w:pStyle w:val="TableText"/>
            </w:pPr>
            <w:r>
              <w:t xml:space="preserve">Case register, charter, lifecycle, tasks, ownership, status, audit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MVP-2 Source &amp; Evidence</w:t>
            </w:r>
          </w:p>
        </w:tc>
        <w:tc>
          <w:tcPr/>
          <w:p>
            <w:pPr>
              <w:pStyle w:val="TableText"/>
            </w:pPr>
            <w:r>
              <w:t xml:space="preserve">Source register, preserved evidence, hashes, extracts, derivatives, reliability, claim and fact lifecycle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MVP-3 Entity &amp; Relationship</w:t>
            </w:r>
          </w:p>
        </w:tc>
        <w:tc>
          <w:tcPr/>
          <w:p>
            <w:pPr>
              <w:pStyle w:val="TableText"/>
            </w:pPr>
            <w:r>
              <w:t xml:space="preserve">Canonical entities, aliases/identifiers, candidate match, merge/unmerge, first-class relationships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MVP-4 Assets / Events / Timeline</w:t>
            </w:r>
          </w:p>
        </w:tc>
        <w:tc>
          <w:tcPr/>
          <w:p>
            <w:pPr>
              <w:pStyle w:val="TableText"/>
            </w:pPr>
            <w:r>
              <w:t xml:space="preserve">Asset attribution, event records, visual timeline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MVP-5 Follow-the-Value</w:t>
            </w:r>
          </w:p>
        </w:tc>
        <w:tc>
          <w:tcPr/>
          <w:p>
            <w:pPr>
              <w:pStyle w:val="TableText"/>
            </w:pPr>
            <w:r>
              <w:t xml:space="preserve">ValueFlow builder with mandatory DIRECT/DOCUMENTED/RECONSTRUCTED/HYPOTHETICAL classification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MVP-6 Typology &amp; Hypothesis</w:t>
            </w:r>
          </w:p>
        </w:tc>
        <w:tc>
          <w:tcPr/>
          <w:p>
            <w:pPr>
              <w:pStyle w:val="TableText"/>
            </w:pPr>
            <w:r>
              <w:t xml:space="preserve">Catalogue browser, indicators, typology worksheet, competing hypotheses, gaps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MVP-7 Assessment &amp; Review</w:t>
            </w:r>
          </w:p>
        </w:tc>
        <w:tc>
          <w:tcPr/>
          <w:p>
            <w:pPr>
              <w:pStyle w:val="TableText"/>
            </w:pPr>
            <w:r>
              <w:t xml:space="preserve">Assessment, confidence, disconfirmation, peer review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MVP-8 Intelligence Product</w:t>
            </w:r>
          </w:p>
        </w:tc>
        <w:tc>
          <w:tcPr/>
          <w:p>
            <w:pPr>
              <w:pStyle w:val="TableText"/>
            </w:pPr>
            <w:r>
              <w:t xml:space="preserve">Six report templates (Financial Intelligence Note, Entity Profile, Asset Profile, Network Analysis, Referral Package, Case Report)</w:t>
            </w:r>
            <w:r>
              <w:t xml:space="preserve"> </w:t>
            </w:r>
            <w:r>
              <w:rPr>
                <w:i/>
                <w:iCs/>
              </w:rPr>
              <w:t xml:space="preserve">[v0.1.1 · A06]</w:t>
            </w:r>
            <w:r>
              <w:t xml:space="preserve">, evidence index, versioning, secure export/referral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MVP-9 Search &amp; Graph</w:t>
            </w:r>
          </w:p>
        </w:tc>
        <w:tc>
          <w:tcPr/>
          <w:p>
            <w:pPr>
              <w:pStyle w:val="TableText"/>
            </w:pPr>
            <w:r>
              <w:t xml:space="preserve">Full-text/faceted search and provenance-aware graph view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MVP-10 Security &amp; Audit</w:t>
            </w:r>
          </w:p>
        </w:tc>
        <w:tc>
          <w:tcPr/>
          <w:p>
            <w:pPr>
              <w:pStyle w:val="TableText"/>
            </w:pPr>
            <w:r>
              <w:t xml:space="preserve">OIDC/MFA, object-level RBAC, protected-source compartment, audit, backup/restore</w:t>
            </w:r>
          </w:p>
        </w:tc>
      </w:tr>
    </w:tbl>
    <w:p>
      <w:pPr>
        <w:pStyle w:val="BlockText"/>
      </w:pPr>
      <w:r>
        <w:rPr>
          <w:b/>
          <w:bCs/>
        </w:rPr>
        <w:t xml:space="preserve">MVP completion test</w:t>
      </w:r>
      <w:r>
        <w:br/>
      </w:r>
      <w:r>
        <w:t xml:space="preserve">A two-analyst team SHALL be able to open a case, ingest evidence, resolve entities, build an ownership/asset/value-flow model, test at least two hypotheses, map relevant typologies, produce a confidence-rated assessment, complete independent review, and export an approved intelligence product while preserving provenance and audit history.</w:t>
      </w:r>
    </w:p>
    <w:bookmarkEnd w:id="33"/>
    <w:bookmarkStart w:id="34" w:name="X9725cd9dbb20b6ffaef2d71b12008c8637f8944"/>
    <w:p>
      <w:pPr>
        <w:pStyle w:val="Heading1"/>
      </w:pPr>
      <w:r>
        <w:t xml:space="preserve">10. Release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3"/>
        <w:gridCol w:w="1292"/>
        <w:gridCol w:w="530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Exit objective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0.1 — Foundation MVP</w:t>
            </w:r>
          </w:p>
        </w:tc>
        <w:tc>
          <w:tcPr/>
          <w:p>
            <w:pPr>
              <w:pStyle w:val="TableText"/>
            </w:pPr>
            <w:r>
              <w:t xml:space="preserve">P0 features</w:t>
            </w:r>
          </w:p>
        </w:tc>
        <w:tc>
          <w:tcPr/>
          <w:p>
            <w:pPr>
              <w:pStyle w:val="TableText"/>
            </w:pPr>
            <w:r>
              <w:t xml:space="preserve">Complete end-to-end investigation and review workflow with strong provenance and security.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0.2 — Operational Intelligence</w:t>
            </w:r>
          </w:p>
        </w:tc>
        <w:tc>
          <w:tcPr/>
          <w:p>
            <w:pPr>
              <w:pStyle w:val="TableText"/>
            </w:pPr>
            <w:r>
              <w:t xml:space="preserve">P1 features</w:t>
            </w:r>
          </w:p>
        </w:tc>
        <w:tc>
          <w:tcPr/>
          <w:p>
            <w:pPr>
              <w:pStyle w:val="TableText"/>
            </w:pPr>
            <w:r>
              <w:t xml:space="preserve">OCR/extraction, enrichment connectors, advanced ownership, saved queries, red-team review, observability.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0.3 — Network Intelligence</w:t>
            </w:r>
          </w:p>
        </w:tc>
        <w:tc>
          <w:tcPr/>
          <w:p>
            <w:pPr>
              <w:pStyle w:val="TableText"/>
            </w:pPr>
            <w:r>
              <w:t xml:space="preserve">Selected P2</w:t>
            </w:r>
          </w:p>
        </w:tc>
        <w:tc>
          <w:tcPr/>
          <w:p>
            <w:pPr>
              <w:pStyle w:val="TableText"/>
            </w:pPr>
            <w:r>
              <w:t xml:space="preserve">Cross-case discovery, network metrics, GraphSense, federation/partner workspace, rule-assisted indicators.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0.4 — Controlled AI</w:t>
            </w:r>
          </w:p>
        </w:tc>
        <w:tc>
          <w:tcPr/>
          <w:p>
            <w:pPr>
              <w:pStyle w:val="TableText"/>
            </w:pPr>
            <w:r>
              <w:t xml:space="preserve">Selected P1/P2 AI</w:t>
            </w:r>
          </w:p>
        </w:tc>
        <w:tc>
          <w:tcPr/>
          <w:p>
            <w:pPr>
              <w:pStyle w:val="TableText"/>
            </w:pPr>
            <w:r>
              <w:t xml:space="preserve">Citation-grounded AI assistance, controlled entity suggestions, model governance, validation metrics.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1.0 — Assured Platform</w:t>
            </w:r>
          </w:p>
        </w:tc>
        <w:tc>
          <w:tcPr/>
          <w:p>
            <w:pPr>
              <w:pStyle w:val="TableText"/>
            </w:pPr>
            <w:r>
              <w:t xml:space="preserve">All required controls + independent QA</w:t>
            </w:r>
          </w:p>
        </w:tc>
        <w:tc>
          <w:tcPr/>
          <w:p>
            <w:pPr>
              <w:pStyle w:val="TableText"/>
            </w:pPr>
            <w:r>
              <w:t xml:space="preserve">Production-ready product with conformance evidence, security assurance, documented operations and upgrade path.</w:t>
            </w:r>
          </w:p>
        </w:tc>
      </w:tr>
    </w:tbl>
    <w:bookmarkEnd w:id="34"/>
    <w:bookmarkStart w:id="35" w:name="X62735a4aeee4394869aae54b1e6220fb1ee9df5"/>
    <w:p>
      <w:pPr>
        <w:pStyle w:val="Heading1"/>
      </w:pPr>
      <w:r>
        <w:t xml:space="preserve">11. Build vs Integrate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2"/>
        <w:gridCol w:w="4397"/>
        <w:gridCol w:w="234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Disposition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Capabilities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Build as CS-AML core</w:t>
            </w:r>
          </w:p>
        </w:tc>
        <w:tc>
          <w:tcPr/>
          <w:p>
            <w:pPr>
              <w:pStyle w:val="TableText"/>
            </w:pPr>
            <w:r>
              <w:t xml:space="preserve">Case charter/gates; Evidence→Fact chain; hypothesis matrix; confidence; intelligence gaps; value-flow classification; typology assessment; review/dissemination; provenance-preserving UX</w:t>
            </w:r>
          </w:p>
        </w:tc>
        <w:tc>
          <w:tcPr/>
          <w:p>
            <w:pPr>
              <w:pStyle w:val="TableText"/>
            </w:pPr>
            <w:r>
              <w:t xml:space="preserve">These functions embody the unique methodology and control model.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Integrate / reuse</w:t>
            </w:r>
          </w:p>
        </w:tc>
        <w:tc>
          <w:tcPr/>
          <w:p>
            <w:pPr>
              <w:pStyle w:val="TableText"/>
            </w:pPr>
            <w:r>
              <w:t xml:space="preserve">OCR/document intelligence; sanctions/PEP data; generic graph DB; blockchain analytics; identity provider; search engine; object storage; observability</w:t>
            </w:r>
          </w:p>
        </w:tc>
        <w:tc>
          <w:tcPr/>
          <w:p>
            <w:pPr>
              <w:pStyle w:val="TableText"/>
            </w:pPr>
            <w:r>
              <w:t xml:space="preserve">Mature components already exist; wrapping them preserves focus and reduces maintenance risk.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Adapt / map</w:t>
            </w:r>
          </w:p>
        </w:tc>
        <w:tc>
          <w:tcPr/>
          <w:p>
            <w:pPr>
              <w:pStyle w:val="TableText"/>
            </w:pPr>
            <w:r>
              <w:t xml:space="preserve">FollowTheMoney ontology; OpenAleph investigative datasets; Flowintel workflow concepts</w:t>
            </w:r>
          </w:p>
        </w:tc>
        <w:tc>
          <w:tcPr/>
          <w:p>
            <w:pPr>
              <w:pStyle w:val="TableText"/>
            </w:pPr>
            <w:r>
              <w:t xml:space="preserve">Useful models/workflows can be mapped without making them normative dependencies.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5"/>
        <w:gridCol w:w="3950"/>
        <w:gridCol w:w="1906"/>
        <w:gridCol w:w="60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Tool / ecosystem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Reference value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Recommended role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Phase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OpenAleph</w:t>
            </w:r>
          </w:p>
        </w:tc>
        <w:tc>
          <w:tcPr/>
          <w:p>
            <w:pPr>
              <w:pStyle w:val="TableText"/>
            </w:pPr>
            <w:r>
              <w:t xml:space="preserve">Investigative document/data platform; reference for collections, search, OCR/entity extraction, investigation workspaces.</w:t>
            </w:r>
          </w:p>
        </w:tc>
        <w:tc>
          <w:tcPr/>
          <w:p>
            <w:pPr>
              <w:pStyle w:val="TableText"/>
            </w:pPr>
            <w:r>
              <w:t xml:space="preserve">Connector or adjacent investigative data platform</w:t>
            </w:r>
          </w:p>
        </w:tc>
        <w:tc>
          <w:tcPr/>
          <w:p>
            <w:pPr>
              <w:pStyle w:val="TableText"/>
            </w:pPr>
            <w:r>
              <w:t xml:space="preserve">P1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FollowTheMoney</w:t>
            </w:r>
          </w:p>
        </w:tc>
        <w:tc>
          <w:tcPr/>
          <w:p>
            <w:pPr>
              <w:pStyle w:val="TableText"/>
            </w:pPr>
            <w:r>
              <w:t xml:space="preserve">Investigative entity/relationship ontology used in anti-corruption and investigative journalism ecosystems.</w:t>
            </w:r>
          </w:p>
        </w:tc>
        <w:tc>
          <w:tcPr/>
          <w:p>
            <w:pPr>
              <w:pStyle w:val="TableText"/>
            </w:pPr>
            <w:r>
              <w:t xml:space="preserve">Interoperability / ontology mapping</w:t>
            </w:r>
          </w:p>
        </w:tc>
        <w:tc>
          <w:tcPr/>
          <w:p>
            <w:pPr>
              <w:pStyle w:val="TableText"/>
            </w:pPr>
            <w:r>
              <w:t xml:space="preserve">P1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OpenSanctions / yente</w:t>
            </w:r>
          </w:p>
        </w:tc>
        <w:tc>
          <w:tcPr/>
          <w:p>
            <w:pPr>
              <w:pStyle w:val="TableText"/>
            </w:pPr>
            <w:r>
              <w:t xml:space="preserve">Sanctions, PEP and related entity matching/screening.</w:t>
            </w:r>
          </w:p>
        </w:tc>
        <w:tc>
          <w:tcPr/>
          <w:p>
            <w:pPr>
              <w:pStyle w:val="TableText"/>
            </w:pPr>
            <w:r>
              <w:t xml:space="preserve">External screening service</w:t>
            </w:r>
          </w:p>
        </w:tc>
        <w:tc>
          <w:tcPr/>
          <w:p>
            <w:pPr>
              <w:pStyle w:val="TableText"/>
            </w:pPr>
            <w:r>
              <w:t xml:space="preserve">P1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Flowintel</w:t>
            </w:r>
          </w:p>
        </w:tc>
        <w:tc>
          <w:tcPr/>
          <w:p>
            <w:pPr>
              <w:pStyle w:val="TableText"/>
            </w:pPr>
            <w:r>
              <w:t xml:space="preserve">Open-source case/task workflow platform.</w:t>
            </w:r>
          </w:p>
        </w:tc>
        <w:tc>
          <w:tcPr/>
          <w:p>
            <w:pPr>
              <w:pStyle w:val="TableText"/>
            </w:pPr>
            <w:r>
              <w:t xml:space="preserve">Workflow interoperability / UX reference</w:t>
            </w:r>
          </w:p>
        </w:tc>
        <w:tc>
          <w:tcPr/>
          <w:p>
            <w:pPr>
              <w:pStyle w:val="TableText"/>
            </w:pPr>
            <w:r>
              <w:t xml:space="preserve">P2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GraphSense</w:t>
            </w:r>
          </w:p>
        </w:tc>
        <w:tc>
          <w:tcPr/>
          <w:p>
            <w:pPr>
              <w:pStyle w:val="TableText"/>
            </w:pPr>
            <w:r>
              <w:t xml:space="preserve">Open-source cryptoasset analytics.</w:t>
            </w:r>
          </w:p>
        </w:tc>
        <w:tc>
          <w:tcPr/>
          <w:p>
            <w:pPr>
              <w:pStyle w:val="TableText"/>
            </w:pPr>
            <w:r>
              <w:t xml:space="preserve">Crypto analytics connector</w:t>
            </w:r>
          </w:p>
        </w:tc>
        <w:tc>
          <w:tcPr/>
          <w:p>
            <w:pPr>
              <w:pStyle w:val="TableText"/>
            </w:pPr>
            <w:r>
              <w:t xml:space="preserve">P2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Neo4j / Memgraph</w:t>
            </w:r>
          </w:p>
        </w:tc>
        <w:tc>
          <w:tcPr/>
          <w:p>
            <w:pPr>
              <w:pStyle w:val="TableText"/>
            </w:pPr>
            <w:r>
              <w:t xml:space="preserve">Graph database / analytics.</w:t>
            </w:r>
          </w:p>
        </w:tc>
        <w:tc>
          <w:tcPr/>
          <w:p>
            <w:pPr>
              <w:pStyle w:val="TableText"/>
            </w:pPr>
            <w:r>
              <w:t xml:space="preserve">Derived graph projection</w:t>
            </w:r>
          </w:p>
        </w:tc>
        <w:tc>
          <w:tcPr/>
          <w:p>
            <w:pPr>
              <w:pStyle w:val="TableText"/>
            </w:pPr>
            <w:r>
              <w:t xml:space="preserve">P1/P2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OpenSearch / PostgreSQL FTS</w:t>
            </w:r>
          </w:p>
        </w:tc>
        <w:tc>
          <w:tcPr/>
          <w:p>
            <w:pPr>
              <w:pStyle w:val="TableText"/>
            </w:pPr>
            <w:r>
              <w:t xml:space="preserve">Search engine.</w:t>
            </w:r>
          </w:p>
        </w:tc>
        <w:tc>
          <w:tcPr/>
          <w:p>
            <w:pPr>
              <w:pStyle w:val="TableText"/>
            </w:pPr>
            <w:r>
              <w:t xml:space="preserve">Derived search index</w:t>
            </w:r>
          </w:p>
        </w:tc>
        <w:tc>
          <w:tcPr/>
          <w:p>
            <w:pPr>
              <w:pStyle w:val="TableText"/>
            </w:pPr>
            <w:r>
              <w:t xml:space="preserve">P0/P1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Keycloak or equivalent</w:t>
            </w:r>
          </w:p>
        </w:tc>
        <w:tc>
          <w:tcPr/>
          <w:p>
            <w:pPr>
              <w:pStyle w:val="TableText"/>
            </w:pPr>
            <w:r>
              <w:t xml:space="preserve">OIDC IAM, MFA, RBAC support.</w:t>
            </w:r>
          </w:p>
        </w:tc>
        <w:tc>
          <w:tcPr/>
          <w:p>
            <w:pPr>
              <w:pStyle w:val="TableText"/>
            </w:pPr>
            <w:r>
              <w:t xml:space="preserve">Identity provider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S3-compatible object store</w:t>
            </w:r>
          </w:p>
        </w:tc>
        <w:tc>
          <w:tcPr/>
          <w:p>
            <w:pPr>
              <w:pStyle w:val="TableText"/>
            </w:pPr>
            <w:r>
              <w:t xml:space="preserve">Evidence object storage.</w:t>
            </w:r>
          </w:p>
        </w:tc>
        <w:tc>
          <w:tcPr/>
          <w:p>
            <w:pPr>
              <w:pStyle w:val="TableText"/>
            </w:pPr>
            <w:r>
              <w:t xml:space="preserve">Evidence storage infrastructure</w:t>
            </w:r>
          </w:p>
        </w:tc>
        <w:tc>
          <w:tcPr/>
          <w:p>
            <w:pPr>
              <w:pStyle w:val="TableText"/>
            </w:pPr>
            <w:r>
              <w:t xml:space="preserve">P0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OpenTelemetry + Prometheus/Grafana</w:t>
            </w:r>
          </w:p>
        </w:tc>
        <w:tc>
          <w:tcPr/>
          <w:p>
            <w:pPr>
              <w:pStyle w:val="TableText"/>
            </w:pPr>
            <w:r>
              <w:t xml:space="preserve">Telemetry and operational monitoring.</w:t>
            </w:r>
          </w:p>
        </w:tc>
        <w:tc>
          <w:tcPr/>
          <w:p>
            <w:pPr>
              <w:pStyle w:val="TableText"/>
            </w:pPr>
            <w:r>
              <w:t xml:space="preserve">Observability</w:t>
            </w:r>
          </w:p>
        </w:tc>
        <w:tc>
          <w:tcPr/>
          <w:p>
            <w:pPr>
              <w:pStyle w:val="TableText"/>
            </w:pPr>
            <w:r>
              <w:t xml:space="preserve">P1</w:t>
            </w:r>
          </w:p>
        </w:tc>
      </w:tr>
    </w:tbl>
    <w:bookmarkEnd w:id="35"/>
    <w:bookmarkStart w:id="36" w:name="Xe22b25f47775986efe9d4fd04a1a817ca4918d1"/>
    <w:p>
      <w:pPr>
        <w:pStyle w:val="Heading1"/>
      </w:pPr>
      <w:r>
        <w:t xml:space="preserve">12.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644"/>
        <w:gridCol w:w="500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NFR-SEC-01</w:t>
            </w:r>
          </w:p>
        </w:tc>
        <w:tc>
          <w:tcPr/>
          <w:p>
            <w:pPr>
              <w:pStyle w:val="TableText"/>
            </w:pPr>
            <w:r>
              <w:t xml:space="preserve">Security</w:t>
            </w:r>
          </w:p>
        </w:tc>
        <w:tc>
          <w:tcPr/>
          <w:p>
            <w:pPr>
              <w:pStyle w:val="TableText"/>
            </w:pPr>
            <w:r>
              <w:t xml:space="preserve">Least privilege, MFA, compartmentalisation, encryption in transit, secure secrets, patching, backup, audit.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NFR-PRI-01</w:t>
            </w:r>
          </w:p>
        </w:tc>
        <w:tc>
          <w:tcPr/>
          <w:p>
            <w:pPr>
              <w:pStyle w:val="TableText"/>
            </w:pPr>
            <w:r>
              <w:t xml:space="preserve">Privacy</w:t>
            </w:r>
          </w:p>
        </w:tc>
        <w:tc>
          <w:tcPr/>
          <w:p>
            <w:pPr>
              <w:pStyle w:val="TableText"/>
            </w:pPr>
            <w:r>
              <w:t xml:space="preserve">Data minimisation, purpose limitation, retention, deletion/disposition, access justification, export minimisation.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NFR-AUD-01</w:t>
            </w:r>
          </w:p>
        </w:tc>
        <w:tc>
          <w:tcPr/>
          <w:p>
            <w:pPr>
              <w:pStyle w:val="TableText"/>
            </w:pPr>
            <w:r>
              <w:t xml:space="preserve">Auditability</w:t>
            </w:r>
          </w:p>
        </w:tc>
        <w:tc>
          <w:tcPr/>
          <w:p>
            <w:pPr>
              <w:pStyle w:val="TableText"/>
            </w:pPr>
            <w:r>
              <w:t xml:space="preserve">Material analytical and dissemination changes are attributable, timestamped and reviewable.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NFR-INT-01</w:t>
            </w:r>
          </w:p>
        </w:tc>
        <w:tc>
          <w:tcPr/>
          <w:p>
            <w:pPr>
              <w:pStyle w:val="TableText"/>
            </w:pPr>
            <w:r>
              <w:t xml:space="preserve">Integrity</w:t>
            </w:r>
          </w:p>
        </w:tc>
        <w:tc>
          <w:tcPr/>
          <w:p>
            <w:pPr>
              <w:pStyle w:val="TableText"/>
            </w:pPr>
            <w:r>
              <w:t xml:space="preserve">Canonical objects and original evidence cannot be silently overwritten; critical evidence supports hash verification.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NFR-EXP-01</w:t>
            </w:r>
          </w:p>
        </w:tc>
        <w:tc>
          <w:tcPr/>
          <w:p>
            <w:pPr>
              <w:pStyle w:val="TableText"/>
            </w:pPr>
            <w:r>
              <w:t xml:space="preserve">Explainability</w:t>
            </w:r>
          </w:p>
        </w:tc>
        <w:tc>
          <w:tcPr/>
          <w:p>
            <w:pPr>
              <w:pStyle w:val="TableText"/>
            </w:pPr>
            <w:r>
              <w:t xml:space="preserve">Automated score/match/path/suggestion used materially exposes basis, input scope and model/rule version.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NFR-PER-01</w:t>
            </w:r>
          </w:p>
        </w:tc>
        <w:tc>
          <w:tcPr/>
          <w:p>
            <w:pPr>
              <w:pStyle w:val="TableText"/>
            </w:pPr>
            <w:r>
              <w:t xml:space="preserve">Performance</w:t>
            </w:r>
          </w:p>
        </w:tc>
        <w:tc>
          <w:tcPr/>
          <w:p>
            <w:pPr>
              <w:pStyle w:val="TableText"/>
            </w:pPr>
            <w:r>
              <w:t xml:space="preserve">Common case, entity, search and graph views SHOULD return interactively for expected deployment scale; long analytics MAY use async jobs.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NFR-AVL-01</w:t>
            </w:r>
          </w:p>
        </w:tc>
        <w:tc>
          <w:tcPr/>
          <w:p>
            <w:pPr>
              <w:pStyle w:val="TableText"/>
            </w:pPr>
            <w:r>
              <w:t xml:space="preserve">Availability</w:t>
            </w:r>
          </w:p>
        </w:tc>
        <w:tc>
          <w:tcPr/>
          <w:p>
            <w:pPr>
              <w:pStyle w:val="TableText"/>
            </w:pPr>
            <w:r>
              <w:t xml:space="preserve">System SHOULD tolerate component restart and provide tested backup/restore; deployment defines RPO/RTO.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NFR-INTOP-01</w:t>
            </w:r>
          </w:p>
        </w:tc>
        <w:tc>
          <w:tcPr/>
          <w:p>
            <w:pPr>
              <w:pStyle w:val="TableText"/>
            </w:pPr>
            <w:r>
              <w:t xml:space="preserve">Interoperability</w:t>
            </w:r>
          </w:p>
        </w:tc>
        <w:tc>
          <w:tcPr/>
          <w:p>
            <w:pPr>
              <w:pStyle w:val="TableText"/>
            </w:pPr>
            <w:r>
              <w:t xml:space="preserve">Stable IDs, versioned APIs, import/export metadata and mapping records SHALL support external integration.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NFR-UX-01</w:t>
            </w:r>
          </w:p>
        </w:tc>
        <w:tc>
          <w:tcPr/>
          <w:p>
            <w:pPr>
              <w:pStyle w:val="TableText"/>
            </w:pPr>
            <w:r>
              <w:t xml:space="preserve">Usability</w:t>
            </w:r>
          </w:p>
        </w:tc>
        <w:tc>
          <w:tcPr/>
          <w:p>
            <w:pPr>
              <w:pStyle w:val="TableText"/>
            </w:pPr>
            <w:r>
              <w:t xml:space="preserve">UX SHALL make fact/inference/confidence/provenance visible without requiring analyst to inspect raw DB fields.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NFR-ACC-01</w:t>
            </w:r>
          </w:p>
        </w:tc>
        <w:tc>
          <w:tcPr/>
          <w:p>
            <w:pPr>
              <w:pStyle w:val="TableText"/>
            </w:pPr>
            <w:r>
              <w:t xml:space="preserve">Accessibility</w:t>
            </w:r>
          </w:p>
        </w:tc>
        <w:tc>
          <w:tcPr/>
          <w:p>
            <w:pPr>
              <w:pStyle w:val="TableText"/>
            </w:pPr>
            <w:r>
              <w:t xml:space="preserve">Core workflows SHOULD meet recognised web accessibility good practice and support keyboard/screen-reader use.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NFR-MNT-01</w:t>
            </w:r>
          </w:p>
        </w:tc>
        <w:tc>
          <w:tcPr/>
          <w:p>
            <w:pPr>
              <w:pStyle w:val="TableText"/>
            </w:pPr>
            <w:r>
              <w:t xml:space="preserve">Maintainability</w:t>
            </w:r>
          </w:p>
        </w:tc>
        <w:tc>
          <w:tcPr/>
          <w:p>
            <w:pPr>
              <w:pStyle w:val="TableText"/>
            </w:pPr>
            <w:r>
              <w:t xml:space="preserve">Schema, APIs, typologies, vocabularies and templates are versioned; migrations are testable and reversible where feasible.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NFR-OBS-01</w:t>
            </w:r>
          </w:p>
        </w:tc>
        <w:tc>
          <w:tcPr/>
          <w:p>
            <w:pPr>
              <w:pStyle w:val="TableText"/>
            </w:pPr>
            <w:r>
              <w:t xml:space="preserve">Observability</w:t>
            </w:r>
          </w:p>
        </w:tc>
        <w:tc>
          <w:tcPr/>
          <w:p>
            <w:pPr>
              <w:pStyle w:val="TableText"/>
            </w:pPr>
            <w:r>
              <w:t xml:space="preserve">Operational telemetry SHALL avoid leaking protected evidence or source content into logs.</w:t>
            </w:r>
          </w:p>
        </w:tc>
      </w:tr>
    </w:tbl>
    <w:bookmarkEnd w:id="36"/>
    <w:bookmarkStart w:id="37" w:name="X9fe7e717c8c51fa6d6bff166664ee9108df5881"/>
    <w:p>
      <w:pPr>
        <w:pStyle w:val="Heading1"/>
      </w:pPr>
      <w:r>
        <w:t xml:space="preserve">13. Permission and Information-Handling Model</w:t>
      </w:r>
    </w:p>
    <w:p>
      <w:pPr>
        <w:pStyle w:val="FirstParagraph"/>
      </w:pPr>
      <w:r>
        <w:t xml:space="preserve">At minimum, authorisation SHALL consider role, case membership, object classification, need-to-know, protected-source compartment, and dissemination restriction. Case membership alone SHALL NOT automatically reveal protected-source identity.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3"/>
        <w:gridCol w:w="608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Handling expectation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Public (</w:t>
            </w:r>
            <w:r>
              <w:rPr>
                <w:rStyle w:val="VerbatimChar"/>
              </w:rPr>
              <w:t xml:space="preserve">PUBLIC</w:t>
            </w:r>
            <w:r>
              <w:t xml:space="preserve">)</w:t>
            </w:r>
          </w:p>
        </w:tc>
        <w:tc>
          <w:tcPr/>
          <w:p>
            <w:pPr>
              <w:pStyle w:val="TableText"/>
            </w:pPr>
            <w:r>
              <w:t xml:space="preserve">Suitable for public release after normal review; still subject to case purpose and privacy rules.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Internal (</w:t>
            </w:r>
            <w:r>
              <w:rPr>
                <w:rStyle w:val="VerbatimChar"/>
              </w:rPr>
              <w:t xml:space="preserve">INTERNAL</w:t>
            </w:r>
            <w:r>
              <w:t xml:space="preserve">)</w:t>
            </w:r>
          </w:p>
        </w:tc>
        <w:tc>
          <w:tcPr/>
          <w:p>
            <w:pPr>
              <w:pStyle w:val="TableText"/>
            </w:pPr>
            <w:r>
              <w:t xml:space="preserve">Routine internal operational information limited to authorised organisation users.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Sensitive (</w:t>
            </w:r>
            <w:r>
              <w:rPr>
                <w:rStyle w:val="VerbatimChar"/>
              </w:rPr>
              <w:t xml:space="preserve">SENSITIVE</w:t>
            </w:r>
            <w:r>
              <w:t xml:space="preserve">)</w:t>
            </w:r>
          </w:p>
        </w:tc>
        <w:tc>
          <w:tcPr/>
          <w:p>
            <w:pPr>
              <w:pStyle w:val="TableText"/>
            </w:pPr>
            <w:r>
              <w:t xml:space="preserve">Could create privacy, reputational, safety, or investigative harm if disclosed.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Restricted (</w:t>
            </w:r>
            <w:r>
              <w:rPr>
                <w:rStyle w:val="VerbatimChar"/>
              </w:rPr>
              <w:t xml:space="preserve">RESTRICTED</w:t>
            </w:r>
            <w:r>
              <w:t xml:space="preserve">)</w:t>
            </w:r>
          </w:p>
        </w:tc>
        <w:tc>
          <w:tcPr/>
          <w:p>
            <w:pPr>
              <w:pStyle w:val="TableText"/>
            </w:pPr>
            <w:r>
              <w:t xml:space="preserve">High-risk information requiring named-role or case-specific authorization.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Source-protected (</w:t>
            </w:r>
            <w:r>
              <w:rPr>
                <w:rStyle w:val="VerbatimChar"/>
              </w:rPr>
              <w:t xml:space="preserve">SOURCE_PROTECTED</w:t>
            </w:r>
            <w:r>
              <w:t xml:space="preserve">)</w:t>
            </w:r>
          </w:p>
        </w:tc>
        <w:tc>
          <w:tcPr/>
          <w:p>
            <w:pPr>
              <w:pStyle w:val="TableText"/>
            </w:pPr>
            <w:r>
              <w:t xml:space="preserve">Information whose disclosure could identify or endanger a confidential source; separate compartment and minimal access.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Access labels (not levels)</w:t>
            </w:r>
          </w:p>
        </w:tc>
        <w:tc>
          <w:tcPr/>
          <w:p>
            <w:pPr>
              <w:pStyle w:val="TableText"/>
            </w:pPr>
            <w:r>
              <w:t xml:space="preserve">Legal privilege, safety, embargo, purpose, jurisdiction, compartment and other need-to-know conditions are additive access labels; the most restrictive applicable level plus all labels apply.</w:t>
            </w:r>
            <w:r>
              <w:t xml:space="preserve"> </w:t>
            </w:r>
            <w:r>
              <w:rPr>
                <w:i/>
                <w:iCs/>
              </w:rPr>
              <w:t xml:space="preserve">[v0.1.1 · A08]</w:t>
            </w:r>
          </w:p>
        </w:tc>
      </w:tr>
    </w:tbl>
    <w:p>
      <w:pPr>
        <w:pStyle w:val="BodyText"/>
      </w:pPr>
      <w:r>
        <w:t xml:space="preserve">The five levels above (ordered least → most restrictive) are the authoritative classification model defined in Data Model Specification v0.1.1 §16. Derived objects and exports inherit the highest classification of their inputs unless a recorded reviewer downgrade decision exists. Unknown or missing classification fails closed. The Framework v0.1 label "Highly Restricted" is never auto-mapped: it becomes</w:t>
      </w:r>
      <w:r>
        <w:t xml:space="preserve"> </w:t>
      </w:r>
      <w:r>
        <w:rPr>
          <w:rStyle w:val="VerbatimChar"/>
        </w:rPr>
        <w:t xml:space="preserve">SOURCE_PROTECTED</w:t>
      </w:r>
      <w:r>
        <w:t xml:space="preserve"> </w:t>
      </w:r>
      <w:r>
        <w:t xml:space="preserve">only when the reason is source-identifying information, otherwise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plus the relevant access label.</w:t>
      </w:r>
      <w:r>
        <w:t xml:space="preserve"> </w:t>
      </w:r>
      <w:r>
        <w:rPr>
          <w:i/>
          <w:iCs/>
        </w:rPr>
        <w:t xml:space="preserve">[v0.1.1 · A08]</w:t>
      </w:r>
    </w:p>
    <w:bookmarkEnd w:id="37"/>
    <w:bookmarkStart w:id="38" w:name="X9b73f675f80dfc5257e778ee66f9f4a80561a38"/>
    <w:p>
      <w:pPr>
        <w:pStyle w:val="Heading1"/>
      </w:pPr>
      <w:r>
        <w:t xml:space="preserve">14. Product Data and API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5"/>
        <w:gridCol w:w="663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Stable object IDs</w:t>
            </w:r>
          </w:p>
        </w:tc>
        <w:tc>
          <w:tcPr/>
          <w:p>
            <w:pPr>
              <w:pStyle w:val="TableText"/>
            </w:pPr>
            <w:r>
              <w:t xml:space="preserve">All canonical objects SHALL expose stable identifiers suitable for references, audit and integration.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Version metadata</w:t>
            </w:r>
          </w:p>
        </w:tc>
        <w:tc>
          <w:tcPr/>
          <w:p>
            <w:pPr>
              <w:pStyle w:val="TableText"/>
            </w:pPr>
            <w:r>
              <w:t xml:space="preserve">Material objects SHALL expose current version and modification metadata; previous versions remain reconstructable where required.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Provenance links</w:t>
            </w:r>
          </w:p>
        </w:tc>
        <w:tc>
          <w:tcPr/>
          <w:p>
            <w:pPr>
              <w:pStyle w:val="TableText"/>
            </w:pPr>
            <w:r>
              <w:t xml:space="preserve">APIs SHALL allow traversal from assessment to hypothesis/indicator/fact/evidence/source.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Permission enforcement</w:t>
            </w:r>
          </w:p>
        </w:tc>
        <w:tc>
          <w:tcPr/>
          <w:p>
            <w:pPr>
              <w:pStyle w:val="TableText"/>
            </w:pPr>
            <w:r>
              <w:t xml:space="preserve">API SHALL enforce the same authorisation rules as UI; UI hiding is not a security control.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Derived output labelling</w:t>
            </w:r>
          </w:p>
        </w:tc>
        <w:tc>
          <w:tcPr/>
          <w:p>
            <w:pPr>
              <w:pStyle w:val="TableText"/>
            </w:pPr>
            <w:r>
              <w:t xml:space="preserve">Search hits, graph paths, AI suggestions and computed metrics SHALL expose derived status and source inputs.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Export manifests</w:t>
            </w:r>
          </w:p>
        </w:tc>
        <w:tc>
          <w:tcPr/>
          <w:p>
            <w:pPr>
              <w:pStyle w:val="TableText"/>
            </w:pPr>
            <w:r>
              <w:t xml:space="preserve">Exports SHOULD contain object/version manifest and handling metadata.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Connector lineage</w:t>
            </w:r>
          </w:p>
        </w:tc>
        <w:tc>
          <w:tcPr/>
          <w:p>
            <w:pPr>
              <w:pStyle w:val="TableText"/>
            </w:pPr>
            <w:r>
              <w:t xml:space="preserve">Imported records SHALL retain provider, external ID, retrieval time, connector version and mapping status.</w:t>
            </w:r>
          </w:p>
        </w:tc>
      </w:tr>
    </w:tbl>
    <w:bookmarkEnd w:id="38"/>
    <w:bookmarkStart w:id="39" w:name="X4d21a8452cd3dadc5a47b8d22c8837f576f2c1e"/>
    <w:p>
      <w:pPr>
        <w:pStyle w:val="Heading1"/>
      </w:pPr>
      <w:r>
        <w:t xml:space="preserve">15. Required User Experience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4"/>
        <w:gridCol w:w="654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Surface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Minimum UX purpose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Dashboard</w:t>
            </w:r>
          </w:p>
        </w:tc>
        <w:tc>
          <w:tcPr/>
          <w:p>
            <w:pPr>
              <w:pStyle w:val="TableText"/>
            </w:pPr>
            <w:r>
              <w:t xml:space="preserve">Assigned cases, pending reviews, high-priority tasks, recent activity, connector/processing warnings.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 Workspace</w:t>
            </w:r>
          </w:p>
        </w:tc>
        <w:tc>
          <w:tcPr/>
          <w:p>
            <w:pPr>
              <w:pStyle w:val="TableText"/>
            </w:pPr>
            <w:r>
              <w:t xml:space="preserve">Charter, scope, tasks, linked entities/evidence, timeline, hypotheses, assessments, reviews, products.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Viewer</w:t>
            </w:r>
          </w:p>
        </w:tc>
        <w:tc>
          <w:tcPr/>
          <w:p>
            <w:pPr>
              <w:pStyle w:val="TableText"/>
            </w:pPr>
            <w:r>
              <w:t xml:space="preserve">Original/derivative distinction, page/text view, extract creation, hash/provenance, linked claims/facts.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Entity Profile</w:t>
            </w:r>
          </w:p>
        </w:tc>
        <w:tc>
          <w:tcPr/>
          <w:p>
            <w:pPr>
              <w:pStyle w:val="TableText"/>
            </w:pPr>
            <w:r>
              <w:t xml:space="preserve">Aliases, identifiers, source assertions, related cases, relationships, assets, events, screening/enrichment.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Entity Resolution Workbench</w:t>
            </w:r>
          </w:p>
        </w:tc>
        <w:tc>
          <w:tcPr/>
          <w:p>
            <w:pPr>
              <w:pStyle w:val="TableText"/>
            </w:pPr>
            <w:r>
              <w:t xml:space="preserve">Side-by-side candidate comparison, matching/conflicting attributes, evidence, merge/unmerge decision.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Graph Explorer</w:t>
            </w:r>
          </w:p>
        </w:tc>
        <w:tc>
          <w:tcPr/>
          <w:p>
            <w:pPr>
              <w:pStyle w:val="TableText"/>
            </w:pPr>
            <w:r>
              <w:t xml:space="preserve">Provenance-aware nodes/edges, filters, saved views, path query, evidence drill-down.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Timeline</w:t>
            </w:r>
          </w:p>
        </w:tc>
        <w:tc>
          <w:tcPr/>
          <w:p>
            <w:pPr>
              <w:pStyle w:val="TableText"/>
            </w:pPr>
            <w:r>
              <w:t xml:space="preserve">Events, relationship validity, asset changes, flow dates and evidence.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Value Flow Builder</w:t>
            </w:r>
          </w:p>
        </w:tc>
        <w:tc>
          <w:tcPr/>
          <w:p>
            <w:pPr>
              <w:pStyle w:val="TableText"/>
            </w:pPr>
            <w:r>
              <w:t xml:space="preserve">Leg creation, class distinction, amount/range/currency, evidence, flow visualisation.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Typology Worksheet</w:t>
            </w:r>
          </w:p>
        </w:tc>
        <w:tc>
          <w:tcPr/>
          <w:p>
            <w:pPr>
              <w:pStyle w:val="TableText"/>
            </w:pPr>
            <w:r>
              <w:t xml:space="preserve">Catalogue guidance, indicators, counter-indicators, consistency assessment and references.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Hypothesis Matrix</w:t>
            </w:r>
          </w:p>
        </w:tc>
        <w:tc>
          <w:tcPr/>
          <w:p>
            <w:pPr>
              <w:pStyle w:val="TableText"/>
            </w:pPr>
            <w:r>
              <w:t xml:space="preserve">Competing hypotheses, supporting/contradicting evidence, gaps, discriminating questions.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Assessment Editor</w:t>
            </w:r>
          </w:p>
        </w:tc>
        <w:tc>
          <w:tcPr/>
          <w:p>
            <w:pPr>
              <w:pStyle w:val="TableText"/>
            </w:pPr>
            <w:r>
              <w:t xml:space="preserve">Judgement, confidence, basis, alternatives, assumptions, gaps, reviewer status.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Product / Review Workspace</w:t>
            </w:r>
          </w:p>
        </w:tc>
        <w:tc>
          <w:tcPr/>
          <w:p>
            <w:pPr>
              <w:pStyle w:val="TableText"/>
            </w:pPr>
            <w:r>
              <w:t xml:space="preserve">Template, evidence index, comments, red-team checklist, approval, versioning.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Admin / Assurance</w:t>
            </w:r>
          </w:p>
        </w:tc>
        <w:tc>
          <w:tcPr/>
          <w:p>
            <w:pPr>
              <w:pStyle w:val="TableText"/>
            </w:pPr>
            <w:r>
              <w:t xml:space="preserve">Users/roles, vocabularies, connectors, policy, retention, audit, control evidence and system health.</w:t>
            </w:r>
          </w:p>
        </w:tc>
      </w:tr>
    </w:tbl>
    <w:bookmarkEnd w:id="39"/>
    <w:bookmarkStart w:id="40" w:name="Xf2e023487d16f37ef4d94cb6d7035d6e27508d0"/>
    <w:p>
      <w:pPr>
        <w:pStyle w:val="Heading1"/>
      </w:pPr>
      <w:r>
        <w:t xml:space="preserve">16. Suggested Engineering Epics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5"/>
        <w:gridCol w:w="1491"/>
        <w:gridCol w:w="563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Epic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Scope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EPIC-01</w:t>
            </w:r>
          </w:p>
        </w:tc>
        <w:tc>
          <w:tcPr/>
          <w:p>
            <w:pPr>
              <w:pStyle w:val="TableText"/>
            </w:pPr>
            <w:r>
              <w:t xml:space="preserve">Foundation platform</w:t>
            </w:r>
          </w:p>
        </w:tc>
        <w:tc>
          <w:tcPr/>
          <w:p>
            <w:pPr>
              <w:pStyle w:val="TableText"/>
            </w:pPr>
            <w:r>
              <w:t xml:space="preserve">Project skeleton, auth, tenancy/deployment policy, canonical IDs, audit framework.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EPIC-02</w:t>
            </w:r>
          </w:p>
        </w:tc>
        <w:tc>
          <w:tcPr/>
          <w:p>
            <w:pPr>
              <w:pStyle w:val="TableText"/>
            </w:pPr>
            <w:r>
              <w:t xml:space="preserve">Case &amp; workflow</w:t>
            </w:r>
          </w:p>
        </w:tc>
        <w:tc>
          <w:tcPr/>
          <w:p>
            <w:pPr>
              <w:pStyle w:val="TableText"/>
            </w:pPr>
            <w:r>
              <w:t xml:space="preserve">Case charter, tasks, gates, ownership, lifecycle.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EPIC-03</w:t>
            </w:r>
          </w:p>
        </w:tc>
        <w:tc>
          <w:tcPr/>
          <w:p>
            <w:pPr>
              <w:pStyle w:val="TableText"/>
            </w:pPr>
            <w:r>
              <w:t xml:space="preserve">Evidence &amp; provenance</w:t>
            </w:r>
          </w:p>
        </w:tc>
        <w:tc>
          <w:tcPr/>
          <w:p>
            <w:pPr>
              <w:pStyle w:val="TableText"/>
            </w:pPr>
            <w:r>
              <w:t xml:space="preserve">Source/evidence registry, file store, hash, extracts, derivatives, claim and fact lifecycle.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EPIC-04</w:t>
            </w:r>
          </w:p>
        </w:tc>
        <w:tc>
          <w:tcPr/>
          <w:p>
            <w:pPr>
              <w:pStyle w:val="TableText"/>
            </w:pPr>
            <w:r>
              <w:t xml:space="preserve">Entity model &amp; resolution</w:t>
            </w:r>
          </w:p>
        </w:tc>
        <w:tc>
          <w:tcPr/>
          <w:p>
            <w:pPr>
              <w:pStyle w:val="TableText"/>
            </w:pPr>
            <w:r>
              <w:t xml:space="preserve">Entity registry, identifiers, match candidates, merge/unmerge.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EPIC-05</w:t>
            </w:r>
          </w:p>
        </w:tc>
        <w:tc>
          <w:tcPr/>
          <w:p>
            <w:pPr>
              <w:pStyle w:val="TableText"/>
            </w:pPr>
            <w:r>
              <w:t xml:space="preserve">Relationships/assets/events</w:t>
            </w:r>
          </w:p>
        </w:tc>
        <w:tc>
          <w:tcPr/>
          <w:p>
            <w:pPr>
              <w:pStyle w:val="TableText"/>
            </w:pPr>
            <w:r>
              <w:t xml:space="preserve">First-class graph objects, ownership/control, assets, event/timeline.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EPIC-06</w:t>
            </w:r>
          </w:p>
        </w:tc>
        <w:tc>
          <w:tcPr/>
          <w:p>
            <w:pPr>
              <w:pStyle w:val="TableText"/>
            </w:pPr>
            <w:r>
              <w:t xml:space="preserve">Value-flow</w:t>
            </w:r>
          </w:p>
        </w:tc>
        <w:tc>
          <w:tcPr/>
          <w:p>
            <w:pPr>
              <w:pStyle w:val="TableText"/>
            </w:pPr>
            <w:r>
              <w:t xml:space="preserve">Flow/legs, visual builder, classifications, calculations.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EPIC-07</w:t>
            </w:r>
          </w:p>
        </w:tc>
        <w:tc>
          <w:tcPr/>
          <w:p>
            <w:pPr>
              <w:pStyle w:val="TableText"/>
            </w:pPr>
            <w:r>
              <w:t xml:space="preserve">Typology &amp; hypothesis</w:t>
            </w:r>
          </w:p>
        </w:tc>
        <w:tc>
          <w:tcPr/>
          <w:p>
            <w:pPr>
              <w:pStyle w:val="TableText"/>
            </w:pPr>
            <w:r>
              <w:t xml:space="preserve">Catalogue, indicators, hypothesis matrix, gaps.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EPIC-08</w:t>
            </w:r>
          </w:p>
        </w:tc>
        <w:tc>
          <w:tcPr/>
          <w:p>
            <w:pPr>
              <w:pStyle w:val="TableText"/>
            </w:pPr>
            <w:r>
              <w:t xml:space="preserve">Assessment &amp; products</w:t>
            </w:r>
          </w:p>
        </w:tc>
        <w:tc>
          <w:tcPr/>
          <w:p>
            <w:pPr>
              <w:pStyle w:val="TableText"/>
            </w:pPr>
            <w:r>
              <w:t xml:space="preserve">Confidence, intelligence product, evidence index, versioning.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EPIC-09</w:t>
            </w:r>
          </w:p>
        </w:tc>
        <w:tc>
          <w:tcPr/>
          <w:p>
            <w:pPr>
              <w:pStyle w:val="TableText"/>
            </w:pPr>
            <w:r>
              <w:t xml:space="preserve">Review &amp; dissemination</w:t>
            </w:r>
          </w:p>
        </w:tc>
        <w:tc>
          <w:tcPr/>
          <w:p>
            <w:pPr>
              <w:pStyle w:val="TableText"/>
            </w:pPr>
            <w:r>
              <w:t xml:space="preserve">Peer review, red-team, approval, secure export, referral, sharing log.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EPIC-10</w:t>
            </w:r>
          </w:p>
        </w:tc>
        <w:tc>
          <w:tcPr/>
          <w:p>
            <w:pPr>
              <w:pStyle w:val="TableText"/>
            </w:pPr>
            <w:r>
              <w:t xml:space="preserve">Search &amp; graph</w:t>
            </w:r>
          </w:p>
        </w:tc>
        <w:tc>
          <w:tcPr/>
          <w:p>
            <w:pPr>
              <w:pStyle w:val="TableText"/>
            </w:pPr>
            <w:r>
              <w:t xml:space="preserve">FTS, faceted search, graph projection/explorer, saved views.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EPIC-11</w:t>
            </w:r>
          </w:p>
        </w:tc>
        <w:tc>
          <w:tcPr/>
          <w:p>
            <w:pPr>
              <w:pStyle w:val="TableText"/>
            </w:pPr>
            <w:r>
              <w:t xml:space="preserve">Security &amp; operations</w:t>
            </w:r>
          </w:p>
        </w:tc>
        <w:tc>
          <w:tcPr/>
          <w:p>
            <w:pPr>
              <w:pStyle w:val="TableText"/>
            </w:pPr>
            <w:r>
              <w:t xml:space="preserve">RBAC, protected source, backup/restore, monitoring, incident support.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EPIC-12</w:t>
            </w:r>
          </w:p>
        </w:tc>
        <w:tc>
          <w:tcPr/>
          <w:p>
            <w:pPr>
              <w:pStyle w:val="TableText"/>
            </w:pPr>
            <w:r>
              <w:t xml:space="preserve">Integrations</w:t>
            </w:r>
          </w:p>
        </w:tc>
        <w:tc>
          <w:tcPr/>
          <w:p>
            <w:pPr>
              <w:pStyle w:val="TableText"/>
            </w:pPr>
            <w:r>
              <w:t xml:space="preserve">OpenAleph, OpenSanctions, FTM, GraphSense, external graph/search.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EPIC-13</w:t>
            </w:r>
          </w:p>
        </w:tc>
        <w:tc>
          <w:tcPr/>
          <w:p>
            <w:pPr>
              <w:pStyle w:val="TableText"/>
            </w:pPr>
            <w:r>
              <w:t xml:space="preserve">AI assist</w:t>
            </w:r>
          </w:p>
        </w:tc>
        <w:tc>
          <w:tcPr/>
          <w:p>
            <w:pPr>
              <w:pStyle w:val="TableText"/>
            </w:pPr>
            <w:r>
              <w:t xml:space="preserve">Controlled extraction, summarisation, grounded assistant, model audit.</w:t>
            </w:r>
          </w:p>
        </w:tc>
      </w:tr>
    </w:tbl>
    <w:bookmarkEnd w:id="40"/>
    <w:bookmarkStart w:id="41" w:name="X203bb5045730c43aa407d0fef477da761da3d5f"/>
    <w:p>
      <w:pPr>
        <w:pStyle w:val="Heading1"/>
      </w:pPr>
      <w:r>
        <w:t xml:space="preserve">17. Acceptance and Test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9"/>
        <w:gridCol w:w="618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Test domain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Minimum acceptance approach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Functional acceptance</w:t>
            </w:r>
          </w:p>
        </w:tc>
        <w:tc>
          <w:tcPr/>
          <w:p>
            <w:pPr>
              <w:pStyle w:val="TableText"/>
            </w:pPr>
            <w:r>
              <w:t xml:space="preserve">Feature-specific acceptance criteria in Section 8 SHALL be converted to executable/manual test cases.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Methodology conformance</w:t>
            </w:r>
          </w:p>
        </w:tc>
        <w:tc>
          <w:tcPr/>
          <w:p>
            <w:pPr>
              <w:pStyle w:val="TableText"/>
            </w:pPr>
            <w:r>
              <w:t xml:space="preserve">Test that users cannot silently skip mandatory separation between evidence, fact, hypothesis and assessment.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Permission testing</w:t>
            </w:r>
          </w:p>
        </w:tc>
        <w:tc>
          <w:tcPr/>
          <w:p>
            <w:pPr>
              <w:pStyle w:val="TableText"/>
            </w:pPr>
            <w:r>
              <w:t xml:space="preserve">Include positive and negative tests for case/object/source compartment access.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Provenance testing</w:t>
            </w:r>
          </w:p>
        </w:tc>
        <w:tc>
          <w:tcPr/>
          <w:p>
            <w:pPr>
              <w:pStyle w:val="TableText"/>
            </w:pPr>
            <w:r>
              <w:t xml:space="preserve">Randomly sample material findings and trace backward to evidence/source.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Entity-resolution testing</w:t>
            </w:r>
          </w:p>
        </w:tc>
        <w:tc>
          <w:tcPr/>
          <w:p>
            <w:pPr>
              <w:pStyle w:val="TableText"/>
            </w:pPr>
            <w:r>
              <w:t xml:space="preserve">Test false-positive merges, conflicting identifiers, reversal, and historical integrity.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Value-flow testing</w:t>
            </w:r>
          </w:p>
        </w:tc>
        <w:tc>
          <w:tcPr/>
          <w:p>
            <w:pPr>
              <w:pStyle w:val="TableText"/>
            </w:pPr>
            <w:r>
              <w:t xml:space="preserve">Verify all four flow classes remain distinct in DB/API/UI/export.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Review testing</w:t>
            </w:r>
          </w:p>
        </w:tc>
        <w:tc>
          <w:tcPr/>
          <w:p>
            <w:pPr>
              <w:pStyle w:val="TableText"/>
            </w:pPr>
            <w:r>
              <w:t xml:space="preserve">High-impact product cannot be finalised without required independent review.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Audit testing</w:t>
            </w:r>
          </w:p>
        </w:tc>
        <w:tc>
          <w:tcPr/>
          <w:p>
            <w:pPr>
              <w:pStyle w:val="TableText"/>
            </w:pPr>
            <w:r>
              <w:t xml:space="preserve">Critical action creates audit event and ordinary users cannot edit/delete it.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Connector testing</w:t>
            </w:r>
          </w:p>
        </w:tc>
        <w:tc>
          <w:tcPr/>
          <w:p>
            <w:pPr>
              <w:pStyle w:val="TableText"/>
            </w:pPr>
            <w:r>
              <w:t xml:space="preserve">External enrichment failure or stale data cannot corrupt canonical objects.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AI testing</w:t>
            </w:r>
          </w:p>
        </w:tc>
        <w:tc>
          <w:tcPr/>
          <w:p>
            <w:pPr>
              <w:pStyle w:val="TableText"/>
            </w:pPr>
            <w:r>
              <w:t xml:space="preserve">AI output is visibly derived, grounded where applicable, and blocked from autonomous adverse decision or dissemination.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Backup/restore testing</w:t>
            </w:r>
          </w:p>
        </w:tc>
        <w:tc>
          <w:tcPr/>
          <w:p>
            <w:pPr>
              <w:pStyle w:val="TableText"/>
            </w:pPr>
            <w:r>
              <w:t xml:space="preserve">Restore canonical DB and evidence into isolated environment and verify object/evidence integrity.</w:t>
            </w:r>
          </w:p>
        </w:tc>
      </w:tr>
    </w:tbl>
    <w:bookmarkEnd w:id="41"/>
    <w:bookmarkStart w:id="42" w:name="Xe47aed930b1fdb3818990bf27bea3ab93432108"/>
    <w:p>
      <w:pPr>
        <w:pStyle w:val="Heading1"/>
      </w:pPr>
      <w:r>
        <w:t xml:space="preserve">18. Product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0"/>
        <w:gridCol w:w="570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Provenance coverage</w:t>
            </w:r>
          </w:p>
        </w:tc>
        <w:tc>
          <w:tcPr/>
          <w:p>
            <w:pPr>
              <w:pStyle w:val="TableText"/>
            </w:pPr>
            <w:r>
              <w:t xml:space="preserve">% material facts/relationships/value flows with direct evidence/source links.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Entity correction rate</w:t>
            </w:r>
          </w:p>
        </w:tc>
        <w:tc>
          <w:tcPr/>
          <w:p>
            <w:pPr>
              <w:pStyle w:val="TableText"/>
            </w:pPr>
            <w:r>
              <w:t xml:space="preserve">Merge/unmerge correction rate and false-match review outcome.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Review coverage</w:t>
            </w:r>
          </w:p>
        </w:tc>
        <w:tc>
          <w:tcPr/>
          <w:p>
            <w:pPr>
              <w:pStyle w:val="TableText"/>
            </w:pPr>
            <w:r>
              <w:t xml:space="preserve">% high-impact products independently reviewed before dissemination.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Gap visibility</w:t>
            </w:r>
          </w:p>
        </w:tc>
        <w:tc>
          <w:tcPr/>
          <w:p>
            <w:pPr>
              <w:pStyle w:val="TableText"/>
            </w:pPr>
            <w:r>
              <w:t xml:space="preserve">% material assessments with explicit intelligence gaps.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Alternative-hypothesis coverage</w:t>
            </w:r>
          </w:p>
        </w:tc>
        <w:tc>
          <w:tcPr/>
          <w:p>
            <w:pPr>
              <w:pStyle w:val="TableText"/>
            </w:pPr>
            <w:r>
              <w:t xml:space="preserve">% high-impact adverse assessments with documented alternatives/disconfirmation.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Time-to-triage</w:t>
            </w:r>
          </w:p>
        </w:tc>
        <w:tc>
          <w:tcPr/>
          <w:p>
            <w:pPr>
              <w:pStyle w:val="TableText"/>
            </w:pPr>
            <w:r>
              <w:t xml:space="preserve">Median lead intake to open/reject/monitor decision.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Time-to-review</w:t>
            </w:r>
          </w:p>
        </w:tc>
        <w:tc>
          <w:tcPr/>
          <w:p>
            <w:pPr>
              <w:pStyle w:val="TableText"/>
            </w:pPr>
            <w:r>
              <w:t xml:space="preserve">Median draft product to completed peer review.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Referral usefulness</w:t>
            </w:r>
          </w:p>
        </w:tc>
        <w:tc>
          <w:tcPr/>
          <w:p>
            <w:pPr>
              <w:pStyle w:val="TableText"/>
            </w:pPr>
            <w:r>
              <w:t xml:space="preserve">Recipient feedback or follow-up rate where legitimately measurable.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Security/privacy incidents</w:t>
            </w:r>
          </w:p>
        </w:tc>
        <w:tc>
          <w:tcPr/>
          <w:p>
            <w:pPr>
              <w:pStyle w:val="TableText"/>
            </w:pPr>
            <w:r>
              <w:t xml:space="preserve">Source exposure, unauthorised access, accidental export or retention exceptions.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Analyst rework</w:t>
            </w:r>
          </w:p>
        </w:tc>
        <w:tc>
          <w:tcPr/>
          <w:p>
            <w:pPr>
              <w:pStyle w:val="TableText"/>
            </w:pPr>
            <w:r>
              <w:t xml:space="preserve">Corrections caused by missing provenance, identity error, unsupported relationship or ambiguous flow classification.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Metric warning</w:t>
      </w:r>
      <w:r>
        <w:br/>
      </w:r>
      <w:r>
        <w:t xml:space="preserve">Node count, scraped-record count, number of alerts, AI-generated suggestions, or number of cases are not sufficient measures of effectiveness.</w:t>
      </w:r>
    </w:p>
    <w:bookmarkEnd w:id="42"/>
    <w:bookmarkStart w:id="43" w:name="X678c56e0776711688944fbff3693a9c57fc7ab8"/>
    <w:p>
      <w:pPr>
        <w:pStyle w:val="Heading1"/>
      </w:pPr>
      <w:r>
        <w:t xml:space="preserve">19. Framework-to-Product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3"/>
        <w:gridCol w:w="1575"/>
        <w:gridCol w:w="2906"/>
        <w:gridCol w:w="108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Framework requirement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Feature implementation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Data objects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Controls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before allegation</w:t>
            </w:r>
          </w:p>
        </w:tc>
        <w:tc>
          <w:tcPr/>
          <w:p>
            <w:pPr>
              <w:pStyle w:val="TableText"/>
            </w:pPr>
            <w:r>
              <w:t xml:space="preserve">F-EVD-*; F-HYP-*; F-ASM-*</w:t>
            </w:r>
          </w:p>
        </w:tc>
        <w:tc>
          <w:tcPr/>
          <w:p>
            <w:pPr>
              <w:pStyle w:val="TableText"/>
            </w:pPr>
            <w:r>
              <w:t xml:space="preserve">Source/Evidence/Fact/Hypothesis/Assessment</w:t>
            </w:r>
          </w:p>
        </w:tc>
        <w:tc>
          <w:tcPr/>
          <w:p>
            <w:pPr>
              <w:pStyle w:val="TableText"/>
            </w:pPr>
            <w:r>
              <w:t xml:space="preserve">SRC/EVD/HYP/ASM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 is context; reusable truth objects</w:t>
            </w:r>
          </w:p>
        </w:tc>
        <w:tc>
          <w:tcPr/>
          <w:p>
            <w:pPr>
              <w:pStyle w:val="TableText"/>
            </w:pPr>
            <w:r>
              <w:t xml:space="preserve">F-CASE-*; F-ENT-*; F-EVD-*</w:t>
            </w:r>
          </w:p>
        </w:tc>
        <w:tc>
          <w:tcPr/>
          <w:p>
            <w:pPr>
              <w:pStyle w:val="TableText"/>
            </w:pPr>
            <w:r>
              <w:t xml:space="preserve">Case/Entity/Evidence</w:t>
            </w:r>
          </w:p>
        </w:tc>
        <w:tc>
          <w:tcPr/>
          <w:p>
            <w:pPr>
              <w:pStyle w:val="TableText"/>
            </w:pPr>
            <w:r>
              <w:t xml:space="preserve">CAS/ENT/EVD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Follow the value</w:t>
            </w:r>
          </w:p>
        </w:tc>
        <w:tc>
          <w:tcPr/>
          <w:p>
            <w:pPr>
              <w:pStyle w:val="TableText"/>
            </w:pPr>
            <w:r>
              <w:t xml:space="preserve">F-VAL-*</w:t>
            </w:r>
          </w:p>
        </w:tc>
        <w:tc>
          <w:tcPr/>
          <w:p>
            <w:pPr>
              <w:pStyle w:val="TableText"/>
            </w:pPr>
            <w:r>
              <w:t xml:space="preserve">ValueFlow/ValueFlowLeg</w:t>
            </w:r>
          </w:p>
        </w:tc>
        <w:tc>
          <w:tcPr/>
          <w:p>
            <w:pPr>
              <w:pStyle w:val="TableText"/>
            </w:pPr>
            <w:r>
              <w:t xml:space="preserve">VAL-01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Typology caution</w:t>
            </w:r>
          </w:p>
        </w:tc>
        <w:tc>
          <w:tcPr/>
          <w:p>
            <w:pPr>
              <w:pStyle w:val="TableText"/>
            </w:pPr>
            <w:r>
              <w:t xml:space="preserve">F-TYP-*</w:t>
            </w:r>
          </w:p>
        </w:tc>
        <w:tc>
          <w:tcPr/>
          <w:p>
            <w:pPr>
              <w:pStyle w:val="TableText"/>
            </w:pPr>
            <w:r>
              <w:t xml:space="preserve">Typology/Indicator/TypologyMatch</w:t>
            </w:r>
          </w:p>
        </w:tc>
        <w:tc>
          <w:tcPr/>
          <w:p>
            <w:pPr>
              <w:pStyle w:val="TableText"/>
            </w:pPr>
            <w:r>
              <w:t xml:space="preserve">TYP-01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Entity resolution reversibility</w:t>
            </w:r>
          </w:p>
        </w:tc>
        <w:tc>
          <w:tcPr/>
          <w:p>
            <w:pPr>
              <w:pStyle w:val="TableText"/>
            </w:pPr>
            <w:r>
              <w:t xml:space="preserve">F-ENT-003/004/005</w:t>
            </w:r>
          </w:p>
        </w:tc>
        <w:tc>
          <w:tcPr/>
          <w:p>
            <w:pPr>
              <w:pStyle w:val="TableText"/>
            </w:pPr>
            <w:r>
              <w:t xml:space="preserve">EntityMatchCandidate/ResolutionDecision</w:t>
            </w:r>
            <w:r>
              <w:t xml:space="preserve"> </w:t>
            </w:r>
            <w:r>
              <w:rPr>
                <w:i/>
                <w:iCs/>
              </w:rPr>
              <w:t xml:space="preserve">[v0.1.1 · ER]</w:t>
            </w:r>
          </w:p>
        </w:tc>
        <w:tc>
          <w:tcPr/>
          <w:p>
            <w:pPr>
              <w:pStyle w:val="TableText"/>
            </w:pPr>
            <w:r>
              <w:t xml:space="preserve">ENT-01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Alternative explanations</w:t>
            </w:r>
          </w:p>
        </w:tc>
        <w:tc>
          <w:tcPr/>
          <w:p>
            <w:pPr>
              <w:pStyle w:val="TableText"/>
            </w:pPr>
            <w:r>
              <w:t xml:space="preserve">F-HYP-001/002/003</w:t>
            </w:r>
          </w:p>
        </w:tc>
        <w:tc>
          <w:tcPr/>
          <w:p>
            <w:pPr>
              <w:pStyle w:val="TableText"/>
            </w:pPr>
            <w:r>
              <w:t xml:space="preserve">Hypothesis/IntelligenceGap</w:t>
            </w:r>
          </w:p>
        </w:tc>
        <w:tc>
          <w:tcPr/>
          <w:p>
            <w:pPr>
              <w:pStyle w:val="TableText"/>
            </w:pPr>
            <w:r>
              <w:t xml:space="preserve">HYP-01/HYP-02/GAP-01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Confidence and assessment</w:t>
            </w:r>
          </w:p>
        </w:tc>
        <w:tc>
          <w:tcPr/>
          <w:p>
            <w:pPr>
              <w:pStyle w:val="TableText"/>
            </w:pPr>
            <w:r>
              <w:t xml:space="preserve">F-ASM-001/002</w:t>
            </w:r>
          </w:p>
        </w:tc>
        <w:tc>
          <w:tcPr/>
          <w:p>
            <w:pPr>
              <w:pStyle w:val="TableText"/>
            </w:pPr>
            <w:r>
              <w:t xml:space="preserve">Assessment</w:t>
            </w:r>
          </w:p>
        </w:tc>
        <w:tc>
          <w:tcPr/>
          <w:p>
            <w:pPr>
              <w:pStyle w:val="TableText"/>
            </w:pPr>
            <w:r>
              <w:t xml:space="preserve">ASM-01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Peer review</w:t>
            </w:r>
          </w:p>
        </w:tc>
        <w:tc>
          <w:tcPr/>
          <w:p>
            <w:pPr>
              <w:pStyle w:val="TableText"/>
            </w:pPr>
            <w:r>
              <w:t xml:space="preserve">F-REV-*</w:t>
            </w:r>
          </w:p>
        </w:tc>
        <w:tc>
          <w:tcPr/>
          <w:p>
            <w:pPr>
              <w:pStyle w:val="TableText"/>
            </w:pPr>
            <w:r>
              <w:t xml:space="preserve">Review</w:t>
            </w:r>
          </w:p>
        </w:tc>
        <w:tc>
          <w:tcPr/>
          <w:p>
            <w:pPr>
              <w:pStyle w:val="TableText"/>
            </w:pPr>
            <w:r>
              <w:t xml:space="preserve">QUA-01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Controlled dissemination</w:t>
            </w:r>
          </w:p>
        </w:tc>
        <w:tc>
          <w:tcPr/>
          <w:p>
            <w:pPr>
              <w:pStyle w:val="TableText"/>
            </w:pPr>
            <w:r>
              <w:t xml:space="preserve">F-DIS-*</w:t>
            </w:r>
          </w:p>
        </w:tc>
        <w:tc>
          <w:tcPr/>
          <w:p>
            <w:pPr>
              <w:pStyle w:val="TableText"/>
            </w:pPr>
            <w:r>
              <w:t xml:space="preserve">Dissemination/IntelligenceProduct</w:t>
            </w:r>
          </w:p>
        </w:tc>
        <w:tc>
          <w:tcPr/>
          <w:p>
            <w:pPr>
              <w:pStyle w:val="TableText"/>
            </w:pPr>
            <w:r>
              <w:t xml:space="preserve">DIS-01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Protected sources</w:t>
            </w:r>
          </w:p>
        </w:tc>
        <w:tc>
          <w:tcPr/>
          <w:p>
            <w:pPr>
              <w:pStyle w:val="TableText"/>
            </w:pPr>
            <w:r>
              <w:t xml:space="preserve">F-SEC-003</w:t>
            </w:r>
          </w:p>
        </w:tc>
        <w:tc>
          <w:tcPr/>
          <w:p>
            <w:pPr>
              <w:pStyle w:val="TableText"/>
            </w:pPr>
            <w:r>
              <w:t xml:space="preserve">ProtectedSource</w:t>
            </w:r>
          </w:p>
        </w:tc>
        <w:tc>
          <w:tcPr/>
          <w:p>
            <w:pPr>
              <w:pStyle w:val="TableText"/>
            </w:pPr>
            <w:r>
              <w:t xml:space="preserve">SEC-02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AI is assistive</w:t>
            </w:r>
          </w:p>
        </w:tc>
        <w:tc>
          <w:tcPr/>
          <w:p>
            <w:pPr>
              <w:pStyle w:val="TableText"/>
            </w:pPr>
            <w:r>
              <w:t xml:space="preserve">F-AI-*; F-DOC-004/006</w:t>
            </w:r>
          </w:p>
        </w:tc>
        <w:tc>
          <w:tcPr/>
          <w:p>
            <w:pPr>
              <w:pStyle w:val="TableText"/>
            </w:pPr>
            <w:r>
              <w:t xml:space="preserve">DerivedArtifact/Candidate</w:t>
            </w:r>
          </w:p>
        </w:tc>
        <w:tc>
          <w:tcPr/>
          <w:p>
            <w:pPr>
              <w:pStyle w:val="TableText"/>
            </w:pPr>
            <w:r>
              <w:t xml:space="preserve">TEC-01/TEC-02</w:t>
            </w:r>
          </w:p>
        </w:tc>
      </w:tr>
    </w:tbl>
    <w:bookmarkEnd w:id="43"/>
    <w:bookmarkStart w:id="44" w:name="Xd7f6b7d187649b197cfc1f07f41845763d1ec9c"/>
    <w:p>
      <w:pPr>
        <w:pStyle w:val="Heading1"/>
      </w:pPr>
      <w:r>
        <w:t xml:space="preserve">20. Open Product Decisions for v0.1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6"/>
        <w:gridCol w:w="1927"/>
        <w:gridCol w:w="538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Recommended v0.1 stance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PD-01</w:t>
            </w:r>
          </w:p>
        </w:tc>
        <w:tc>
          <w:tcPr/>
          <w:p>
            <w:pPr>
              <w:pStyle w:val="TableText"/>
            </w:pPr>
            <w:r>
              <w:t xml:space="preserve">Single-organisation first vs multi-tenant from day one</w:t>
            </w:r>
          </w:p>
        </w:tc>
        <w:tc>
          <w:tcPr/>
          <w:p>
            <w:pPr>
              <w:pStyle w:val="TableText"/>
            </w:pPr>
            <w:r>
              <w:t xml:space="preserve">Recommendation: single-organisation / strong case compartment first; design schema for later multi-tenancy.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PD-02</w:t>
            </w:r>
          </w:p>
        </w:tc>
        <w:tc>
          <w:tcPr/>
          <w:p>
            <w:pPr>
              <w:pStyle w:val="TableText"/>
            </w:pPr>
            <w:r>
              <w:t xml:space="preserve">OpenAleph as dependency vs connector</w:t>
            </w:r>
          </w:p>
        </w:tc>
        <w:tc>
          <w:tcPr/>
          <w:p>
            <w:pPr>
              <w:pStyle w:val="TableText"/>
            </w:pPr>
            <w:r>
              <w:t xml:space="preserve">Recommendation: connector/adjacent service, not hard dependency, until workflow is validated.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PD-03</w:t>
            </w:r>
          </w:p>
        </w:tc>
        <w:tc>
          <w:tcPr/>
          <w:p>
            <w:pPr>
              <w:pStyle w:val="TableText"/>
            </w:pPr>
            <w:r>
              <w:t xml:space="preserve">FollowTheMoney adoption depth</w:t>
            </w:r>
          </w:p>
        </w:tc>
        <w:tc>
          <w:tcPr/>
          <w:p>
            <w:pPr>
              <w:pStyle w:val="TableText"/>
            </w:pPr>
            <w:r>
              <w:t xml:space="preserve">Recommendation: interoperability mapping and selective reuse; retain CS-AML-specific Evidence/Hypothesis/Assessment model.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PD-04</w:t>
            </w:r>
          </w:p>
        </w:tc>
        <w:tc>
          <w:tcPr/>
          <w:p>
            <w:pPr>
              <w:pStyle w:val="TableText"/>
            </w:pPr>
            <w:r>
              <w:t xml:space="preserve">Graph database in MVP</w:t>
            </w:r>
          </w:p>
        </w:tc>
        <w:tc>
          <w:tcPr/>
          <w:p>
            <w:pPr>
              <w:pStyle w:val="TableText"/>
            </w:pPr>
            <w:r>
              <w:t xml:space="preserve">Recommendation: optional projection. MVP can use relational canonical model plus graph view; introduce dedicated graph DB when scale/queries justify it.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PD-05</w:t>
            </w:r>
          </w:p>
        </w:tc>
        <w:tc>
          <w:tcPr/>
          <w:p>
            <w:pPr>
              <w:pStyle w:val="TableText"/>
            </w:pPr>
            <w:r>
              <w:t xml:space="preserve">AI in MVP</w:t>
            </w:r>
          </w:p>
        </w:tc>
        <w:tc>
          <w:tcPr/>
          <w:p>
            <w:pPr>
              <w:pStyle w:val="TableText"/>
            </w:pPr>
            <w:r>
              <w:t xml:space="preserve">Recommendation: not required for MVP completion. Introduce after evidence/provenance and review workflow are stable.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PD-06</w:t>
            </w:r>
          </w:p>
        </w:tc>
        <w:tc>
          <w:tcPr/>
          <w:p>
            <w:pPr>
              <w:pStyle w:val="TableText"/>
            </w:pPr>
            <w:r>
              <w:t xml:space="preserve">Public-source connectors</w:t>
            </w:r>
          </w:p>
        </w:tc>
        <w:tc>
          <w:tcPr/>
          <w:p>
            <w:pPr>
              <w:pStyle w:val="TableText"/>
            </w:pPr>
            <w:r>
              <w:t xml:space="preserve">Recommendation: begin with manual import + a small number of legally reviewed connectors; avoid uncontrolled scraping framework in v0.1.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PD-07</w:t>
            </w:r>
          </w:p>
        </w:tc>
        <w:tc>
          <w:tcPr/>
          <w:p>
            <w:pPr>
              <w:pStyle w:val="TableText"/>
            </w:pPr>
            <w:r>
              <w:t xml:space="preserve">Mobile support</w:t>
            </w:r>
          </w:p>
        </w:tc>
        <w:tc>
          <w:tcPr/>
          <w:p>
            <w:pPr>
              <w:pStyle w:val="TableText"/>
            </w:pPr>
            <w:r>
              <w:t xml:space="preserve">Recommendation: responsive read/review/task capability first; sensitive collection and evidence handling optimised for desktop.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PD-08</w:t>
            </w:r>
          </w:p>
        </w:tc>
        <w:tc>
          <w:tcPr/>
          <w:p>
            <w:pPr>
              <w:pStyle w:val="TableText"/>
            </w:pPr>
            <w:r>
              <w:t xml:space="preserve">Federation</w:t>
            </w:r>
          </w:p>
        </w:tc>
        <w:tc>
          <w:tcPr/>
          <w:p>
            <w:pPr>
              <w:pStyle w:val="TableText"/>
            </w:pPr>
            <w:r>
              <w:t xml:space="preserve">Recommendation: defer to Phase 3; first establish object-level sharing and export manifests.</w:t>
            </w:r>
          </w:p>
        </w:tc>
      </w:tr>
    </w:tbl>
    <w:bookmarkEnd w:id="44"/>
    <w:bookmarkStart w:id="45" w:name="annex-a--canonical-user-story-format"/>
    <w:p>
      <w:pPr>
        <w:pStyle w:val="Heading1"/>
      </w:pPr>
      <w:r>
        <w:t xml:space="preserve">Annex A — Canonical User Story Format</w:t>
      </w:r>
    </w:p>
    <w:p>
      <w:pPr>
        <w:pStyle w:val="FirstParagraph"/>
      </w:pPr>
      <w:r>
        <w:t xml:space="preserve">Each backlog item SHOULD use the following fields:</w:t>
      </w:r>
    </w:p>
    <w:p>
      <w:pPr>
        <w:numPr>
          <w:ilvl w:val="0"/>
          <w:numId w:val="1002"/>
        </w:numPr>
      </w:pPr>
      <w:r>
        <w:t xml:space="preserve">Feature ID / Epic ID</w:t>
      </w:r>
    </w:p>
    <w:p>
      <w:pPr>
        <w:numPr>
          <w:ilvl w:val="0"/>
          <w:numId w:val="1002"/>
        </w:numPr>
      </w:pPr>
      <w:r>
        <w:t xml:space="preserve">As a &lt;role&gt;</w:t>
      </w:r>
    </w:p>
    <w:p>
      <w:pPr>
        <w:numPr>
          <w:ilvl w:val="0"/>
          <w:numId w:val="1002"/>
        </w:numPr>
      </w:pPr>
      <w:r>
        <w:t xml:space="preserve">I want &lt;capability&gt;</w:t>
      </w:r>
    </w:p>
    <w:p>
      <w:pPr>
        <w:numPr>
          <w:ilvl w:val="0"/>
          <w:numId w:val="1002"/>
        </w:numPr>
      </w:pPr>
      <w:r>
        <w:t xml:space="preserve">So that &lt;investigative/control outcome&gt;</w:t>
      </w:r>
    </w:p>
    <w:p>
      <w:pPr>
        <w:numPr>
          <w:ilvl w:val="0"/>
          <w:numId w:val="1002"/>
        </w:numPr>
      </w:pPr>
      <w:r>
        <w:t xml:space="preserve">Preconditions</w:t>
      </w:r>
    </w:p>
    <w:p>
      <w:pPr>
        <w:numPr>
          <w:ilvl w:val="0"/>
          <w:numId w:val="1002"/>
        </w:numPr>
      </w:pPr>
      <w:r>
        <w:t xml:space="preserve">Primary flow</w:t>
      </w:r>
    </w:p>
    <w:p>
      <w:pPr>
        <w:numPr>
          <w:ilvl w:val="0"/>
          <w:numId w:val="1002"/>
        </w:numPr>
      </w:pPr>
      <w:r>
        <w:t xml:space="preserve">Alternative/error flows</w:t>
      </w:r>
    </w:p>
    <w:p>
      <w:pPr>
        <w:numPr>
          <w:ilvl w:val="0"/>
          <w:numId w:val="1002"/>
        </w:numPr>
      </w:pPr>
      <w:r>
        <w:t xml:space="preserve">Data objects touched</w:t>
      </w:r>
    </w:p>
    <w:p>
      <w:pPr>
        <w:numPr>
          <w:ilvl w:val="0"/>
          <w:numId w:val="1002"/>
        </w:numPr>
      </w:pPr>
      <w:r>
        <w:t xml:space="preserve">Control references</w:t>
      </w:r>
    </w:p>
    <w:p>
      <w:pPr>
        <w:numPr>
          <w:ilvl w:val="0"/>
          <w:numId w:val="1002"/>
        </w:numPr>
      </w:pPr>
      <w:r>
        <w:t xml:space="preserve">Security/privacy considerations</w:t>
      </w:r>
    </w:p>
    <w:p>
      <w:pPr>
        <w:numPr>
          <w:ilvl w:val="0"/>
          <w:numId w:val="1002"/>
        </w:numPr>
      </w:pPr>
      <w:r>
        <w:t xml:space="preserve">Acceptance criteria</w:t>
      </w:r>
    </w:p>
    <w:p>
      <w:pPr>
        <w:numPr>
          <w:ilvl w:val="0"/>
          <w:numId w:val="1002"/>
        </w:numPr>
      </w:pPr>
      <w:r>
        <w:t xml:space="preserve">Audit events</w:t>
      </w:r>
    </w:p>
    <w:p>
      <w:pPr>
        <w:numPr>
          <w:ilvl w:val="0"/>
          <w:numId w:val="1002"/>
        </w:numPr>
      </w:pPr>
      <w:r>
        <w:t xml:space="preserve">Telemetry (non-sensitive)</w:t>
      </w:r>
    </w:p>
    <w:p>
      <w:pPr>
        <w:numPr>
          <w:ilvl w:val="0"/>
          <w:numId w:val="1002"/>
        </w:numPr>
      </w:pPr>
      <w:r>
        <w:t xml:space="preserve">Priority / release</w:t>
      </w:r>
    </w:p>
    <w:p>
      <w:pPr>
        <w:numPr>
          <w:ilvl w:val="0"/>
          <w:numId w:val="1002"/>
        </w:numPr>
      </w:pPr>
      <w:r>
        <w:t xml:space="preserve">Dependencies</w:t>
      </w:r>
    </w:p>
    <w:bookmarkEnd w:id="45"/>
    <w:bookmarkStart w:id="46" w:name="X42ba53db4cf7e6d978dbb77c07dfb87ff84ea2a"/>
    <w:p>
      <w:pPr>
        <w:pStyle w:val="Heading1"/>
      </w:pPr>
      <w:r>
        <w:t xml:space="preserve">Annex B — Definition of Done for P0 Features</w:t>
      </w:r>
    </w:p>
    <w:p>
      <w:pPr>
        <w:numPr>
          <w:ilvl w:val="0"/>
          <w:numId w:val="1003"/>
        </w:numPr>
      </w:pPr>
      <w:r>
        <w:t xml:space="preserve">Functional acceptance criteria passed.</w:t>
      </w:r>
    </w:p>
    <w:p>
      <w:pPr>
        <w:numPr>
          <w:ilvl w:val="0"/>
          <w:numId w:val="1003"/>
        </w:numPr>
      </w:pPr>
      <w:r>
        <w:t xml:space="preserve">Authorisation tested for permitted and denied users.</w:t>
      </w:r>
    </w:p>
    <w:p>
      <w:pPr>
        <w:numPr>
          <w:ilvl w:val="0"/>
          <w:numId w:val="1003"/>
        </w:numPr>
      </w:pPr>
      <w:r>
        <w:t xml:space="preserve">Audit events verified for material actions.</w:t>
      </w:r>
    </w:p>
    <w:p>
      <w:pPr>
        <w:numPr>
          <w:ilvl w:val="0"/>
          <w:numId w:val="1003"/>
        </w:numPr>
      </w:pPr>
      <w:r>
        <w:t xml:space="preserve">Provenance / object references preserved.</w:t>
      </w:r>
    </w:p>
    <w:p>
      <w:pPr>
        <w:numPr>
          <w:ilvl w:val="0"/>
          <w:numId w:val="1003"/>
        </w:numPr>
      </w:pPr>
      <w:r>
        <w:t xml:space="preserve">No silent conversion of derived or inferred data into canonical fact.</w:t>
      </w:r>
    </w:p>
    <w:p>
      <w:pPr>
        <w:numPr>
          <w:ilvl w:val="0"/>
          <w:numId w:val="1003"/>
        </w:numPr>
      </w:pPr>
      <w:r>
        <w:t xml:space="preserve">Error states fail safely and do not corrupt originals/canonical objects.</w:t>
      </w:r>
    </w:p>
    <w:p>
      <w:pPr>
        <w:numPr>
          <w:ilvl w:val="0"/>
          <w:numId w:val="1003"/>
        </w:numPr>
      </w:pPr>
      <w:r>
        <w:t xml:space="preserve">API and UI behaviour are consistent.</w:t>
      </w:r>
    </w:p>
    <w:p>
      <w:pPr>
        <w:numPr>
          <w:ilvl w:val="0"/>
          <w:numId w:val="1003"/>
        </w:numPr>
      </w:pPr>
      <w:r>
        <w:t xml:space="preserve">Retention/classification behaviour tested where applicable.</w:t>
      </w:r>
    </w:p>
    <w:p>
      <w:pPr>
        <w:numPr>
          <w:ilvl w:val="0"/>
          <w:numId w:val="1003"/>
        </w:numPr>
      </w:pPr>
      <w:r>
        <w:t xml:space="preserve">Backup/migration impact documented for schema changes.</w:t>
      </w:r>
    </w:p>
    <w:p>
      <w:pPr>
        <w:numPr>
          <w:ilvl w:val="0"/>
          <w:numId w:val="1003"/>
        </w:numPr>
      </w:pPr>
      <w:r>
        <w:t xml:space="preserve">User-facing wording distinguishes fact, inference, confidence and uncertainty.</w:t>
      </w:r>
    </w:p>
    <w:p>
      <w:pPr>
        <w:numPr>
          <w:ilvl w:val="0"/>
          <w:numId w:val="1003"/>
        </w:numPr>
      </w:pPr>
      <w:r>
        <w:t xml:space="preserve">Operational documentation and release notes updated.</w:t>
      </w:r>
    </w:p>
    <w:bookmarkEnd w:id="46"/>
    <w:bookmarkStart w:id="47" w:name="X6fac64f88264b1d8935694efcf4a6f3927bb249"/>
    <w:p>
      <w:pPr>
        <w:pStyle w:val="Heading1"/>
      </w:pPr>
      <w:r>
        <w:t xml:space="preserve">Annex C — Reference Product Architecture (Non-Normative)</w:t>
      </w:r>
    </w:p>
    <w:p>
      <w:pPr>
        <w:pStyle w:val="FirstParagraph"/>
      </w:pPr>
      <w:r>
        <w:t xml:space="preserve">A pragmatic first implementation MAY use the following profile: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2"/>
        <w:gridCol w:w="624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Reference option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Web application / API</w:t>
            </w:r>
          </w:p>
        </w:tc>
        <w:tc>
          <w:tcPr/>
          <w:p>
            <w:pPr>
              <w:pStyle w:val="TableText"/>
            </w:pPr>
            <w:r>
              <w:t xml:space="preserve">Django + REST/GraphQL equivalent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relational store</w:t>
            </w:r>
          </w:p>
        </w:tc>
        <w:tc>
          <w:tcPr/>
          <w:p>
            <w:pPr>
              <w:pStyle w:val="TableText"/>
            </w:pPr>
            <w:r>
              <w:t xml:space="preserve">PostgreSQL + PostGIS where geographic data is needed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object store</w:t>
            </w:r>
          </w:p>
        </w:tc>
        <w:tc>
          <w:tcPr/>
          <w:p>
            <w:pPr>
              <w:pStyle w:val="TableText"/>
            </w:pPr>
            <w:r>
              <w:t xml:space="preserve">S3-compatible storage or encrypted filesystem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Async jobs</w:t>
            </w:r>
          </w:p>
        </w:tc>
        <w:tc>
          <w:tcPr/>
          <w:p>
            <w:pPr>
              <w:pStyle w:val="TableText"/>
            </w:pPr>
            <w:r>
              <w:t xml:space="preserve">Celery/RQ equivalent + Valkey 8.x broker (Redis-protocol compatible; release pinned per ADR-0006)</w:t>
            </w:r>
            <w:r>
              <w:t xml:space="preserve"> </w:t>
            </w:r>
            <w:r>
              <w:rPr>
                <w:i/>
                <w:iCs/>
              </w:rPr>
              <w:t xml:space="preserve">[v0.1.1 · A03]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IAM</w:t>
            </w:r>
          </w:p>
        </w:tc>
        <w:tc>
          <w:tcPr/>
          <w:p>
            <w:pPr>
              <w:pStyle w:val="TableText"/>
            </w:pPr>
            <w:r>
              <w:t xml:space="preserve">Keycloak or other OIDC provider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Search</w:t>
            </w:r>
          </w:p>
        </w:tc>
        <w:tc>
          <w:tcPr/>
          <w:p>
            <w:pPr>
              <w:pStyle w:val="TableText"/>
            </w:pPr>
            <w:r>
              <w:t xml:space="preserve">PostgreSQL FTS initially; OpenSearch when scale/features justify it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Graph</w:t>
            </w:r>
          </w:p>
        </w:tc>
        <w:tc>
          <w:tcPr/>
          <w:p>
            <w:pPr>
              <w:pStyle w:val="TableText"/>
            </w:pPr>
            <w:r>
              <w:t xml:space="preserve">Relational projection initially; Neo4j/Memgraph optional derived projection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OCR/document processing</w:t>
            </w:r>
          </w:p>
        </w:tc>
        <w:tc>
          <w:tcPr/>
          <w:p>
            <w:pPr>
              <w:pStyle w:val="TableText"/>
            </w:pPr>
            <w:r>
              <w:t xml:space="preserve">OpenAleph or dedicated processing service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Sanctions/PEP screening</w:t>
            </w:r>
          </w:p>
        </w:tc>
        <w:tc>
          <w:tcPr/>
          <w:p>
            <w:pPr>
              <w:pStyle w:val="TableText"/>
            </w:pPr>
            <w:r>
              <w:t xml:space="preserve">OpenSanctions/yente connector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Crypto analytics</w:t>
            </w:r>
          </w:p>
        </w:tc>
        <w:tc>
          <w:tcPr/>
          <w:p>
            <w:pPr>
              <w:pStyle w:val="TableText"/>
            </w:pPr>
            <w:r>
              <w:t xml:space="preserve">GraphSense connector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Observability</w:t>
            </w:r>
          </w:p>
        </w:tc>
        <w:tc>
          <w:tcPr/>
          <w:p>
            <w:pPr>
              <w:pStyle w:val="TableText"/>
            </w:pPr>
            <w:r>
              <w:t xml:space="preserve">OpenTelemetry + Prometheus/Grafana equivalent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Reverse proxy</w:t>
            </w:r>
          </w:p>
        </w:tc>
        <w:tc>
          <w:tcPr/>
          <w:p>
            <w:pPr>
              <w:pStyle w:val="TableText"/>
            </w:pPr>
            <w:r>
              <w:t xml:space="preserve">Nginx/Caddy equivalent</w:t>
            </w:r>
          </w:p>
        </w:tc>
      </w:tr>
    </w:tbl>
    <w:bookmarkEnd w:id="47"/>
    <w:bookmarkStart w:id="48" w:name="annex-d--release-planning-summary"/>
    <w:p>
      <w:pPr>
        <w:pStyle w:val="Heading1"/>
      </w:pPr>
      <w:r>
        <w:t xml:space="preserve">Annex D — Release Planning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9"/>
        <w:gridCol w:w="795"/>
        <w:gridCol w:w="623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Feature count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Planning meaning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P0 / MVP</w:t>
            </w:r>
          </w:p>
        </w:tc>
        <w:tc>
          <w:tcPr/>
          <w:p>
            <w:pPr>
              <w:pStyle w:val="TableText"/>
            </w:pPr>
            <w:r>
              <w:t xml:space="preserve">55</w:t>
            </w:r>
          </w:p>
        </w:tc>
        <w:tc>
          <w:tcPr/>
          <w:p>
            <w:pPr>
              <w:pStyle w:val="TableText"/>
            </w:pPr>
            <w:r>
              <w:t xml:space="preserve">Required to prove end-to-end methodology and controls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P1 / Phase 2</w:t>
            </w:r>
          </w:p>
        </w:tc>
        <w:tc>
          <w:tcPr/>
          <w:p>
            <w:pPr>
              <w:pStyle w:val="TableText"/>
            </w:pPr>
            <w:r>
              <w:t xml:space="preserve">26</w:t>
            </w:r>
          </w:p>
        </w:tc>
        <w:tc>
          <w:tcPr/>
          <w:p>
            <w:pPr>
              <w:pStyle w:val="TableText"/>
            </w:pPr>
            <w:r>
              <w:t xml:space="preserve">Operational depth, enrichment, advanced review and analytics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P2 / Phase 3</w:t>
            </w:r>
          </w:p>
        </w:tc>
        <w:tc>
          <w:tcPr/>
          <w:p>
            <w:pPr>
              <w:pStyle w:val="TableText"/>
            </w:pPr>
            <w:r>
              <w:t xml:space="preserve">7</w:t>
            </w:r>
          </w:p>
        </w:tc>
        <w:tc>
          <w:tcPr/>
          <w:p>
            <w:pPr>
              <w:pStyle w:val="TableText"/>
            </w:pPr>
            <w:r>
              <w:t xml:space="preserve">Network intelligence, federation, advanced AI/analytics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Total</w:t>
            </w:r>
          </w:p>
        </w:tc>
        <w:tc>
          <w:tcPr/>
          <w:p>
            <w:pPr>
              <w:pStyle w:val="TableText"/>
            </w:pPr>
            <w:r>
              <w:t xml:space="preserve">88</w:t>
            </w:r>
          </w:p>
        </w:tc>
        <w:tc>
          <w:tcPr/>
          <w:p>
            <w:pPr>
              <w:pStyle w:val="TableText"/>
            </w:pPr>
            <w:r>
              <w:t xml:space="preserve">55 P0 + 26 P1 + 7 P2 (v0.1 baseline: 87 = 54 + 26 + 7; F-EVD-008 added in v0.1.1)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</w:tbl>
    <w:bookmarkEnd w:id="48"/>
    <w:sectPr>
      <w:headerReference r:id="rIdCsamlHdr" w:type="default"/>
      <w:footerReference r:id="rIdCsamlFtr" w:type="default"/>
      <w:footnotePr>
        <w:numRestart w:val="eachSect"/>
      </w:footnotePr>
      <w:pgSz w:h="16838" w:w="11906"/>
      <w:pgMar w:bottom="1247" w:footer="567" w:gutter="0" w:header="567" w:left="1134" w:right="1134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808080"/>
      </w:pBdr>
      <w:tabs>
        <w:tab w:val="right" w:pos="9638"/>
      </w:tabs>
      <w:spacing w:before="0" w:after="0"/>
    </w:pPr>
    <w:r>
      <w:rPr>
        <w:sz w:val="16"/>
      </w:rPr>
      <w:t xml:space="preserve">Approved Internal Specification Baseline</w:t>
    </w:r>
    <w:r>
      <w:rPr>
        <w:sz w:val="16"/>
      </w:rPr>
      <w:tab/>
      <w:t xml:space="preserve">Page </w:t>
    </w:r>
    <w:fldSimple w:instr=" PAGE ">
      <w:r>
        <w:rPr>
          <w:sz w:val="16"/>
        </w:rPr>
        <w:t>1</w:t>
      </w:r>
    </w:fldSimple>
    <w:r>
      <w:rPr>
        <w:sz w:val="16"/>
      </w:rPr>
      <w:t xml:space="preserve"> of </w:t>
    </w:r>
    <w:fldSimple w:instr=" NUMPAGES ">
      <w:r>
        <w:rPr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808080"/>
      </w:pBdr>
      <w:tabs>
        <w:tab w:val="right" w:pos="9638"/>
      </w:tabs>
      <w:spacing w:before="0" w:after="0"/>
    </w:pPr>
    <w:r>
      <w:rPr>
        <w:b/>
        <w:sz w:val="16"/>
      </w:rPr>
      <w:t xml:space="preserve">CS-AML </w:t>
    </w:r>
    <w:r>
      <w:rPr>
        <w:sz w:val="16"/>
      </w:rPr>
      <w:t xml:space="preserve">Product and Feature Specification</w:t>
    </w:r>
    <w:r>
      <w:rPr>
        <w:sz w:val="16"/>
      </w:rPr>
      <w:tab/>
      <w:t xml:space="preserve">Version 0.1.1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0"/>
        <w:szCs w:val="20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10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0A8B0" w:space="0" w:sz="4" w:val="single"/>
        <w:left w:color="A0A8B0" w:space="0" w:sz="4" w:val="single"/>
        <w:bottom w:color="A0A8B0" w:space="0" w:sz="4" w:val="single"/>
        <w:right w:color="A0A8B0" w:space="0" w:sz="4" w:val="single"/>
        <w:insideH w:color="A0A8B0" w:space="0" w:sz="4" w:val="single"/>
        <w:insideV w:color="A0A8B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shd w:color="auto" w:fill="E6EBF0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wordWrap w:val="0"/>
      <w:shd w:color="auto" w:fill="F4F6F8" w:val="clear"/>
      <w:pBdr>
        <w:left w:color="A0A8B0" w:space="6" w:sz="8" w:val="single"/>
      </w:pBdr>
      <w:spacing w:after="120" w:before="60" w:line="240" w:lineRule="auto"/>
    </w:pPr>
    <w:rPr>
      <w:rFonts w:ascii="Consolas" w:cs="Consolas" w:eastAsia="Consolas" w:hAnsi="Consolas"/>
      <w:sz w:val="16"/>
      <w:szCs w:val="16"/>
    </w:rPr>
  </w:style>
  <w:style w:customStyle="1" w:styleId="TableText" w:type="paragraph">
    <w:name w:val="Table Text"/>
    <w:basedOn w:val="Compact"/>
    <w:qFormat/>
    <w:pPr>
      <w:spacing w:after="20" w:before="20"/>
    </w:pPr>
    <w:rPr>
      <w:sz w:val="17"/>
      <w:szCs w:val="17"/>
    </w:rPr>
  </w:style>
  <w:style w:customStyle="1" w:styleId="TableTextSmall" w:type="paragraph">
    <w:name w:val="Table Text Small"/>
    <w:basedOn w:val="Compact"/>
    <w:qFormat/>
    <w:pPr>
      <w:spacing w:after="10" w:before="10"/>
    </w:pPr>
    <w:rPr>
      <w:sz w:val="14"/>
      <w:szCs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CsamlHdr" Target="header1.xml" Type="http://schemas.openxmlformats.org/officeDocument/2006/relationships/header" /><Relationship Id="rIdCsamlFt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and Feature Specification</dc:title>
  <dc:creator/>
  <dc:language>en-GB</dc:language>
  <cp:keywords/>
  <dcterms:created xsi:type="dcterms:W3CDTF">2026-10-10T04:00:41Z</dcterms:created>
  <dcterms:modified xsi:type="dcterms:W3CDTF">2026-10-10T04:00:41Z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2026-10-08</vt:lpwstr>
  </property>
  <property fmtid="{D5CDD505-2E9C-101B-9397-08002B2CF9AE}" pid="3" name="doctitle">
    <vt:lpwstr>Product and Feature Specification</vt:lpwstr>
  </property>
  <property fmtid="{D5CDD505-2E9C-101B-9397-08002B2CF9AE}" pid="4" name="docversion">
    <vt:lpwstr>0.1.1</vt:lpwstr>
  </property>
  <property fmtid="{D5CDD505-2E9C-101B-9397-08002B2CF9AE}" pid="5" name="subtitle">
    <vt:lpwstr>Version 0.1.1 — Approved Internal Specification Baseline (tag v0.1.1-spec)</vt:lpwstr>
  </property>
  <property fmtid="{D5CDD505-2E9C-101B-9397-08002B2CF9AE}" pid="6" name="toc-title">
    <vt:lpwstr>Contents</vt:lpwstr>
  </property>
</Properties>
</file>