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Screen Inventory</w:t>
      </w:r>
    </w:p>
    <w:p>
      <w:pPr>
        <w:pStyle w:val="Subtitle"/>
      </w:pPr>
      <w:r>
        <w:t xml:space="preserve">Version 0.1.1 — Approved Internal Specification Baseline (tag v0.1.1-spec)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rPr>
          <w:b/>
          <w:bCs/>
        </w:rPr>
        <w:t xml:space="preserve">CS-AML Screen Inventory v0.1.1</w:t>
      </w:r>
    </w:p>
    <w:p>
      <w:pPr>
        <w:pStyle w:val="BodyText"/>
      </w:pPr>
      <w:r>
        <w:t xml:space="preserve">Canonical screen catalogue for MVP 0.1</w:t>
      </w:r>
    </w:p>
    <w:p>
      <w:pPr>
        <w:pStyle w:val="BlockText"/>
      </w:pPr>
      <w:r>
        <w:rPr>
          <w:b/>
          <w:bCs/>
        </w:rPr>
        <w:t xml:space="preserve">Document status — v0.1.1</w:t>
      </w:r>
      <w:r>
        <w:br/>
      </w:r>
      <w:r>
        <w:t xml:space="preserve">Version: 0.1.1 — Approved Internal Specification Baseline (2026-10-08, tag v0.1.1-spec).</w:t>
      </w:r>
      <w:r>
        <w:t xml:space="preserve"> </w:t>
      </w:r>
      <w:r>
        <w:rPr>
          <w:i/>
          <w:iCs/>
        </w:rPr>
        <w:t xml:space="preserve">[v0.1.1 · A01]</w:t>
      </w:r>
      <w:r>
        <w:br/>
      </w:r>
      <w:r>
        <w:t xml:space="preserve">Supersedes: CS-AML Screen Inventory v0.1. The DOCX/PDF files in this repository are the unchanged v0.1 baseline (legacy); this Markdown file is the canonical source.</w:t>
      </w:r>
      <w:r>
        <w:br/>
      </w:r>
      <w:r>
        <w:t xml:space="preserve">Validation: approved by the product owner as the internal specification baseline on 2026-10-08 (decision register and release gates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). No implementation test result or independent audit exists yet. Acceptance criteria in this document are targets, not evidence that tests have passed.</w:t>
      </w:r>
      <w:r>
        <w:br/>
      </w:r>
      <w:r>
        <w:t xml:space="preserve">CS-AML is not an external standard or certification. References to FATF, Wolfsberg, PPATK, UNODC or other bodies do not imply their endorsement.</w:t>
      </w:r>
      <w:r>
        <w:br/>
      </w:r>
      <w:r>
        <w:t xml:space="preserve">Changes in 0.1.1: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at the repository root (audit findings A01–A16).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5"/>
        <w:gridCol w:w="712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TableText"/>
            </w:pPr>
            <w:r>
              <w:t xml:space="preserve">0.1.1</w:t>
            </w:r>
          </w:p>
        </w:tc>
      </w:tr>
      <w:t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TableText"/>
            </w:pPr>
            <w:r>
              <w:t xml:space="preserve">Approved Internal Specification Baseline (2026-10-08, tag v0.1.1-spec) — normative UI inventory baseline</w:t>
            </w:r>
            <w:r>
              <w:t xml:space="preserve"> </w:t>
            </w:r>
            <w:r>
              <w:rPr>
                <w:i/>
                <w:iCs/>
              </w:rPr>
              <w:t xml:space="preserve">[v0.1.1 · A01]</w:t>
            </w:r>
          </w:p>
        </w:tc>
      </w:tr>
      <w:t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TableText"/>
            </w:pPr>
            <w:r>
              <w:t xml:space="preserve">MVP 0.1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axiom.</w:t>
      </w:r>
      <w:r>
        <w:t xml:space="preserve"> </w:t>
      </w:r>
      <w:r>
        <w:t xml:space="preserve">Screens and wireframes SHALL preserve analytical uncertainty, provenance, reversibility, permission boundaries, and review context. Visual hierarchy must never convert inference into fact or status into accusation.</w:t>
      </w:r>
    </w:p>
    <w:bookmarkStart w:id="9" w:name="X4666c8db187a468bd7c4d1efd69e1ca31a62544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inventory defines the canonical set of user-facing screens required for CS-AML MVP 0.1. It bridges Information Architecture and UX into an implementation-oriented screen catalogue. Each screen receives a stable identifier used by design, frontend engineering, QA, product management and documentation.</w:t>
      </w:r>
    </w:p>
    <w:p>
      <w:pPr>
        <w:pStyle w:val="BlockText"/>
      </w:pPr>
      <w:r>
        <w:rPr>
          <w:b/>
          <w:bCs/>
        </w:rPr>
        <w:t xml:space="preserve">Boundary —</w:t>
      </w:r>
      <w:r>
        <w:t xml:space="preserve"> </w:t>
      </w:r>
      <w:r>
        <w:t xml:space="preserve">The inventory defines what screens exist and why. Layout geometry and region-level structure belong to the separate CS-AML Wireframe Specification. Interaction semantics remain governed by the UX Specification; navigation/object organisation remain governed by the Information Architecture Specification.</w:t>
      </w:r>
    </w:p>
    <w:bookmarkEnd w:id="9"/>
    <w:bookmarkStart w:id="10" w:name="Xcece157f84a376a1919393b7d4df12e9735b112"/>
    <w:p>
      <w:pPr>
        <w:pStyle w:val="Heading1"/>
      </w:pPr>
      <w:r>
        <w:t xml:space="preserve">2. Screen ID Standard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Prefix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Domain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HOME</w:t>
            </w:r>
          </w:p>
        </w:tc>
        <w:tc>
          <w:tcPr/>
          <w:p>
            <w:pPr>
              <w:pStyle w:val="TableText"/>
            </w:pPr>
            <w:r>
              <w:t xml:space="preserve">Home / work queue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</w:t>
            </w:r>
          </w:p>
        </w:tc>
        <w:tc>
          <w:tcPr/>
          <w:p>
            <w:pPr>
              <w:pStyle w:val="TableText"/>
            </w:pPr>
            <w:r>
              <w:t xml:space="preserve">Case &amp; workflow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SRC</w:t>
            </w:r>
          </w:p>
        </w:tc>
        <w:tc>
          <w:tcPr/>
          <w:p>
            <w:pPr>
              <w:pStyle w:val="TableText"/>
            </w:pPr>
            <w:r>
              <w:t xml:space="preserve">Sources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EVD</w:t>
            </w:r>
          </w:p>
        </w:tc>
        <w:tc>
          <w:tcPr/>
          <w:p>
            <w:pPr>
              <w:pStyle w:val="TableTex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</w:t>
            </w:r>
          </w:p>
        </w:tc>
        <w:tc>
          <w:tcPr/>
          <w:p>
            <w:pPr>
              <w:pStyle w:val="TableText"/>
            </w:pPr>
            <w:r>
              <w:t xml:space="preserve">Entities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REL</w:t>
            </w:r>
          </w:p>
        </w:tc>
        <w:tc>
          <w:tcPr/>
          <w:p>
            <w:pPr>
              <w:pStyle w:val="TableTex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AST</w:t>
            </w:r>
          </w:p>
        </w:tc>
        <w:tc>
          <w:tcPr/>
          <w:p>
            <w:pPr>
              <w:pStyle w:val="TableText"/>
            </w:pPr>
            <w:r>
              <w:t xml:space="preserve">Assets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TIM</w:t>
            </w:r>
          </w:p>
        </w:tc>
        <w:tc>
          <w:tcPr/>
          <w:p>
            <w:pPr>
              <w:pStyle w:val="TableText"/>
            </w:pPr>
            <w:r>
              <w:t xml:space="preserve">Timeline/events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VAL</w:t>
            </w:r>
          </w:p>
        </w:tc>
        <w:tc>
          <w:tcPr/>
          <w:p>
            <w:pPr>
              <w:pStyle w:val="TableText"/>
            </w:pPr>
            <w:r>
              <w:t xml:space="preserve">Value flow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TYP</w:t>
            </w:r>
          </w:p>
        </w:tc>
        <w:tc>
          <w:tcPr/>
          <w:p>
            <w:pPr>
              <w:pStyle w:val="TableText"/>
            </w:pPr>
            <w:r>
              <w:t xml:space="preserve">Typology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HYP</w:t>
            </w:r>
          </w:p>
        </w:tc>
        <w:tc>
          <w:tcPr/>
          <w:p>
            <w:pPr>
              <w:pStyle w:val="TableTex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ASM</w:t>
            </w:r>
          </w:p>
        </w:tc>
        <w:tc>
          <w:tcPr/>
          <w:p>
            <w:pPr>
              <w:pStyle w:val="TableTex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GRF</w:t>
            </w:r>
          </w:p>
        </w:tc>
        <w:tc>
          <w:tcPr/>
          <w:p>
            <w:pPr>
              <w:pStyle w:val="TableText"/>
            </w:pPr>
            <w:r>
              <w:t xml:space="preserve">Graph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SCH</w:t>
            </w:r>
          </w:p>
        </w:tc>
        <w:tc>
          <w:tcPr/>
          <w:p>
            <w:pPr>
              <w:pStyle w:val="TableText"/>
            </w:pPr>
            <w:r>
              <w:t xml:space="preserve">Search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PRD</w:t>
            </w:r>
          </w:p>
        </w:tc>
        <w:tc>
          <w:tcPr/>
          <w:p>
            <w:pPr>
              <w:pStyle w:val="TableTex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</w:t>
            </w:r>
          </w:p>
        </w:tc>
        <w:tc>
          <w:tcPr/>
          <w:p>
            <w:pPr>
              <w:pStyle w:val="TableText"/>
            </w:pPr>
            <w:r>
              <w:t xml:space="preserve">Review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DIS</w:t>
            </w:r>
          </w:p>
        </w:tc>
        <w:tc>
          <w:tcPr/>
          <w:p>
            <w:pPr>
              <w:pStyle w:val="TableText"/>
            </w:pPr>
            <w:r>
              <w:t xml:space="preserve">Dissemination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ADM</w:t>
            </w:r>
          </w:p>
        </w:tc>
        <w:tc>
          <w:tcPr/>
          <w:p>
            <w:pPr>
              <w:pStyle w:val="TableTex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AUD</w:t>
            </w:r>
          </w:p>
        </w:tc>
        <w:tc>
          <w:tcPr/>
          <w:p>
            <w:pPr>
              <w:pStyle w:val="TableText"/>
            </w:pPr>
            <w:r>
              <w:t xml:space="preserve">Audit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SYS</w:t>
            </w:r>
          </w:p>
        </w:tc>
        <w:tc>
          <w:tcPr/>
          <w:p>
            <w:pPr>
              <w:pStyle w:val="TableText"/>
            </w:pPr>
            <w:r>
              <w:t xml:space="preserve">System states</w:t>
            </w:r>
          </w:p>
        </w:tc>
      </w:tr>
    </w:tbl>
    <w:bookmarkEnd w:id="10"/>
    <w:bookmarkStart w:id="11" w:name="Xb3261d75e83528acdd8f1bba768f3c70fd92d56"/>
    <w:p>
      <w:pPr>
        <w:pStyle w:val="Heading1"/>
      </w:pPr>
      <w:r>
        <w:t xml:space="preserve">3. Inventory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Screen Count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Home</w:t>
            </w:r>
          </w:p>
        </w:tc>
        <w:tc>
          <w:tcPr/>
          <w:p>
            <w:pPr>
              <w:pStyle w:val="TableText"/>
            </w:pPr>
            <w:r>
              <w:t xml:space="preserve">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Cases</w:t>
            </w:r>
          </w:p>
        </w:tc>
        <w:tc>
          <w:tcPr/>
          <w:p>
            <w:pPr>
              <w:pStyle w:val="TableText"/>
            </w:pPr>
            <w:r>
              <w:t xml:space="preserve">7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</w:t>
            </w:r>
          </w:p>
        </w:tc>
        <w:tc>
          <w:tcPr/>
          <w:p>
            <w:pPr>
              <w:pStyle w:val="TableText"/>
            </w:pPr>
            <w:r>
              <w:t xml:space="preserve">7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Entities</w:t>
            </w:r>
          </w:p>
        </w:tc>
        <w:tc>
          <w:tcPr/>
          <w:p>
            <w:pPr>
              <w:pStyle w:val="TableText"/>
            </w:pPr>
            <w:r>
              <w:t xml:space="preserve">9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Analysis</w:t>
            </w:r>
          </w:p>
        </w:tc>
        <w:tc>
          <w:tcPr/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Search</w:t>
            </w:r>
          </w:p>
        </w:tc>
        <w:tc>
          <w:tcPr/>
          <w:p>
            <w:pPr>
              <w:pStyle w:val="TableText"/>
            </w:pPr>
            <w:r>
              <w:t xml:space="preserve">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Products</w:t>
            </w:r>
          </w:p>
        </w:tc>
        <w:tc>
          <w:tcPr/>
          <w:p>
            <w:pPr>
              <w:pStyle w:val="TableText"/>
            </w:pPr>
            <w:r>
              <w:t xml:space="preserve">9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Administration</w:t>
            </w:r>
          </w:p>
        </w:tc>
        <w:tc>
          <w:tcPr/>
          <w:p>
            <w:pPr>
              <w:pStyle w:val="TableText"/>
            </w:pPr>
            <w:r>
              <w:t xml:space="preserve">5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System</w:t>
            </w:r>
          </w:p>
        </w:tc>
        <w:tc>
          <w:tcPr/>
          <w:p>
            <w:pPr>
              <w:pStyle w:val="TableTex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Total canonical MVP screen IDs: 53 = 50 working screens + 3 system-state screens (SCR-SYS-001…003). Any statement of "50 screens" refers to the working screens only and excludes the system-state screens.</w:t>
      </w:r>
      <w:r>
        <w:t xml:space="preserve"> </w:t>
      </w:r>
      <w:r>
        <w:rPr>
          <w:i/>
          <w:iCs/>
        </w:rPr>
        <w:t xml:space="preserve">[v0.1.1 · A01, A15]</w:t>
      </w:r>
    </w:p>
    <w:p>
      <w:pPr>
        <w:pStyle w:val="BlockText"/>
      </w:pPr>
      <w:r>
        <w:t xml:space="preserve">Each screen ID is a specification requirement; it is not evidence that the screen has been designed, implemented or tested.</w:t>
      </w:r>
      <w:r>
        <w:t xml:space="preserve"> </w:t>
      </w:r>
      <w:r>
        <w:rPr>
          <w:i/>
          <w:iCs/>
        </w:rPr>
        <w:t xml:space="preserve">[v0.1.1 · A01]</w:t>
      </w:r>
    </w:p>
    <w:bookmarkEnd w:id="11"/>
    <w:bookmarkStart w:id="12" w:name="X5a6620bd89137f32caf8a8714cf80541eb8573f"/>
    <w:p>
      <w:pPr>
        <w:pStyle w:val="Heading1"/>
      </w:pPr>
      <w:r>
        <w:t xml:space="preserve">4. Canonical Screen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0"/>
        <w:gridCol w:w="1146"/>
        <w:gridCol w:w="1146"/>
        <w:gridCol w:w="1000"/>
        <w:gridCol w:w="2916"/>
        <w:gridCol w:w="709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Screen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Primary Roles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SCR-HOME-001</w:t>
            </w:r>
          </w:p>
        </w:tc>
        <w:tc>
          <w:tcPr/>
          <w:p>
            <w:pPr>
              <w:pStyle w:val="TableTextSmall"/>
            </w:pPr>
            <w:r>
              <w:t xml:space="preserve">Home / Work Queue</w:t>
            </w:r>
          </w:p>
        </w:tc>
        <w:tc>
          <w:tcPr/>
          <w:p>
            <w:pPr>
              <w:pStyle w:val="TableTextSmall"/>
            </w:pPr>
            <w:r>
              <w:t xml:space="preserve">Home</w:t>
            </w:r>
          </w:p>
        </w:tc>
        <w:tc>
          <w:tcPr/>
          <w:p>
            <w:pPr>
              <w:pStyle w:val="TableTextSmall"/>
            </w:pPr>
            <w:r>
              <w:t xml:space="preserve">All authorised users</w:t>
            </w:r>
          </w:p>
        </w:tc>
        <w:tc>
          <w:tcPr/>
          <w:p>
            <w:pPr>
              <w:pStyle w:val="TableTextSmall"/>
            </w:pPr>
            <w:r>
              <w:t xml:space="preserve">Surface assigned work, pending reviews, recent cases and alerts without ranking people by suspicion.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SCR-CASE-001</w:t>
            </w:r>
          </w:p>
        </w:tc>
        <w:tc>
          <w:tcPr/>
          <w:p>
            <w:pPr>
              <w:pStyle w:val="TableTextSmall"/>
            </w:pPr>
            <w:r>
              <w:t xml:space="preserve">Case Register</w:t>
            </w:r>
          </w:p>
        </w:tc>
        <w:tc>
          <w:tcPr/>
          <w:p>
            <w:pPr>
              <w:pStyle w:val="TableTextSmall"/>
            </w:pPr>
            <w:r>
              <w:t xml:space="preserve">Cases</w:t>
            </w:r>
          </w:p>
        </w:tc>
        <w:tc>
          <w:tcPr/>
          <w:p>
            <w:pPr>
              <w:pStyle w:val="TableTextSmall"/>
            </w:pPr>
            <w:r>
              <w:t xml:space="preserve">Investigator, Case Owner</w:t>
            </w:r>
          </w:p>
        </w:tc>
        <w:tc>
          <w:tcPr/>
          <w:p>
            <w:pPr>
              <w:pStyle w:val="TableTextSmall"/>
            </w:pPr>
            <w:r>
              <w:t xml:space="preserve">List authorised cases with filters for status, owner, classification and lifecycle stage.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SCR-CASE-002</w:t>
            </w:r>
          </w:p>
        </w:tc>
        <w:tc>
          <w:tcPr/>
          <w:p>
            <w:pPr>
              <w:pStyle w:val="TableTextSmall"/>
            </w:pPr>
            <w:r>
              <w:t xml:space="preserve">Create Case</w:t>
            </w:r>
          </w:p>
        </w:tc>
        <w:tc>
          <w:tcPr/>
          <w:p>
            <w:pPr>
              <w:pStyle w:val="TableTextSmall"/>
            </w:pPr>
            <w:r>
              <w:t xml:space="preserve">Cases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Create a case with purpose, owner, classification and initial investigation question.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SCR-CASE-003</w:t>
            </w:r>
          </w:p>
        </w:tc>
        <w:tc>
          <w:tcPr/>
          <w:p>
            <w:pPr>
              <w:pStyle w:val="TableTextSmall"/>
            </w:pPr>
            <w:r>
              <w:t xml:space="preserve">Case Overview</w:t>
            </w:r>
          </w:p>
        </w:tc>
        <w:tc>
          <w:tcPr/>
          <w:p>
            <w:pPr>
              <w:pStyle w:val="TableTextSmall"/>
            </w:pPr>
            <w:r>
              <w:t xml:space="preserve">Cases</w:t>
            </w:r>
          </w:p>
        </w:tc>
        <w:tc>
          <w:tcPr/>
          <w:p>
            <w:pPr>
              <w:pStyle w:val="TableTextSmall"/>
            </w:pPr>
            <w:r>
              <w:t xml:space="preserve">Case team</w:t>
            </w:r>
          </w:p>
        </w:tc>
        <w:tc>
          <w:tcPr/>
          <w:p>
            <w:pPr>
              <w:pStyle w:val="TableTextSmall"/>
            </w:pPr>
            <w:r>
              <w:t xml:space="preserve">Summarise case purpose, scope, owners, status, key objects, lifecycle gates and unresolved risks.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SCR-CASE-004</w:t>
            </w:r>
          </w:p>
        </w:tc>
        <w:tc>
          <w:tcPr/>
          <w:p>
            <w:pPr>
              <w:pStyle w:val="TableTextSmall"/>
            </w:pPr>
            <w:r>
              <w:t xml:space="preserve">Investigation Charter</w:t>
            </w:r>
          </w:p>
        </w:tc>
        <w:tc>
          <w:tcPr/>
          <w:p>
            <w:pPr>
              <w:pStyle w:val="TableTextSmall"/>
            </w:pPr>
            <w:r>
              <w:t xml:space="preserve">Cases</w:t>
            </w:r>
          </w:p>
        </w:tc>
        <w:tc>
          <w:tcPr/>
          <w:p>
            <w:pPr>
              <w:pStyle w:val="TableTextSmall"/>
            </w:pPr>
            <w:r>
              <w:t xml:space="preserve">Case Owner</w:t>
            </w:r>
          </w:p>
        </w:tc>
        <w:tc>
          <w:tcPr/>
          <w:p>
            <w:pPr>
              <w:pStyle w:val="TableTextSmall"/>
            </w:pPr>
            <w:r>
              <w:t xml:space="preserve">Read/edit/version investigation question, scope, exclusions, period, risks and collection boundaries.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SCR-CASE-005</w:t>
            </w:r>
          </w:p>
        </w:tc>
        <w:tc>
          <w:tcPr/>
          <w:p>
            <w:pPr>
              <w:pStyle w:val="TableTextSmall"/>
            </w:pPr>
            <w:r>
              <w:t xml:space="preserve">Lifecycle Gates</w:t>
            </w:r>
          </w:p>
        </w:tc>
        <w:tc>
          <w:tcPr/>
          <w:p>
            <w:pPr>
              <w:pStyle w:val="TableTextSmall"/>
            </w:pPr>
            <w:r>
              <w:t xml:space="preserve">Cases</w:t>
            </w:r>
          </w:p>
        </w:tc>
        <w:tc>
          <w:tcPr/>
          <w:p>
            <w:pPr>
              <w:pStyle w:val="TableTextSmall"/>
            </w:pPr>
            <w:r>
              <w:t xml:space="preserve">Case Owner, Reviewer</w:t>
            </w:r>
          </w:p>
        </w:tc>
        <w:tc>
          <w:tcPr/>
          <w:p>
            <w:pPr>
              <w:pStyle w:val="TableTextSmall"/>
            </w:pPr>
            <w:r>
              <w:t xml:space="preserve">Submit, review and approve/reject G0-G6 gates with conditions and independence rules.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SCR-CASE-006</w:t>
            </w:r>
          </w:p>
        </w:tc>
        <w:tc>
          <w:tcPr/>
          <w:p>
            <w:pPr>
              <w:pStyle w:val="TableTextSmall"/>
            </w:pPr>
            <w:r>
              <w:t xml:space="preserve">Case Work / Tasks</w:t>
            </w:r>
          </w:p>
        </w:tc>
        <w:tc>
          <w:tcPr/>
          <w:p>
            <w:pPr>
              <w:pStyle w:val="TableTextSmall"/>
            </w:pPr>
            <w:r>
              <w:t xml:space="preserve">Cases</w:t>
            </w:r>
          </w:p>
        </w:tc>
        <w:tc>
          <w:tcPr/>
          <w:p>
            <w:pPr>
              <w:pStyle w:val="TableTextSmall"/>
            </w:pPr>
            <w:r>
              <w:t xml:space="preserve">Case team</w:t>
            </w:r>
          </w:p>
        </w:tc>
        <w:tc>
          <w:tcPr/>
          <w:p>
            <w:pPr>
              <w:pStyle w:val="TableTextSmall"/>
            </w:pPr>
            <w:r>
              <w:t xml:space="preserve">Track collection, verification, analysis and review tasks.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SCR-CASE-007</w:t>
            </w:r>
          </w:p>
        </w:tc>
        <w:tc>
          <w:tcPr/>
          <w:p>
            <w:pPr>
              <w:pStyle w:val="TableTextSmall"/>
            </w:pPr>
            <w:r>
              <w:t xml:space="preserve">Case Activity</w:t>
            </w:r>
          </w:p>
        </w:tc>
        <w:tc>
          <w:tcPr/>
          <w:p>
            <w:pPr>
              <w:pStyle w:val="TableTextSmall"/>
            </w:pPr>
            <w:r>
              <w:t xml:space="preserve">Cases</w:t>
            </w:r>
          </w:p>
        </w:tc>
        <w:tc>
          <w:tcPr/>
          <w:p>
            <w:pPr>
              <w:pStyle w:val="TableTextSmall"/>
            </w:pPr>
            <w:r>
              <w:t xml:space="preserve">Case team, Auditor</w:t>
            </w:r>
          </w:p>
        </w:tc>
        <w:tc>
          <w:tcPr/>
          <w:p>
            <w:pPr>
              <w:pStyle w:val="TableTextSmall"/>
            </w:pPr>
            <w:r>
              <w:t xml:space="preserve">Chronological material actions for reconstructability.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SCR-SRC-001</w:t>
            </w:r>
          </w:p>
        </w:tc>
        <w:tc>
          <w:tcPr/>
          <w:p>
            <w:pPr>
              <w:pStyle w:val="TableTextSmall"/>
            </w:pPr>
            <w:r>
              <w:t xml:space="preserve">Source Register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Register sources with provenance, access method, reliability and legal/access notes.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SCR-SRC-002</w:t>
            </w:r>
          </w:p>
        </w:tc>
        <w:tc>
          <w:tcPr/>
          <w:p>
            <w:pPr>
              <w:pStyle w:val="TableTextSmall"/>
            </w:pPr>
            <w:r>
              <w:t xml:space="preserve">Source Detail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Investigator, Reviewer</w:t>
            </w:r>
          </w:p>
        </w:tc>
        <w:tc>
          <w:tcPr/>
          <w:p>
            <w:pPr>
              <w:pStyle w:val="TableTextSmall"/>
            </w:pPr>
            <w:r>
              <w:t xml:space="preserve">Inspect provenance, reliability, linked evidence, claims (with claim status and verification decisions) and cases.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SCR-EVD-001</w:t>
            </w:r>
          </w:p>
        </w:tc>
        <w:tc>
          <w:tcPr/>
          <w:p>
            <w:pPr>
              <w:pStyle w:val="TableTextSmall"/>
            </w:pPr>
            <w:r>
              <w:t xml:space="preserve">Evidence Library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Case team</w:t>
            </w:r>
          </w:p>
        </w:tc>
        <w:tc>
          <w:tcPr/>
          <w:p>
            <w:pPr>
              <w:pStyle w:val="TableTextSmall"/>
            </w:pPr>
            <w:r>
              <w:t xml:space="preserve">Browse evidence and derivatives by source, type, integrity and status.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SCR-EVD-002</w:t>
            </w:r>
          </w:p>
        </w:tc>
        <w:tc>
          <w:tcPr/>
          <w:p>
            <w:pPr>
              <w:pStyle w:val="TableTextSmall"/>
            </w:pPr>
            <w:r>
              <w:t xml:space="preserve">Upload Evidence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Investigator, Custodian</w:t>
            </w:r>
          </w:p>
        </w:tc>
        <w:tc>
          <w:tcPr/>
          <w:p>
            <w:pPr>
              <w:pStyle w:val="TableTextSmall"/>
            </w:pPr>
            <w:r>
              <w:t xml:space="preserve">Ingest original evidence with source linkage and immutable preservation.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SCR-EVD-003</w:t>
            </w:r>
          </w:p>
        </w:tc>
        <w:tc>
          <w:tcPr/>
          <w:p>
            <w:pPr>
              <w:pStyle w:val="TableTextSmall"/>
            </w:pPr>
            <w:r>
              <w:t xml:space="preserve">Evidence Detail / Reader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Case team</w:t>
            </w:r>
          </w:p>
        </w:tc>
        <w:tc>
          <w:tcPr/>
          <w:p>
            <w:pPr>
              <w:pStyle w:val="TableTextSmall"/>
            </w:pPr>
            <w:r>
              <w:t xml:space="preserve">Read original/derivative evidence with provenance, hash and linked analytical objects, including linked claims and facts with their status and verification decisions.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SCR-EVD-004</w:t>
            </w:r>
          </w:p>
        </w:tc>
        <w:tc>
          <w:tcPr/>
          <w:p>
            <w:pPr>
              <w:pStyle w:val="TableTextSmall"/>
            </w:pPr>
            <w:r>
              <w:t xml:space="preserve">Evidence Extract Builder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Create precise page/paragraph/region extracts linked to original context, record source-attributed claims from them, and propose PROVISIONAL facts.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SCR-EVD-005</w:t>
            </w:r>
          </w:p>
        </w:tc>
        <w:tc>
          <w:tcPr/>
          <w:p>
            <w:pPr>
              <w:pStyle w:val="TableTextSmall"/>
            </w:pPr>
            <w:r>
              <w:t xml:space="preserve">Evidence Lineage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Investigator, Reviewer</w:t>
            </w:r>
          </w:p>
        </w:tc>
        <w:tc>
          <w:tcPr/>
          <w:p>
            <w:pPr>
              <w:pStyle w:val="TableTextSmall"/>
            </w:pPr>
            <w:r>
              <w:t xml:space="preserve">Show original-to-derivative lineage and transformation metadata.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SCR-ENT-001</w:t>
            </w:r>
          </w:p>
        </w:tc>
        <w:tc>
          <w:tcPr/>
          <w:p>
            <w:pPr>
              <w:pStyle w:val="TableTextSmall"/>
            </w:pPr>
            <w:r>
              <w:t xml:space="preserve">Entity Register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Find canonical entities across authorised cases without duplicating case-specific copies.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SCR-ENT-002</w:t>
            </w:r>
          </w:p>
        </w:tc>
        <w:tc>
          <w:tcPr/>
          <w:p>
            <w:pPr>
              <w:pStyle w:val="TableTextSmall"/>
            </w:pPr>
            <w:r>
              <w:t xml:space="preserve">Create Entity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canonical entity and provenance-bearing assertions.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SCR-ENT-003</w:t>
            </w:r>
          </w:p>
        </w:tc>
        <w:tc>
          <w:tcPr/>
          <w:p>
            <w:pPr>
              <w:pStyle w:val="TableTextSmall"/>
            </w:pPr>
            <w:r>
              <w:t xml:space="preserve">Entity Detail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Inspect canonical identity, aliases, identifiers, relationships, assets, cases and evidence.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SCR-ENT-004</w:t>
            </w:r>
          </w:p>
        </w:tc>
        <w:tc>
          <w:tcPr/>
          <w:p>
            <w:pPr>
              <w:pStyle w:val="TableTextSmall"/>
            </w:pPr>
            <w:r>
              <w:t xml:space="preserve">Entity Match Queue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Analyst, Data Steward</w:t>
            </w:r>
          </w:p>
        </w:tc>
        <w:tc>
          <w:tcPr/>
          <w:p>
            <w:pPr>
              <w:pStyle w:val="TableTextSmall"/>
            </w:pPr>
            <w:r>
              <w:t xml:space="preserve">Review possible duplicate entities and conflicting attributes.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SCR-ENT-005</w:t>
            </w:r>
          </w:p>
        </w:tc>
        <w:tc>
          <w:tcPr/>
          <w:p>
            <w:pPr>
              <w:pStyle w:val="TableTextSmall"/>
            </w:pPr>
            <w:r>
              <w:t xml:space="preserve">Entity Match Compare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Data Steward</w:t>
            </w:r>
          </w:p>
        </w:tc>
        <w:tc>
          <w:tcPr/>
          <w:p>
            <w:pPr>
              <w:pStyle w:val="TableTextSmall"/>
            </w:pPr>
            <w:r>
              <w:t xml:space="preserve">Compare candidates side-by-side and merge, reject or defer.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SCR-ENT-006</w:t>
            </w:r>
          </w:p>
        </w:tc>
        <w:tc>
          <w:tcPr/>
          <w:p>
            <w:pPr>
              <w:pStyle w:val="TableTextSmall"/>
            </w:pPr>
            <w:r>
              <w:t xml:space="preserve">Merge History / Unmerge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Data Steward</w:t>
            </w:r>
          </w:p>
        </w:tc>
        <w:tc>
          <w:tcPr/>
          <w:p>
            <w:pPr>
              <w:pStyle w:val="TableTextSmall"/>
            </w:pPr>
            <w:r>
              <w:t xml:space="preserve">Inspect merge rationale/history and reverse supported merges.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SCR-REL-001</w:t>
            </w:r>
          </w:p>
        </w:tc>
        <w:tc>
          <w:tcPr/>
          <w:p>
            <w:pPr>
              <w:pStyle w:val="TableTextSmall"/>
            </w:pPr>
            <w:r>
              <w:t xml:space="preserve">Relationship Editor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typed relationship with evidence, temporal validity, confidence and status.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SCR-AST-001</w:t>
            </w:r>
          </w:p>
        </w:tc>
        <w:tc>
          <w:tcPr/>
          <w:p>
            <w:pPr>
              <w:pStyle w:val="TableTextSmall"/>
            </w:pPr>
            <w:r>
              <w:t xml:space="preserve">Asset Register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Browse assets and attribution relationships.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SCR-AST-002</w:t>
            </w:r>
          </w:p>
        </w:tc>
        <w:tc>
          <w:tcPr/>
          <w:p>
            <w:pPr>
              <w:pStyle w:val="TableTextSmall"/>
            </w:pPr>
            <w:r>
              <w:t xml:space="preserve">Asset Detail</w:t>
            </w:r>
          </w:p>
        </w:tc>
        <w:tc>
          <w:tcPr/>
          <w:p>
            <w:pPr>
              <w:pStyle w:val="TableTextSmall"/>
            </w:pPr>
            <w:r>
              <w:t xml:space="preserve">Entities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Inspect asset identifiers, location, ownership/control/use and evidence.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SCR-TIM-001</w:t>
            </w:r>
          </w:p>
        </w:tc>
        <w:tc>
          <w:tcPr/>
          <w:p>
            <w:pPr>
              <w:pStyle w:val="TableTextSmall"/>
            </w:pPr>
            <w:r>
              <w:t xml:space="preserve">Timeline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Explore case chronology with date precision and evidence links.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SCR-TIM-002</w:t>
            </w:r>
          </w:p>
        </w:tc>
        <w:tc>
          <w:tcPr/>
          <w:p>
            <w:pPr>
              <w:pStyle w:val="TableTextSmall"/>
            </w:pPr>
            <w:r>
              <w:t xml:space="preserve">Event Editor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event with precision-aware dates, entities, assets and evidence.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SCR-VAL-001</w:t>
            </w:r>
          </w:p>
        </w:tc>
        <w:tc>
          <w:tcPr/>
          <w:p>
            <w:pPr>
              <w:pStyle w:val="TableTextSmall"/>
            </w:pPr>
            <w:r>
              <w:t xml:space="preserve">Value Flow Workspace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Explore direct, documented, reconstructed and hypothetical value flows.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SCR-VAL-002</w:t>
            </w:r>
          </w:p>
        </w:tc>
        <w:tc>
          <w:tcPr/>
          <w:p>
            <w:pPr>
              <w:pStyle w:val="TableTextSmall"/>
            </w:pPr>
            <w:r>
              <w:t xml:space="preserve">Value Flow Builder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single or multi-leg flow with per-leg evidence, class and confidence.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SCR-TYP-001</w:t>
            </w:r>
          </w:p>
        </w:tc>
        <w:tc>
          <w:tcPr/>
          <w:p>
            <w:pPr>
              <w:pStyle w:val="TableTextSmall"/>
            </w:pPr>
            <w:r>
              <w:t xml:space="preserve">Typology Catalogue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Browse versioned typologies, observables, false positives and indicators.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SCR-TYP-002</w:t>
            </w:r>
          </w:p>
        </w:tc>
        <w:tc>
          <w:tcPr/>
          <w:p>
            <w:pPr>
              <w:pStyle w:val="TableTextSmall"/>
            </w:pPr>
            <w:r>
              <w:t xml:space="preserve">Typology Match Worksheet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Compare case observations against a typology with counter-indicators and alternatives.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SCR-HYP-001</w:t>
            </w:r>
          </w:p>
        </w:tc>
        <w:tc>
          <w:tcPr/>
          <w:p>
            <w:pPr>
              <w:pStyle w:val="TableTextSmall"/>
            </w:pPr>
            <w:r>
              <w:t xml:space="preserve">Hypothesis Workspace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Maintain competing explanations with support, contradiction, assumptions and gaps.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SCR-HYP-002</w:t>
            </w:r>
          </w:p>
        </w:tc>
        <w:tc>
          <w:tcPr/>
          <w:p>
            <w:pPr>
              <w:pStyle w:val="TableTextSmall"/>
            </w:pPr>
            <w:r>
              <w:t xml:space="preserve">Hypothesis Detail / Matrix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Analyst, Reviewer</w:t>
            </w:r>
          </w:p>
        </w:tc>
        <w:tc>
          <w:tcPr/>
          <w:p>
            <w:pPr>
              <w:pStyle w:val="TableTextSmall"/>
            </w:pPr>
            <w:r>
              <w:t xml:space="preserve">Map evidence and indicators as supporting, contradicting, neutral or unknown.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SCR-ASM-001</w:t>
            </w:r>
          </w:p>
        </w:tc>
        <w:tc>
          <w:tcPr/>
          <w:p>
            <w:pPr>
              <w:pStyle w:val="TableTextSmall"/>
            </w:pPr>
            <w:r>
              <w:t xml:space="preserve">Assessment Draft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Write judgement, confidence, basis, alternatives, assumptions and gaps.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SCR-ASM-002</w:t>
            </w:r>
          </w:p>
        </w:tc>
        <w:tc>
          <w:tcPr/>
          <w:p>
            <w:pPr>
              <w:pStyle w:val="TableTextSmall"/>
            </w:pPr>
            <w:r>
              <w:t xml:space="preserve">Assessment Detail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Analyst, Reviewer</w:t>
            </w:r>
          </w:p>
        </w:tc>
        <w:tc>
          <w:tcPr/>
          <w:p>
            <w:pPr>
              <w:pStyle w:val="TableTextSmall"/>
            </w:pPr>
            <w:r>
              <w:t xml:space="preserve">Read versioned assessment and trace backwards to evidence.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SCR-GRF-001</w:t>
            </w:r>
          </w:p>
        </w:tc>
        <w:tc>
          <w:tcPr/>
          <w:p>
            <w:pPr>
              <w:pStyle w:val="TableTextSmall"/>
            </w:pPr>
            <w:r>
              <w:t xml:space="preserve">Investigation Graph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Explore evidence-backed entity, relationship, asset and value-flow graph.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SCR-SCH-001</w:t>
            </w:r>
          </w:p>
        </w:tc>
        <w:tc>
          <w:tcPr/>
          <w:p>
            <w:pPr>
              <w:pStyle w:val="TableTextSmall"/>
            </w:pPr>
            <w:r>
              <w:t xml:space="preserve">Global Search</w:t>
            </w:r>
          </w:p>
        </w:tc>
        <w:tc>
          <w:tcPr/>
          <w:p>
            <w:pPr>
              <w:pStyle w:val="TableTextSmall"/>
            </w:pPr>
            <w:r>
              <w:t xml:space="preserve">Search</w:t>
            </w:r>
          </w:p>
        </w:tc>
        <w:tc>
          <w:tcPr/>
          <w:p>
            <w:pPr>
              <w:pStyle w:val="TableTextSmall"/>
            </w:pPr>
            <w:r>
              <w:t xml:space="preserve">All authorised users</w:t>
            </w:r>
          </w:p>
        </w:tc>
        <w:tc>
          <w:tcPr/>
          <w:p>
            <w:pPr>
              <w:pStyle w:val="TableTextSmall"/>
            </w:pPr>
            <w:r>
              <w:t xml:space="preserve">Search authorised canonical objects with permission-aware counts and facets.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SCR-PRD-001</w:t>
            </w:r>
          </w:p>
        </w:tc>
        <w:tc>
          <w:tcPr/>
          <w:p>
            <w:pPr>
              <w:pStyle w:val="TableTextSmall"/>
            </w:pPr>
            <w:r>
              <w:t xml:space="preserve">Product Library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Analyst, Reviewer</w:t>
            </w:r>
          </w:p>
        </w:tc>
        <w:tc>
          <w:tcPr/>
          <w:p>
            <w:pPr>
              <w:pStyle w:val="TableTextSmall"/>
            </w:pPr>
            <w:r>
              <w:t xml:space="preserve">Browse intelligence products by case, status, classification and version.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SCR-PRD-002</w:t>
            </w:r>
          </w:p>
        </w:tc>
        <w:tc>
          <w:tcPr/>
          <w:p>
            <w:pPr>
              <w:pStyle w:val="TableTextSmall"/>
            </w:pPr>
            <w:r>
              <w:t xml:space="preserve">Create Intelligence Product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a product from any of the six MVP templates — Financial Intelligence Note, Entity Profile, Asset Profile, Network Analysis, Referral Package, Case Report — from approved analytical objects.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  <w:r>
              <w:t xml:space="preserve"> </w:t>
            </w:r>
            <w:r>
              <w:rPr>
                <w:i/>
                <w:iCs/>
              </w:rPr>
              <w:t xml:space="preserve">[v0.1.1 · A06]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SCR-PRD-003</w:t>
            </w:r>
          </w:p>
        </w:tc>
        <w:tc>
          <w:tcPr/>
          <w:p>
            <w:pPr>
              <w:pStyle w:val="TableTextSmall"/>
            </w:pPr>
            <w:r>
              <w:t xml:space="preserve">Product Editor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Edit structured product content while maintaining fact/analysis/gap distinctions and evidence index.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SCR-PRD-004</w:t>
            </w:r>
          </w:p>
        </w:tc>
        <w:tc>
          <w:tcPr/>
          <w:p>
            <w:pPr>
              <w:pStyle w:val="TableTextSmall"/>
            </w:pPr>
            <w:r>
              <w:t xml:space="preserve">Product Detail / Version History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Analyst, Reviewer</w:t>
            </w:r>
          </w:p>
        </w:tc>
        <w:tc>
          <w:tcPr/>
          <w:p>
            <w:pPr>
              <w:pStyle w:val="TableTextSmall"/>
            </w:pPr>
            <w:r>
              <w:t xml:space="preserve">Read current/superseded versions and approval state.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SCR-REV-001</w:t>
            </w:r>
          </w:p>
        </w:tc>
        <w:tc>
          <w:tcPr/>
          <w:p>
            <w:pPr>
              <w:pStyle w:val="TableTextSmall"/>
            </w:pPr>
            <w:r>
              <w:t xml:space="preserve">Review Queue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Reviewer</w:t>
            </w:r>
          </w:p>
        </w:tc>
        <w:tc>
          <w:tcPr/>
          <w:p>
            <w:pPr>
              <w:pStyle w:val="TableTextSmall"/>
            </w:pPr>
            <w:r>
              <w:t xml:space="preserve">List pending independent reviews and gating requirements.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SCR-REV-002</w:t>
            </w:r>
          </w:p>
        </w:tc>
        <w:tc>
          <w:tcPr/>
          <w:p>
            <w:pPr>
              <w:pStyle w:val="TableTextSmall"/>
            </w:pPr>
            <w:r>
              <w:t xml:space="preserve">Peer Review Workspace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Reviewer</w:t>
            </w:r>
          </w:p>
        </w:tc>
        <w:tc>
          <w:tcPr/>
          <w:p>
            <w:pPr>
              <w:pStyle w:val="TableTextSmall"/>
            </w:pPr>
            <w:r>
              <w:t xml:space="preserve">Comment, request changes, approve or reject with disconfirmation checks.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SCR-DIS-001</w:t>
            </w:r>
          </w:p>
        </w:tc>
        <w:tc>
          <w:tcPr/>
          <w:p>
            <w:pPr>
              <w:pStyle w:val="TableTextSmall"/>
            </w:pPr>
            <w:r>
              <w:t xml:space="preserve">Dissemination Approval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Case Owner, Reviewer</w:t>
            </w:r>
          </w:p>
        </w:tc>
        <w:tc>
          <w:tcPr/>
          <w:p>
            <w:pPr>
              <w:pStyle w:val="TableTextSmall"/>
            </w:pPr>
            <w:r>
              <w:t xml:space="preserve">Approve intended recipient, purpose, classification and export scope.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SCR-DIS-002</w:t>
            </w:r>
          </w:p>
        </w:tc>
        <w:tc>
          <w:tcPr/>
          <w:p>
            <w:pPr>
              <w:pStyle w:val="TableTextSmall"/>
            </w:pPr>
            <w:r>
              <w:t xml:space="preserve">Export Package Builder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Select minimised approved content and generate export manifest/package.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SCR-DIS-003</w:t>
            </w:r>
          </w:p>
        </w:tc>
        <w:tc>
          <w:tcPr/>
          <w:p>
            <w:pPr>
              <w:pStyle w:val="TableTextSmall"/>
            </w:pPr>
            <w:r>
              <w:t xml:space="preserve">Sharing Log</w:t>
            </w:r>
          </w:p>
        </w:tc>
        <w:tc>
          <w:tcPr/>
          <w:p>
            <w:pPr>
              <w:pStyle w:val="TableTextSmall"/>
            </w:pPr>
            <w:r>
              <w:t xml:space="preserve">Products</w:t>
            </w:r>
          </w:p>
        </w:tc>
        <w:tc>
          <w:tcPr/>
          <w:p>
            <w:pPr>
              <w:pStyle w:val="TableTextSmall"/>
            </w:pPr>
            <w:r>
              <w:t xml:space="preserve">Case Owner, Auditor</w:t>
            </w:r>
          </w:p>
        </w:tc>
        <w:tc>
          <w:tcPr/>
          <w:p>
            <w:pPr>
              <w:pStyle w:val="TableTextSmall"/>
            </w:pPr>
            <w:r>
              <w:t xml:space="preserve">Record who received which version, when, why and with what restrictions.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SCR-ADM-001</w:t>
            </w:r>
          </w:p>
        </w:tc>
        <w:tc>
          <w:tcPr/>
          <w:p>
            <w:pPr>
              <w:pStyle w:val="TableTextSmall"/>
            </w:pPr>
            <w:r>
              <w:t xml:space="preserve">Administration Home</w:t>
            </w:r>
          </w:p>
        </w:tc>
        <w:tc>
          <w:tcPr/>
          <w:p>
            <w:pPr>
              <w:pStyle w:val="TableTextSmall"/>
            </w:pPr>
            <w:r>
              <w:t xml:space="preserve">Administration</w:t>
            </w:r>
          </w:p>
        </w:tc>
        <w:tc>
          <w:tcPr/>
          <w:p>
            <w:pPr>
              <w:pStyle w:val="TableTextSmall"/>
            </w:pPr>
            <w:r>
              <w:t xml:space="preserve">Admin</w:t>
            </w:r>
          </w:p>
        </w:tc>
        <w:tc>
          <w:tcPr/>
          <w:p>
            <w:pPr>
              <w:pStyle w:val="TableTextSmall"/>
            </w:pPr>
            <w:r>
              <w:t xml:space="preserve">Entry point to vocabularies, retention, users/roles, policy and system information.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SCR-ADM-002</w:t>
            </w:r>
          </w:p>
        </w:tc>
        <w:tc>
          <w:tcPr/>
          <w:p>
            <w:pPr>
              <w:pStyle w:val="TableTextSmall"/>
            </w:pPr>
            <w:r>
              <w:t xml:space="preserve">Vocabulary Management</w:t>
            </w:r>
          </w:p>
        </w:tc>
        <w:tc>
          <w:tcPr/>
          <w:p>
            <w:pPr>
              <w:pStyle w:val="TableTextSmall"/>
            </w:pPr>
            <w:r>
              <w:t xml:space="preserve">Administration</w:t>
            </w:r>
          </w:p>
        </w:tc>
        <w:tc>
          <w:tcPr/>
          <w:p>
            <w:pPr>
              <w:pStyle w:val="TableTextSmall"/>
            </w:pPr>
            <w:r>
              <w:t xml:space="preserve">Admin</w:t>
            </w:r>
          </w:p>
        </w:tc>
        <w:tc>
          <w:tcPr/>
          <w:p>
            <w:pPr>
              <w:pStyle w:val="TableTextSmall"/>
            </w:pPr>
            <w:r>
              <w:t xml:space="preserve">Manage controlled vocabulary versions without rewriting history.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SCR-ADM-003</w:t>
            </w:r>
          </w:p>
        </w:tc>
        <w:tc>
          <w:tcPr/>
          <w:p>
            <w:pPr>
              <w:pStyle w:val="TableTextSmall"/>
            </w:pPr>
            <w:r>
              <w:t xml:space="preserve">Retention Policies</w:t>
            </w:r>
          </w:p>
        </w:tc>
        <w:tc>
          <w:tcPr/>
          <w:p>
            <w:pPr>
              <w:pStyle w:val="TableTextSmall"/>
            </w:pPr>
            <w:r>
              <w:t xml:space="preserve">Administration</w:t>
            </w:r>
          </w:p>
        </w:tc>
        <w:tc>
          <w:tcPr/>
          <w:p>
            <w:pPr>
              <w:pStyle w:val="TableTextSmall"/>
            </w:pPr>
            <w:r>
              <w:t xml:space="preserve">Admin, Privacy</w:t>
            </w:r>
          </w:p>
        </w:tc>
        <w:tc>
          <w:tcPr/>
          <w:p>
            <w:pPr>
              <w:pStyle w:val="TableTextSmall"/>
            </w:pPr>
            <w:r>
              <w:t xml:space="preserve">Define retention, hold and disposition rules by classification/object type.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SCR-ADM-004</w:t>
            </w:r>
          </w:p>
        </w:tc>
        <w:tc>
          <w:tcPr/>
          <w:p>
            <w:pPr>
              <w:pStyle w:val="TableTextSmall"/>
            </w:pPr>
            <w:r>
              <w:t xml:space="preserve">Access / Case Membership</w:t>
            </w:r>
          </w:p>
        </w:tc>
        <w:tc>
          <w:tcPr/>
          <w:p>
            <w:pPr>
              <w:pStyle w:val="TableTextSmall"/>
            </w:pPr>
            <w:r>
              <w:t xml:space="preserve">Administration</w:t>
            </w:r>
          </w:p>
        </w:tc>
        <w:tc>
          <w:tcPr/>
          <w:p>
            <w:pPr>
              <w:pStyle w:val="TableTextSmall"/>
            </w:pPr>
            <w:r>
              <w:t xml:space="preserve">Admin, Case Owner</w:t>
            </w:r>
          </w:p>
        </w:tc>
        <w:tc>
          <w:tcPr/>
          <w:p>
            <w:pPr>
              <w:pStyle w:val="TableTextSmall"/>
            </w:pPr>
            <w:r>
              <w:t xml:space="preserve">Manage roles and case membership without exposing protected-source identity.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SCR-AUD-001</w:t>
            </w:r>
          </w:p>
        </w:tc>
        <w:tc>
          <w:tcPr/>
          <w:p>
            <w:pPr>
              <w:pStyle w:val="TableTextSmall"/>
            </w:pPr>
            <w:r>
              <w:t xml:space="preserve">Audit Explorer</w:t>
            </w:r>
          </w:p>
        </w:tc>
        <w:tc>
          <w:tcPr/>
          <w:p>
            <w:pPr>
              <w:pStyle w:val="TableTextSmall"/>
            </w:pPr>
            <w:r>
              <w:t xml:space="preserve">Administration</w:t>
            </w:r>
          </w:p>
        </w:tc>
        <w:tc>
          <w:tcPr/>
          <w:p>
            <w:pPr>
              <w:pStyle w:val="TableTextSmall"/>
            </w:pPr>
            <w:r>
              <w:t xml:space="preserve">Auditor</w:t>
            </w:r>
          </w:p>
        </w:tc>
        <w:tc>
          <w:tcPr/>
          <w:p>
            <w:pPr>
              <w:pStyle w:val="TableTextSmall"/>
            </w:pPr>
            <w:r>
              <w:t xml:space="preserve">Search material audit events with permission-aware payloads.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SCR-SYS-001</w:t>
            </w:r>
          </w:p>
        </w:tc>
        <w:tc>
          <w:tcPr/>
          <w:p>
            <w:pPr>
              <w:pStyle w:val="TableTextSmall"/>
            </w:pPr>
            <w:r>
              <w:t xml:space="preserve">Access Denied / Need-to-Know</w:t>
            </w:r>
          </w:p>
        </w:tc>
        <w:tc>
          <w:tcPr/>
          <w:p>
            <w:pPr>
              <w:pStyle w:val="TableTextSmall"/>
            </w:pPr>
            <w:r>
              <w:t xml:space="preserve">System</w:t>
            </w:r>
          </w:p>
        </w:tc>
        <w:tc>
          <w:tcPr/>
          <w:p>
            <w:pPr>
              <w:pStyle w:val="TableTextSmall"/>
            </w:pPr>
            <w:r>
              <w:t xml:space="preserve">All users</w:t>
            </w:r>
          </w:p>
        </w:tc>
        <w:tc>
          <w:tcPr/>
          <w:p>
            <w:pPr>
              <w:pStyle w:val="TableTextSmall"/>
            </w:pPr>
            <w:r>
              <w:t xml:space="preserve">Explain denied access without revealing restricted object existence/content.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SCR-SYS-002</w:t>
            </w:r>
          </w:p>
        </w:tc>
        <w:tc>
          <w:tcPr/>
          <w:p>
            <w:pPr>
              <w:pStyle w:val="TableTextSmall"/>
            </w:pPr>
            <w:r>
              <w:t xml:space="preserve">Integrity Warning</w:t>
            </w:r>
          </w:p>
        </w:tc>
        <w:tc>
          <w:tcPr/>
          <w:p>
            <w:pPr>
              <w:pStyle w:val="TableTextSmall"/>
            </w:pPr>
            <w:r>
              <w:t xml:space="preserve">System</w:t>
            </w:r>
          </w:p>
        </w:tc>
        <w:tc>
          <w:tcPr/>
          <w:p>
            <w:pPr>
              <w:pStyle w:val="TableTextSmall"/>
            </w:pPr>
            <w:r>
              <w:t xml:space="preserve">All users</w:t>
            </w:r>
          </w:p>
        </w:tc>
        <w:tc>
          <w:tcPr/>
          <w:p>
            <w:pPr>
              <w:pStyle w:val="TableTextSmall"/>
            </w:pPr>
            <w:r>
              <w:t xml:space="preserve">Present hash mismatch or evidence-integrity problem with safe next steps.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SCR-SYS-003</w:t>
            </w:r>
          </w:p>
        </w:tc>
        <w:tc>
          <w:tcPr/>
          <w:p>
            <w:pPr>
              <w:pStyle w:val="TableTextSmall"/>
            </w:pPr>
            <w:r>
              <w:t xml:space="preserve">Conflict / Stale Version</w:t>
            </w:r>
          </w:p>
        </w:tc>
        <w:tc>
          <w:tcPr/>
          <w:p>
            <w:pPr>
              <w:pStyle w:val="TableTextSmall"/>
            </w:pPr>
            <w:r>
              <w:t xml:space="preserve">System</w:t>
            </w:r>
          </w:p>
        </w:tc>
        <w:tc>
          <w:tcPr/>
          <w:p>
            <w:pPr>
              <w:pStyle w:val="TableTextSmall"/>
            </w:pPr>
            <w:r>
              <w:t xml:space="preserve">All users</w:t>
            </w:r>
          </w:p>
        </w:tc>
        <w:tc>
          <w:tcPr/>
          <w:p>
            <w:pPr>
              <w:pStyle w:val="TableTextSmall"/>
            </w:pPr>
            <w:r>
              <w:t xml:space="preserve">Prevent silent overwrite when concurrent edits or superseded versions exist.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</w:tr>
    </w:tbl>
    <w:bookmarkEnd w:id="12"/>
    <w:bookmarkStart w:id="75" w:name="X699d53eb8bac3d3529ab9768d730624093d0f72"/>
    <w:p>
      <w:pPr>
        <w:pStyle w:val="Heading1"/>
      </w:pPr>
      <w:r>
        <w:t xml:space="preserve">5. Screen Details by Domain</w:t>
      </w:r>
    </w:p>
    <w:bookmarkStart w:id="14" w:name="home"/>
    <w:p>
      <w:pPr>
        <w:pStyle w:val="Heading2"/>
      </w:pPr>
      <w:r>
        <w:t xml:space="preserve">Home</w:t>
      </w:r>
    </w:p>
    <w:bookmarkStart w:id="13" w:name="scr-home-001--home--work-queue"/>
    <w:p>
      <w:pPr>
        <w:pStyle w:val="Heading3"/>
      </w:pPr>
      <w:r>
        <w:t xml:space="preserve">SCR-HOME-001 — Home / Work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9"/>
        <w:gridCol w:w="577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All authorised users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Surface assigned work, pending reviews, recent cases and alerts without ranking people by suspicion.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Case, Task, Review, AuditEvent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empty, filtered, degraded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13"/>
    <w:bookmarkEnd w:id="14"/>
    <w:bookmarkStart w:id="22" w:name="cases"/>
    <w:p>
      <w:pPr>
        <w:pStyle w:val="Heading2"/>
      </w:pPr>
      <w:r>
        <w:t xml:space="preserve">Cases</w:t>
      </w:r>
    </w:p>
    <w:bookmarkStart w:id="15" w:name="scr-case-001--case-register"/>
    <w:p>
      <w:pPr>
        <w:pStyle w:val="Heading3"/>
      </w:pPr>
      <w:r>
        <w:t xml:space="preserve">SCR-CASE-001 — Case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8"/>
        <w:gridCol w:w="555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Investigator, Case Owner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List authorised cases with filters for status, owner, classification and lifecycle stage.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Case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empty, no-access, filtered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15"/>
    <w:bookmarkStart w:id="16" w:name="scr-case-002--create-case"/>
    <w:p>
      <w:pPr>
        <w:pStyle w:val="Heading3"/>
      </w:pPr>
      <w:r>
        <w:t xml:space="preserve">SCR-CASE-002 — Create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562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Investigator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Create a case with purpose, owner, classification and initial investigation question.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Case, InvestigationQuestion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validation-error, success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16"/>
    <w:bookmarkStart w:id="17" w:name="scr-case-003--case-overview"/>
    <w:p>
      <w:pPr>
        <w:pStyle w:val="Heading3"/>
      </w:pPr>
      <w:r>
        <w:t xml:space="preserve">SCR-CASE-003 — Case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4"/>
        <w:gridCol w:w="575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team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Summarise case purpose, scope, owners, status, key objects, lifecycle gates and unresolved risks.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Case, Review, Task, Assessment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restricted, stale-data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17"/>
    <w:bookmarkStart w:id="18" w:name="scr-case-004--investigation-charter"/>
    <w:p>
      <w:pPr>
        <w:pStyle w:val="Heading3"/>
      </w:pPr>
      <w:r>
        <w:t xml:space="preserve">SCR-CASE-004 — Investigation Charter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9"/>
        <w:gridCol w:w="592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/cases/{case_id}/charter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Owner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Read/edit/version investigation question, scope, exclusions, period, risks and collection boundaries.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Case, InvestigationQuestion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view, edit, version-history,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18"/>
    <w:bookmarkStart w:id="19" w:name="scr-case-005--lifecycle-gates"/>
    <w:p>
      <w:pPr>
        <w:pStyle w:val="Heading3"/>
      </w:pPr>
      <w:r>
        <w:t xml:space="preserve">SCR-CASE-005 — Lifecycle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5"/>
        <w:gridCol w:w="569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/cases/{case_id}/gates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Owner,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Submit, review and approve/reject G0-G6 gates with conditions and independence rules.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Review, Case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pending, approved, rejected, blocked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19"/>
    <w:bookmarkStart w:id="20" w:name="scr-case-006--case-work--tasks"/>
    <w:p>
      <w:pPr>
        <w:pStyle w:val="Heading3"/>
      </w:pPr>
      <w:r>
        <w:t xml:space="preserve">SCR-CASE-006 — Case Work /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/cases/{case_id}/work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team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Track collection, verification, analysis and review tasks.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Task, Case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board, list, empty, overdue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0"/>
    <w:bookmarkStart w:id="21" w:name="scr-case-007--case-activity"/>
    <w:p>
      <w:pPr>
        <w:pStyle w:val="Heading3"/>
      </w:pPr>
      <w:r>
        <w:t xml:space="preserve">SCR-CASE-007 — Case Activity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/cases/{case_id}/activity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team, Auditor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Chronological material actions for reconstructability.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AuditEvent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filtered,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1"/>
    <w:bookmarkEnd w:id="22"/>
    <w:bookmarkStart w:id="30" w:name="evidence"/>
    <w:p>
      <w:pPr>
        <w:pStyle w:val="Heading2"/>
      </w:pPr>
      <w:r>
        <w:t xml:space="preserve">Evidence</w:t>
      </w:r>
    </w:p>
    <w:bookmarkStart w:id="23" w:name="scr-src-001--source-register"/>
    <w:p>
      <w:pPr>
        <w:pStyle w:val="Heading3"/>
      </w:pPr>
      <w:r>
        <w:t xml:space="preserve">SCR-SRC-001 — Source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5"/>
        <w:gridCol w:w="552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/cases/{case_id}/sources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Investigator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Register sources with provenance, access method, reliability and legal/access notes.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Source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list, empty,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3"/>
    <w:bookmarkStart w:id="24" w:name="scr-src-002--source-detail"/>
    <w:p>
      <w:pPr>
        <w:pStyle w:val="Heading3"/>
      </w:pPr>
      <w:r>
        <w:t xml:space="preserve">SCR-SRC-002 — Source 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651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/sources/{source_id}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Investigator,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Inspect provenance, reliability, linked evidence, claims and cases. Each claim shows its attribution,</w:t>
            </w:r>
            <w:r>
              <w:t xml:space="preserve"> </w:t>
            </w:r>
            <w:r>
              <w:rPr>
                <w:rStyle w:val="VerbatimChar"/>
              </w:rPr>
              <w:t xml:space="preserve">claim_status</w:t>
            </w:r>
            <w:r>
              <w:t xml:space="preserve"> </w:t>
            </w:r>
            <w:r>
              <w:t xml:space="preserve">and verification decision history; a claim is never presented as a fact.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Source, EvidenceItem, Claim, VerificationDecision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restricted, superseded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4"/>
    <w:bookmarkStart w:id="25" w:name="scr-evd-001--evidence-library"/>
    <w:p>
      <w:pPr>
        <w:pStyle w:val="Heading3"/>
      </w:pPr>
      <w:r>
        <w:t xml:space="preserve">SCR-EVD-001 — Evidence Library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5"/>
        <w:gridCol w:w="556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/cases/{case_id}/evidence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team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Browse evidence and derivatives by source, type, integrity and status.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EvidenceItem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grid/list, empty, upload-in-progress,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5"/>
    <w:bookmarkStart w:id="26" w:name="scr-evd-002--upload-evidence"/>
    <w:p>
      <w:pPr>
        <w:pStyle w:val="Heading3"/>
      </w:pPr>
      <w:r>
        <w:t xml:space="preserve">SCR-EVD-002 — Upload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6"/>
        <w:gridCol w:w="567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/cases/{case_id}/evidence/new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Investigator, Custodian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Ingest original evidence with source linkage and immutable preservation.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EvidenceItem, Source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idle, uploading, scanning, failed, complete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6"/>
    <w:bookmarkStart w:id="27" w:name="scr-evd-003--evidence-detail--reader"/>
    <w:p>
      <w:pPr>
        <w:pStyle w:val="Heading3"/>
      </w:pPr>
      <w:r>
        <w:t xml:space="preserve">SCR-EVD-003 — Evidence Detail / Reader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4"/>
        <w:gridCol w:w="693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/evidence/{evidence_id}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team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Read original/derivative evidence with provenance, hash and linked analytical objects. The context rail lists linked claims and facts separately, each with its status (</w:t>
            </w:r>
            <w:r>
              <w:rPr>
                <w:rStyle w:val="VerbatimChar"/>
              </w:rPr>
              <w:t xml:space="preserve">claim_status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fact_status</w:t>
            </w:r>
            <w:r>
              <w:t xml:space="preserve">) and verification decisions; authorised users record verification decisions and fact transitions (establish, dispute, supersede) from this panel, subject to the role rules of the Claim and Fact lifecycle.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EvidenceItem, EvidenceExtract, Claim, Fact, VerificationDecision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restricted, integrity-warning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7"/>
    <w:bookmarkStart w:id="28" w:name="scr-evd-004--evidence-extract-builder"/>
    <w:p>
      <w:pPr>
        <w:pStyle w:val="Heading3"/>
      </w:pPr>
      <w:r>
        <w:t xml:space="preserve">SCR-EVD-004 — Evidence Extract Builder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4"/>
        <w:gridCol w:w="693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/evidence/{evidence_id}/extracts/new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Investigator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Create precise page/paragraph/region extracts linked to original context. From an extract the user MAY record a source-attributed claim and MAY propose a PROVISIONAL fact supported by evidence (mandatory) and, optionally, that claim; fact creation requires supporting evidence references and a decision rationale, and the system records the creation decision together with the fact</w:t>
            </w:r>
            <w:r>
              <w:t xml:space="preserve"> </w:t>
            </w:r>
            <w:r>
              <w:rPr>
                <w:i/>
                <w:iCs/>
              </w:rPr>
              <w:t xml:space="preserve">[v0.1.1 · C01]</w:t>
            </w:r>
            <w:r>
              <w:t xml:space="preserve"> </w:t>
            </w:r>
            <w:r>
              <w:rPr>
                <w:i/>
                <w:iCs/>
              </w:rPr>
              <w:t xml:space="preserve">[v0.1.1 · C02]</w:t>
            </w:r>
            <w:r>
              <w:t xml:space="preserve">. The claim itself is never converted into a fact, and no fact is created from an extract without a verification decision.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EvidenceExtract, Claim, Fact (provisional proposal)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selecting, editing,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8"/>
    <w:bookmarkStart w:id="29" w:name="scr-evd-005--evidence-lineage"/>
    <w:p>
      <w:pPr>
        <w:pStyle w:val="Heading3"/>
      </w:pPr>
      <w:r>
        <w:t xml:space="preserve">SCR-EVD-005 — Evidence Lineage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2"/>
        <w:gridCol w:w="552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/evidence/{evidence_id}/lineage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Investigator,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Show original-to-derivative lineage and transformation metadata.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EvidenceItem, DerivedArtifact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missing-parent-warning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29"/>
    <w:bookmarkEnd w:id="30"/>
    <w:bookmarkStart w:id="40" w:name="entities"/>
    <w:p>
      <w:pPr>
        <w:pStyle w:val="Heading2"/>
      </w:pPr>
      <w:r>
        <w:t xml:space="preserve">Entities</w:t>
      </w:r>
    </w:p>
    <w:bookmarkStart w:id="31" w:name="scr-ent-001--entity-register"/>
    <w:p>
      <w:pPr>
        <w:pStyle w:val="Heading3"/>
      </w:pPr>
      <w:r>
        <w:t xml:space="preserve">SCR-ENT-001 — Entity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3"/>
        <w:gridCol w:w="532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/entities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Find canonical entities across authorised cases without duplicating case-specific copies.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Entity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1"/>
    <w:bookmarkStart w:id="32" w:name="scr-ent-002--create-entity"/>
    <w:p>
      <w:pPr>
        <w:pStyle w:val="Heading3"/>
      </w:pPr>
      <w:r>
        <w:t xml:space="preserve">SCR-ENT-002 — Create 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/entities/new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Create canonical entity and provenance-bearing assertions.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Entity, Identifier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duplicate-candidate,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2"/>
    <w:bookmarkStart w:id="33" w:name="scr-ent-003--entity-detail"/>
    <w:p>
      <w:pPr>
        <w:pStyle w:val="Heading3"/>
      </w:pPr>
      <w:r>
        <w:t xml:space="preserve">SCR-ENT-003 — Entity 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/entities/{entity_id}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Inspect canonical identity, aliases, identifiers, relationships, assets, cases and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Entity, Relationship, Asset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disputed,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3"/>
    <w:bookmarkStart w:id="34" w:name="scr-ent-004--entity-match-queue"/>
    <w:p>
      <w:pPr>
        <w:pStyle w:val="Heading3"/>
      </w:pPr>
      <w:r>
        <w:t xml:space="preserve">SCR-ENT-004 — Entity Match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9"/>
        <w:gridCol w:w="535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/entities/matches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Analyst, Data Steward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Review possible duplicate entities and conflicting attributes.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EntityMatchCandidate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queue, empty, filtered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4"/>
    <w:bookmarkStart w:id="35" w:name="scr-ent-005--entity-match-compare"/>
    <w:p>
      <w:pPr>
        <w:pStyle w:val="Heading3"/>
      </w:pPr>
      <w:r>
        <w:t xml:space="preserve">SCR-ENT-005 — Entity Match Compare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4"/>
        <w:gridCol w:w="649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/entities/matches/{match_id}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Data Steward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Compare candidates side-by-side and merge, reject or defer. Each outcome is recorded as a ResolutionDecision (</w:t>
            </w:r>
            <w:r>
              <w:rPr>
                <w:rStyle w:val="VerbatimChar"/>
              </w:rPr>
              <w:t xml:space="preserve">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KEEP_SEPARATE</w:t>
            </w:r>
            <w:r>
              <w:t xml:space="preserve"> </w:t>
            </w:r>
            <w:r>
              <w:t xml:space="preserve">for reject,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POSSIBLE_MATCH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Entity, EntityMatchCandidate, ResolutionDecision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candidate, merge-confirmation, rejected, deferred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5"/>
    <w:bookmarkStart w:id="36" w:name="scr-ent-006--merge-history--unmerge"/>
    <w:p>
      <w:pPr>
        <w:pStyle w:val="Heading3"/>
      </w:pPr>
      <w:r>
        <w:t xml:space="preserve">SCR-ENT-006 — Merge History / Unmerge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2"/>
        <w:gridCol w:w="652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/entities/{entity_id}/resolution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Data Steward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Inspect merge rationale/history and reverse supported merges. Shows the entity's append-only ResolutionDecision history; unmerge records an</w:t>
            </w:r>
            <w:r>
              <w:t xml:space="preserve"> </w:t>
            </w:r>
            <w:r>
              <w:rPr>
                <w:rStyle w:val="VerbatimChar"/>
              </w:rPr>
              <w:t xml:space="preserve">UNMERGE</w:t>
            </w:r>
            <w:r>
              <w:t xml:space="preserve"> </w:t>
            </w:r>
            <w:r>
              <w:t xml:space="preserve">decision referencing the reversed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ResolutionDecision (v0.1 name: MergeDecision), Entity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confirmation, conflict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6"/>
    <w:bookmarkStart w:id="37" w:name="scr-rel-001--relationship-editor"/>
    <w:p>
      <w:pPr>
        <w:pStyle w:val="Heading3"/>
      </w:pPr>
      <w:r>
        <w:t xml:space="preserve">SCR-REL-001 — Relationship Editor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546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/relationships/new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Create typed relationship with evidence, temporal validity, confidence and status.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7"/>
    <w:bookmarkStart w:id="38" w:name="scr-ast-001--asset-register"/>
    <w:p>
      <w:pPr>
        <w:pStyle w:val="Heading3"/>
      </w:pPr>
      <w:r>
        <w:t xml:space="preserve">SCR-AST-001 — Asset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/assets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Browse assets and attribution relationships.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Asset, ControlAssertion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8"/>
    <w:bookmarkStart w:id="39" w:name="scr-ast-002--asset-detail"/>
    <w:p>
      <w:pPr>
        <w:pStyle w:val="Heading3"/>
      </w:pPr>
      <w:r>
        <w:t xml:space="preserve">SCR-AST-002 — Asset 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0"/>
        <w:gridCol w:w="542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/assets/{asset_id}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Inspect asset identifiers, location, ownership/control/use and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Asset, Relationship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disputed,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39"/>
    <w:bookmarkEnd w:id="40"/>
    <w:bookmarkStart w:id="52" w:name="analysis"/>
    <w:p>
      <w:pPr>
        <w:pStyle w:val="Heading2"/>
      </w:pPr>
      <w:r>
        <w:t xml:space="preserve">Analysis</w:t>
      </w:r>
    </w:p>
    <w:bookmarkStart w:id="41" w:name="scr-tim-001--timeline"/>
    <w:p>
      <w:pPr>
        <w:pStyle w:val="Heading3"/>
      </w:pPr>
      <w:r>
        <w:t xml:space="preserve">SCR-TIM-001 —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6"/>
        <w:gridCol w:w="520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/cases/{case_id}/timeline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Explore case chronology with date precision and evidence links.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1"/>
    <w:bookmarkStart w:id="42" w:name="scr-tim-002--event-editor"/>
    <w:p>
      <w:pPr>
        <w:pStyle w:val="Heading3"/>
      </w:pPr>
      <w:r>
        <w:t xml:space="preserve">SCR-TIM-002 — Event Editor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6"/>
        <w:gridCol w:w="520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/events/new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Create event with precision-aware dates, entities, assets and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2"/>
    <w:bookmarkStart w:id="43" w:name="scr-val-001--value-flow-workspace"/>
    <w:p>
      <w:pPr>
        <w:pStyle w:val="Heading3"/>
      </w:pPr>
      <w:r>
        <w:t xml:space="preserve">SCR-VAL-001 — Value Flow Workspace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3"/>
        <w:gridCol w:w="550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/cases/{case_id}/value-flows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Explore direct, documented, reconstructed and hypothetical value flows.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ValueFlow, ValueFlowLeg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3"/>
    <w:bookmarkStart w:id="44" w:name="scr-val-002--value-flow-builder"/>
    <w:p>
      <w:pPr>
        <w:pStyle w:val="Heading3"/>
      </w:pPr>
      <w:r>
        <w:t xml:space="preserve">SCR-VAL-002 — Value Flow Builder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8"/>
        <w:gridCol w:w="570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/cases/{case_id}/value-flows/new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Create single or multi-leg flow with per-leg evidence, class and confidence.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ValueFlow, ValueFlowLeg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incomplete,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4"/>
    <w:bookmarkStart w:id="45" w:name="scr-typ-001--typology-catalogue"/>
    <w:p>
      <w:pPr>
        <w:pStyle w:val="Heading3"/>
      </w:pPr>
      <w:r>
        <w:t xml:space="preserve">SCR-TYP-001 — Typology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7"/>
        <w:gridCol w:w="527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/analysis/typologies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Browse versioned typologies, observables, false positives and indicators.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Typology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search,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5"/>
    <w:bookmarkStart w:id="46" w:name="scr-typ-002--typology-match-worksheet"/>
    <w:p>
      <w:pPr>
        <w:pStyle w:val="Heading3"/>
      </w:pPr>
      <w:r>
        <w:t xml:space="preserve">SCR-TYP-002 — Typology Match Worksheet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4"/>
        <w:gridCol w:w="585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/cases/{case_id}/typology-matches/{id}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Compare case observations against a typology with counter-indicators and alternatives.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TypologyMatch, Indicator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weak, plausible, strong, compelling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6"/>
    <w:bookmarkStart w:id="47" w:name="scr-hyp-001--hypothesis-workspace"/>
    <w:p>
      <w:pPr>
        <w:pStyle w:val="Heading3"/>
      </w:pPr>
      <w:r>
        <w:t xml:space="preserve">SCR-HYP-001 — Hypothesis Workspace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0"/>
        <w:gridCol w:w="562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/cases/{case_id}/hypotheses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Maintain competing explanations with support, contradiction, assumptions and gaps.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Hypothesis, IntelligenceGap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empty, filtered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7"/>
    <w:bookmarkStart w:id="48" w:name="scr-hyp-002--hypothesis-detail--matrix"/>
    <w:p>
      <w:pPr>
        <w:pStyle w:val="Heading3"/>
      </w:pPr>
      <w:r>
        <w:t xml:space="preserve">SCR-HYP-002 — Hypothesis Detail /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6"/>
        <w:gridCol w:w="579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/hypotheses/{hypothesis_id}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Map evidence and indicators as supporting, contradicting, neutral or unknown.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Hypothesis, EvidenceItem, Indicator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open, supported, weakened, rejected, inconclusive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8"/>
    <w:bookmarkStart w:id="49" w:name="scr-asm-001--assessment-draft"/>
    <w:p>
      <w:pPr>
        <w:pStyle w:val="Heading3"/>
      </w:pPr>
      <w:r>
        <w:t xml:space="preserve">SCR-ASM-001 — Assessment Draft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2"/>
        <w:gridCol w:w="556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/cases/{case_id}/assessments/new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Write judgement, confidence, basis, alternatives, assumptions and gaps.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validation-error, ready-for-review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49"/>
    <w:bookmarkStart w:id="50" w:name="scr-asm-002--assessment-detail"/>
    <w:p>
      <w:pPr>
        <w:pStyle w:val="Heading3"/>
      </w:pPr>
      <w:r>
        <w:t xml:space="preserve">SCR-ASM-002 — Assessment Detail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/assessments/{assessment_id}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Read versioned assessment and trace backwards to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Assessment, Hypothesis, EvidenceItem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reviewed, superseded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0"/>
    <w:bookmarkStart w:id="51" w:name="scr-grf-001--investigation-graph"/>
    <w:p>
      <w:pPr>
        <w:pStyle w:val="Heading3"/>
      </w:pPr>
      <w:r>
        <w:t xml:space="preserve">SCR-GRF-001 — Investigation Graph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4"/>
        <w:gridCol w:w="565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/cases/{case_id}/graph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Explore evidence-backed entity, relationship, asset and value-flow graph.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Entity, Relationship, Asset, ValueFlow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loading, filtered, no-results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1"/>
    <w:bookmarkEnd w:id="52"/>
    <w:bookmarkStart w:id="54" w:name="search"/>
    <w:p>
      <w:pPr>
        <w:pStyle w:val="Heading2"/>
      </w:pPr>
      <w:r>
        <w:t xml:space="preserve">Search</w:t>
      </w:r>
    </w:p>
    <w:bookmarkStart w:id="53" w:name="scr-sch-001--global-search"/>
    <w:p>
      <w:pPr>
        <w:pStyle w:val="Heading3"/>
      </w:pPr>
      <w:r>
        <w:t xml:space="preserve">SCR-SCH-001 — Global Search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5"/>
        <w:gridCol w:w="571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/search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All authorised users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Search authorised canonical objects with permission-aware counts and facets.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Case, Entity, EvidenceItem, Source, Asset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results, no-results,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3"/>
    <w:bookmarkEnd w:id="54"/>
    <w:bookmarkStart w:id="64" w:name="products"/>
    <w:p>
      <w:pPr>
        <w:pStyle w:val="Heading2"/>
      </w:pPr>
      <w:r>
        <w:t xml:space="preserve">Products</w:t>
      </w:r>
    </w:p>
    <w:bookmarkStart w:id="55" w:name="scr-prd-001--product-library"/>
    <w:p>
      <w:pPr>
        <w:pStyle w:val="Heading3"/>
      </w:pPr>
      <w:r>
        <w:t xml:space="preserve">SCR-PRD-001 — Product Library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39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/products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Browse intelligence products by case, status, classification and version.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IntelligenceProduct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5"/>
    <w:bookmarkStart w:id="56" w:name="scr-prd-002--create-intelligence-product"/>
    <w:p>
      <w:pPr>
        <w:pStyle w:val="Heading3"/>
      </w:pPr>
      <w:r>
        <w:t xml:space="preserve">SCR-PRD-002 — Create Intelligence Product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0"/>
        <w:gridCol w:w="639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/cases/{case_id}/products/new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Create a product from any of the six MVP templates — Financial Intelligence Note, Entity Profile, Asset Profile, Network Analysis, Referral Package, Case Report — from approved analytical objects.</w:t>
            </w:r>
            <w:r>
              <w:t xml:space="preserve"> </w:t>
            </w:r>
            <w:r>
              <w:rPr>
                <w:i/>
                <w:iCs/>
              </w:rPr>
              <w:t xml:space="preserve">[v0.1.1 · A06]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IntelligenceProduct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template-select, draft,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6"/>
    <w:bookmarkStart w:id="57" w:name="scr-prd-003--product-editor"/>
    <w:p>
      <w:pPr>
        <w:pStyle w:val="Heading3"/>
      </w:pPr>
      <w:r>
        <w:t xml:space="preserve">SCR-PRD-003 — Product Editor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2"/>
        <w:gridCol w:w="592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/products/{product_id}/edit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Edit structured product content while maintaining fact/analysis/gap distinctions and evidence index.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IntelligenceProduct, Assessment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autosave, conflict,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7"/>
    <w:bookmarkStart w:id="58" w:name="X8231b23b43e4aad1342f9e3e1f10e9a49cbe7c5"/>
    <w:p>
      <w:pPr>
        <w:pStyle w:val="Heading3"/>
      </w:pPr>
      <w:r>
        <w:t xml:space="preserve">SCR-PRD-004 — Product Detail /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/products/{product_id}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Read current/superseded versions and approval state.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IntelligenceProduct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review, approved, superseded, retracted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8"/>
    <w:bookmarkStart w:id="59" w:name="scr-rev-001--review-queue"/>
    <w:p>
      <w:pPr>
        <w:pStyle w:val="Heading3"/>
      </w:pPr>
      <w:r>
        <w:t xml:space="preserve">SCR-REV-001 — Review Queue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/reviews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List pending independent reviews and gating requirements.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Review, IntelligenceProduct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queue, empty, overdue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59"/>
    <w:bookmarkStart w:id="60" w:name="scr-rev-002--peer-review-workspace"/>
    <w:p>
      <w:pPr>
        <w:pStyle w:val="Heading3"/>
      </w:pPr>
      <w:r>
        <w:t xml:space="preserve">SCR-REV-002 — Peer Review Workspace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6"/>
        <w:gridCol w:w="567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/reviews/{review_id}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Comment, request changes, approve or reject with disconfirmation checks.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Review, IntelligenceProduct, Assessment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in-review, changes-requested, approved, rejected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0"/>
    <w:bookmarkStart w:id="61" w:name="scr-dis-001--dissemination-approval"/>
    <w:p>
      <w:pPr>
        <w:pStyle w:val="Heading3"/>
      </w:pPr>
      <w:r>
        <w:t xml:space="preserve">SCR-DIS-001 — Dissemination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7"/>
        <w:gridCol w:w="554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/products/{product_id}/dissemination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Owner,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Approve intended recipient, purpose, classification and export scope.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Dissemination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draft, blocked, approved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1"/>
    <w:bookmarkStart w:id="62" w:name="scr-dis-002--export-package-builder"/>
    <w:p>
      <w:pPr>
        <w:pStyle w:val="Heading3"/>
      </w:pPr>
      <w:r>
        <w:t xml:space="preserve">SCR-DIS-002 — Export Package Builder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0"/>
        <w:gridCol w:w="563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/products/{product_id}/export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Analyst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Select minimised approved content and generate export manifest/package.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Dissemination, IntelligenceProduct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selecting, warning, generating, complete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2"/>
    <w:bookmarkStart w:id="63" w:name="scr-dis-003--sharing-log"/>
    <w:p>
      <w:pPr>
        <w:pStyle w:val="Heading3"/>
      </w:pPr>
      <w:r>
        <w:t xml:space="preserve">SCR-DIS-003 — Sharing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4"/>
        <w:gridCol w:w="559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/products/{product_id}/sharing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Case Owner, Auditor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Record who received which version, when, why and with what restrictions.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Dissemination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empty, immutable-entry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3"/>
    <w:bookmarkEnd w:id="64"/>
    <w:bookmarkStart w:id="70" w:name="administration"/>
    <w:p>
      <w:pPr>
        <w:pStyle w:val="Heading2"/>
      </w:pPr>
      <w:r>
        <w:t xml:space="preserve">Administration</w:t>
      </w:r>
    </w:p>
    <w:bookmarkStart w:id="65" w:name="scr-adm-001--administration-home"/>
    <w:p>
      <w:pPr>
        <w:pStyle w:val="Heading3"/>
      </w:pPr>
      <w:r>
        <w:t xml:space="preserve">SCR-ADM-001 — Administration Home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4"/>
        <w:gridCol w:w="551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/admin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Admin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Entry point to vocabularies, retention, users/roles, policy and system information.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Vocabulary, RetentionPolicy, AccessPolicy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5"/>
    <w:bookmarkStart w:id="66" w:name="scr-adm-002--vocabulary-management"/>
    <w:p>
      <w:pPr>
        <w:pStyle w:val="Heading3"/>
      </w:pPr>
      <w:r>
        <w:t xml:space="preserve">SCR-ADM-002 — Vocabulary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3"/>
        <w:gridCol w:w="531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/admin/vocabularies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Admin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Manage controlled vocabulary versions without rewriting history.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Vocabulary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list, edit, retire,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6"/>
    <w:bookmarkStart w:id="67" w:name="scr-adm-003--retention-policies"/>
    <w:p>
      <w:pPr>
        <w:pStyle w:val="Heading3"/>
      </w:pPr>
      <w:r>
        <w:t xml:space="preserve">SCR-ADM-003 — Retention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3"/>
        <w:gridCol w:w="549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/admin/retention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Admin, Privacy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Define retention, hold and disposition rules by classification/object type.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RetentionPolicy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list, preview, hold, disposition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7"/>
    <w:bookmarkStart w:id="68" w:name="scr-adm-004--access--case-membership"/>
    <w:p>
      <w:pPr>
        <w:pStyle w:val="Heading3"/>
      </w:pPr>
      <w:r>
        <w:t xml:space="preserve">SCR-ADM-004 — Access / Case Membership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1"/>
        <w:gridCol w:w="545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/admin/access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Admin, Case Owner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Manage roles and case membership without exposing protected-source identity.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AccessPolicy, User, Case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list, edit, denied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8"/>
    <w:bookmarkStart w:id="69" w:name="scr-aud-001--audit-explorer"/>
    <w:p>
      <w:pPr>
        <w:pStyle w:val="Heading3"/>
      </w:pPr>
      <w:r>
        <w:t xml:space="preserve">SCR-AUD-001 — Audit Explorer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/admin/audit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Auditor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Search material audit events with permission-aware payloads.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AuditEvent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69"/>
    <w:bookmarkEnd w:id="70"/>
    <w:bookmarkStart w:id="74" w:name="system"/>
    <w:p>
      <w:pPr>
        <w:pStyle w:val="Heading2"/>
      </w:pPr>
      <w:r>
        <w:t xml:space="preserve">System</w:t>
      </w:r>
    </w:p>
    <w:bookmarkStart w:id="71" w:name="scr-sys-001--access-denied--need-to-know"/>
    <w:p>
      <w:pPr>
        <w:pStyle w:val="Heading3"/>
      </w:pPr>
      <w:r>
        <w:t xml:space="preserve">SCR-SYS-001 — Access Denied / Need-to-Know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5"/>
        <w:gridCol w:w="497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n/a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Explain denied access without revealing restricted object existence/content.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AccessPolicy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denied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71"/>
    <w:bookmarkStart w:id="72" w:name="scr-sys-002--integrity-warning"/>
    <w:p>
      <w:pPr>
        <w:pStyle w:val="Heading3"/>
      </w:pPr>
      <w:r>
        <w:t xml:space="preserve">SCR-SYS-002 — Integrity Warning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3"/>
        <w:gridCol w:w="510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n/a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Present hash mismatch or evidence-integrity problem with safe next steps.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EvidenceItem, AuditEvent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warning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72"/>
    <w:bookmarkStart w:id="73" w:name="scr-sys-003--conflict--stale-version"/>
    <w:p>
      <w:pPr>
        <w:pStyle w:val="Heading3"/>
      </w:pPr>
      <w:r>
        <w:t xml:space="preserve">SCR-SYS-003 — Conflict / Stale 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route / context</w:t>
            </w:r>
          </w:p>
        </w:tc>
        <w:tc>
          <w:tcPr/>
          <w:p>
            <w:pPr>
              <w:pStyle w:val="TableText"/>
            </w:pPr>
            <w:r>
              <w:t xml:space="preserve">n/a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roles</w:t>
            </w:r>
          </w:p>
        </w:tc>
        <w:tc>
          <w:tcPr/>
          <w:p>
            <w:pPr>
              <w:pStyle w:val="TableTex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t xml:space="preserve">Prevent silent overwrite when concurrent edits or superseded versions exist.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objects</w:t>
            </w:r>
          </w:p>
        </w:tc>
        <w:tc>
          <w:tcPr/>
          <w:p>
            <w:pPr>
              <w:pStyle w:val="TableText"/>
            </w:pPr>
            <w:r>
              <w:t xml:space="preserve">Versioned objects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Required states</w:t>
            </w:r>
          </w:p>
        </w:tc>
        <w:tc>
          <w:tcPr/>
          <w:p>
            <w:pPr>
              <w:pStyle w:val="TableTex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</w:tbl>
    <w:bookmarkEnd w:id="73"/>
    <w:bookmarkEnd w:id="74"/>
    <w:bookmarkEnd w:id="75"/>
    <w:bookmarkStart w:id="76" w:name="X4515ac510cb644a6c53a95eb8c03a6ae7ed3dd5"/>
    <w:p>
      <w:pPr>
        <w:pStyle w:val="Heading1"/>
      </w:pPr>
      <w:r>
        <w:t xml:space="preserve">6. Shared Screen-State Requirements</w:t>
      </w:r>
    </w:p>
    <w:p>
      <w:pPr>
        <w:numPr>
          <w:ilvl w:val="0"/>
          <w:numId w:val="1001"/>
        </w:numPr>
      </w:pPr>
      <w:r>
        <w:t xml:space="preserve">Every data-bearing screen SHALL define loading, empty, partial/degraded, error and permission-denied states where applicable.</w:t>
      </w:r>
    </w:p>
    <w:p>
      <w:pPr>
        <w:numPr>
          <w:ilvl w:val="0"/>
          <w:numId w:val="1001"/>
        </w:numPr>
      </w:pPr>
      <w:r>
        <w:t xml:space="preserve">Unknown and unavailable data SHALL NOT be rendered as zero, false or absent unless semantics explicitly require that value.</w:t>
      </w:r>
    </w:p>
    <w:p>
      <w:pPr>
        <w:numPr>
          <w:ilvl w:val="0"/>
          <w:numId w:val="1001"/>
        </w:numPr>
      </w:pPr>
      <w:r>
        <w:t xml:space="preserve">Restricted content SHALL NOT leak through breadcrumbs, counts, search facets, graph labels or error text.</w:t>
      </w:r>
    </w:p>
    <w:p>
      <w:pPr>
        <w:numPr>
          <w:ilvl w:val="0"/>
          <w:numId w:val="1001"/>
        </w:numPr>
      </w:pPr>
      <w:r>
        <w:t xml:space="preserve">Superseded, disputed, reconstructed, hypothetical and machine-generated states SHALL remain visible in screen-level information scent.</w:t>
      </w:r>
    </w:p>
    <w:p>
      <w:pPr>
        <w:numPr>
          <w:ilvl w:val="0"/>
          <w:numId w:val="1001"/>
        </w:numPr>
      </w:pPr>
      <w:r>
        <w:t xml:space="preserve">Destructive or high-impact actions SHALL expose consequence, scope and reversibility before commitment.</w:t>
      </w:r>
    </w:p>
    <w:bookmarkEnd w:id="76"/>
    <w:bookmarkStart w:id="77" w:name="X3e9e277d858071a0f1bc58c6885945f69cb0d0c"/>
    <w:p>
      <w:pPr>
        <w:pStyle w:val="Heading1"/>
      </w:pPr>
      <w:r>
        <w:t xml:space="preserve">7. Screen Inventory Definition of Done</w:t>
      </w:r>
    </w:p>
    <w:p>
      <w:pPr>
        <w:numPr>
          <w:ilvl w:val="0"/>
          <w:numId w:val="1002"/>
        </w:numPr>
      </w:pPr>
      <w:r>
        <w:t xml:space="preserve">Each implemented screen maps to one canonical screen ID.</w:t>
      </w:r>
    </w:p>
    <w:p>
      <w:pPr>
        <w:numPr>
          <w:ilvl w:val="0"/>
          <w:numId w:val="1002"/>
        </w:numPr>
      </w:pPr>
      <w:r>
        <w:t xml:space="preserve">Primary route/context and role access are known.</w:t>
      </w:r>
    </w:p>
    <w:p>
      <w:pPr>
        <w:numPr>
          <w:ilvl w:val="0"/>
          <w:numId w:val="1002"/>
        </w:numPr>
      </w:pPr>
      <w:r>
        <w:t xml:space="preserve">Required objects and states are defined.</w:t>
      </w:r>
    </w:p>
    <w:p>
      <w:pPr>
        <w:numPr>
          <w:ilvl w:val="0"/>
          <w:numId w:val="1002"/>
        </w:numPr>
      </w:pPr>
      <w:r>
        <w:t xml:space="preserve">UX and IA requirements have no unresolved conflict.</w:t>
      </w:r>
    </w:p>
    <w:p>
      <w:pPr>
        <w:numPr>
          <w:ilvl w:val="0"/>
          <w:numId w:val="1002"/>
        </w:numPr>
      </w:pPr>
      <w:r>
        <w:t xml:space="preserve">Wireframe reference exists for P0 screens before implementation is considered design-ready.</w:t>
      </w:r>
    </w:p>
    <w:p>
      <w:pPr>
        <w:numPr>
          <w:ilvl w:val="0"/>
          <w:numId w:val="1002"/>
        </w:numPr>
      </w:pPr>
      <w:r>
        <w:t xml:space="preserve">Screen → wireframe pattern mapping is consistent across this inventory, the Wireframe Specification, the High-Fidelity UI Specification and component composition (e.g. SCR-CASE-001 Case Register uses WF-PAT-01 Register/List).</w:t>
      </w:r>
      <w:r>
        <w:t xml:space="preserve"> </w:t>
      </w:r>
      <w:r>
        <w:rPr>
          <w:i/>
          <w:iCs/>
        </w:rPr>
        <w:t xml:space="preserve">[v0.1.1 · A15]</w:t>
      </w:r>
    </w:p>
    <w:p>
      <w:pPr>
        <w:pStyle w:val="BlockText"/>
      </w:pPr>
      <w:r>
        <w:rPr>
          <w:b/>
          <w:bCs/>
        </w:rPr>
        <w:t xml:space="preserve">Claim and Fact screens (approved by product owner, 2026-10-08).</w:t>
      </w:r>
      <w:r>
        <w:t xml:space="preserve"> </w:t>
      </w:r>
      <w:r>
        <w:t xml:space="preserve">The Claim and Fact lifecycle (claim_status, VerificationDecision, fact creation and revision) is served by the existing screens SCR-SRC-002, SCR-EVD-003, SCR-EVD-004 rather than new screen IDs. When a fact becomes DISPUTED or SUPERSEDED, dependent assessments and products show a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flag linking to the triggering decision on SCR-ASM-002 and SCR-PRD-004. Whether a dedicated case-level claim/fact register is needed is an open item.</w:t>
      </w:r>
      <w:r>
        <w:t xml:space="preserve"> </w:t>
      </w:r>
      <w:r>
        <w:rPr>
          <w:i/>
          <w:iCs/>
        </w:rPr>
        <w:t xml:space="preserve">[v0.1.1 · A10]</w:t>
      </w:r>
    </w:p>
    <w:bookmarkEnd w:id="77"/>
    <w:sectPr>
      <w:headerReference r:id="rIdCsamlHdr" w:type="default"/>
      <w:footerReference r:id="rIdCsamlFtr" w:type="default"/>
      <w:footnotePr>
        <w:numRestart w:val="eachSect"/>
      </w:footnotePr>
      <w:pgSz w:h="16838" w:w="11906"/>
      <w:pgMar w:bottom="1247" w:footer="567" w:gutter="0" w:header="567" w:left="1134" w:right="1134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808080"/>
      </w:pBdr>
      <w:tabs>
        <w:tab w:val="right" w:pos="9638"/>
      </w:tabs>
      <w:spacing w:before="0" w:after="0"/>
    </w:pPr>
    <w:r>
      <w:rPr>
        <w:sz w:val="16"/>
      </w:rPr>
      <w:t xml:space="preserve">Approved Internal Specification Baseline</w:t>
    </w:r>
    <w:r>
      <w:rPr>
        <w:sz w:val="16"/>
      </w:rPr>
      <w:tab/>
      <w:t xml:space="preserve">Page </w:t>
    </w:r>
    <w:fldSimple w:instr=" PAGE ">
      <w:r>
        <w:rPr>
          <w:sz w:val="16"/>
        </w:rPr>
        <w:t>1</w:t>
      </w:r>
    </w:fldSimple>
    <w:r>
      <w:rPr>
        <w:sz w:val="16"/>
      </w:rPr>
      <w:t xml:space="preserve"> of </w:t>
    </w:r>
    <w:fldSimple w:instr=" NUMPAGES 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b/>
        <w:sz w:val="16"/>
      </w:rPr>
      <w:t xml:space="preserve">CS-AML </w:t>
    </w:r>
    <w:r>
      <w:rPr>
        <w:sz w:val="16"/>
      </w:rPr>
      <w:t xml:space="preserve">Screen Inventory</w:t>
    </w:r>
    <w:r>
      <w:rPr>
        <w:sz w:val="16"/>
      </w:rPr>
      <w:tab/>
      <w:t xml:space="preserve">Version 0.1.1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0"/>
        <w:szCs w:val="20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10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0A8B0" w:space="0" w:sz="4" w:val="single"/>
        <w:left w:color="A0A8B0" w:space="0" w:sz="4" w:val="single"/>
        <w:bottom w:color="A0A8B0" w:space="0" w:sz="4" w:val="single"/>
        <w:right w:color="A0A8B0" w:space="0" w:sz="4" w:val="single"/>
        <w:insideH w:color="A0A8B0" w:space="0" w:sz="4" w:val="single"/>
        <w:insideV w:color="A0A8B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shd w:color="auto" w:fill="E6EBF0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wordWrap w:val="0"/>
      <w:shd w:color="auto" w:fill="F4F6F8" w:val="clear"/>
      <w:pBdr>
        <w:left w:color="A0A8B0" w:space="6" w:sz="8" w:val="single"/>
      </w:pBdr>
      <w:spacing w:after="120" w:before="60" w:line="240" w:lineRule="auto"/>
    </w:pPr>
    <w:rPr>
      <w:rFonts w:ascii="Consolas" w:cs="Consolas" w:eastAsia="Consolas" w:hAnsi="Consolas"/>
      <w:sz w:val="16"/>
      <w:szCs w:val="16"/>
    </w:rPr>
  </w:style>
  <w:style w:customStyle="1" w:styleId="TableText" w:type="paragraph">
    <w:name w:val="Table Text"/>
    <w:basedOn w:val="Compact"/>
    <w:qFormat/>
    <w:pPr>
      <w:spacing w:after="20" w:before="20"/>
    </w:pPr>
    <w:rPr>
      <w:sz w:val="17"/>
      <w:szCs w:val="17"/>
    </w:rPr>
  </w:style>
  <w:style w:customStyle="1" w:styleId="TableTextSmall" w:type="paragraph">
    <w:name w:val="Table Text Small"/>
    <w:basedOn w:val="Compact"/>
    <w:qFormat/>
    <w:pPr>
      <w:spacing w:after="10" w:before="10"/>
    </w:pPr>
    <w:rPr>
      <w:sz w:val="14"/>
      <w:szCs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samlHdr" Target="header1.xml" Type="http://schemas.openxmlformats.org/officeDocument/2006/relationships/header" /><Relationship Id="rIdCsamlFt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Inventory</dc:title>
  <dc:creator/>
  <dc:language>en-GB</dc:language>
  <cp:keywords/>
  <dcterms:created xsi:type="dcterms:W3CDTF">2026-10-10T04:00:41Z</dcterms:created>
  <dcterms:modified xsi:type="dcterms:W3CDTF">2026-10-10T04:00:41Z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doctitle">
    <vt:lpwstr>Screen Inventory</vt:lpwstr>
  </property>
  <property fmtid="{D5CDD505-2E9C-101B-9397-08002B2CF9AE}" pid="4" name="docversion">
    <vt:lpwstr>0.1.1</vt:lpwstr>
  </property>
  <property fmtid="{D5CDD505-2E9C-101B-9397-08002B2CF9AE}" pid="5" name="subtitle">
    <vt:lpwstr>Version 0.1.1 — Approved Internal Specification Baseline (tag v0.1.1-spec)</vt:lpwstr>
  </property>
  <property fmtid="{D5CDD505-2E9C-101B-9397-08002B2CF9AE}" pid="6" name="toc-title">
    <vt:lpwstr>Contents</vt:lpwstr>
  </property>
</Properties>
</file>