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Technical Stack and Repository Specification</w:t>
      </w:r>
    </w:p>
    <w:p>
      <w:pPr>
        <w:pStyle w:val="Subtitle"/>
      </w:pPr>
      <w:r>
        <w:t xml:space="preserve">Version 0.1.4 — Approved Internal Specification Baseline (tag v0.1.4-spec)</w:t>
      </w:r>
    </w:p>
    <w:p>
      <w:pPr>
        <w:pStyle w:val="Date"/>
      </w:pPr>
      <w:r>
        <w:t xml:space="preserve">2026-10-10</w:t>
      </w:r>
    </w:p>
    <w:sdt>
      <w:sdtPr>
        <w:docPartObj>
          <w:docPartGallery w:val="Table of Contents"/>
          <w:docPartUnique/>
        </w:docPartObj>
      </w:sdtPr>
      <w:sdtContent>
        <w:p>
          <w:pPr>
            <w:pStyle w:val="TOCHeading"/>
          </w:pPr>
          <w:r>
            <w:t xml:space="preserve">Contents</w:t>
          </w:r>
        </w:p>
        <w:p>
          <w:r>
            <w:fldChar w:fldCharType="begin" w:dirty="true"/>
            <w:instrText xml:space="preserve">TOC \o "1-2" \h \z \u</w:instrText>
            <w:fldChar w:fldCharType="separate"/>
            <w:fldChar w:fldCharType="end"/>
          </w:r>
        </w:p>
      </w:sdtContent>
    </w:sdt>
    <w:p>
      <w:r>
        <w:br w:type="page"/>
      </w:r>
    </w:p>
    <w:p>
      <w:pPr>
        <w:pStyle w:val="FirstParagraph"/>
      </w:pPr>
      <w:r>
        <w:rPr>
          <w:b/>
          <w:bCs/>
        </w:rPr>
        <w:t xml:space="preserve">CS-AML</w:t>
      </w:r>
    </w:p>
    <w:p>
      <w:pPr>
        <w:pStyle w:val="BodyText"/>
      </w:pPr>
      <w:r>
        <w:rPr>
          <w:b/>
          <w:bCs/>
        </w:rPr>
        <w:t xml:space="preserve">Technical Stack &amp; Repository</w:t>
      </w:r>
      <w:r>
        <w:br/>
      </w:r>
      <w:r>
        <w:rPr>
          <w:b/>
          <w:bCs/>
        </w:rPr>
        <w:t xml:space="preserve">Specification</w:t>
      </w:r>
    </w:p>
    <w:p>
      <w:pPr>
        <w:pStyle w:val="BodyText"/>
      </w:pPr>
      <w:r>
        <w:rPr>
          <w:b/>
          <w:bCs/>
        </w:rPr>
        <w:t xml:space="preserve">Version 0.1.4</w:t>
      </w:r>
    </w:p>
    <w:p>
      <w:pPr>
        <w:pStyle w:val="BlockText"/>
      </w:pPr>
      <w:r>
        <w:rPr>
          <w:b/>
          <w:bCs/>
        </w:rPr>
        <w:t xml:space="preserve">Document status — v0.1.4</w:t>
      </w:r>
      <w:r>
        <w:br/>
      </w:r>
      <w:r>
        <w:t xml:space="preserve">Version: 0.1.4 — Approved Internal Specification Baseline (2026-10-10, tag v0.1.4-spec). Supersedes v0.1.3 (2026-10-09, tag v0.1.3-spec).</w:t>
      </w:r>
      <w:r>
        <w:t xml:space="preserve"> </w:t>
      </w:r>
      <w:r>
        <w:rPr>
          <w:i/>
          <w:iCs/>
        </w:rPr>
        <w:t xml:space="preserve">[v0.1.4]</w:t>
      </w:r>
      <w:r>
        <w:br/>
      </w:r>
      <w:r>
        <w:t xml:space="preserve">Supersedes: CS-AML Technical Stack &amp; Repository Specification v0.1. The DOCX/PDF files in this repository are the unchanged v0.1 baseline (legacy); this Markdown file is the canonical source.</w:t>
      </w:r>
      <w:r>
        <w:br/>
      </w:r>
      <w:r>
        <w:t xml:space="preserve">Validation: approved by the product owner as the internal specification baseline on 2026-10-08 (v0.1.1) and 2026-10-09 (v0.1.2 and v0.1.3) and 2026-10-10 (v0.1.4; decision register and release gates in</w:t>
      </w:r>
      <w:r>
        <w:t xml:space="preserve"> </w:t>
      </w:r>
      <w:r>
        <w:rPr>
          <w:rStyle w:val="VerbatimChar"/>
        </w:rPr>
        <w:t xml:space="preserve">CHANGELOG.md</w:t>
      </w:r>
      <w:r>
        <w:t xml:space="preserve">). The v0.1.2, v0.1.3 and v0.1.4 changes come from change requests raised while implementing increments I1–I4, I5–I7 and the post-MVP follow-ups; this is not an independent audit. Acceptance criteria in this document are targets, not evidence that tests have passed.</w:t>
      </w:r>
      <w:r>
        <w:br/>
      </w:r>
      <w:r>
        <w:t xml:space="preserve">CS-AML is not an external standard or certification. References to FATF, Wolfsberg, PPATK, UNODC or other bodies do not imply their endorsement.</w:t>
      </w:r>
      <w:r>
        <w:br/>
      </w:r>
      <w:r>
        <w:t xml:space="preserve">Changes in 0.1.1: see</w:t>
      </w:r>
      <w:r>
        <w:t xml:space="preserve"> </w:t>
      </w:r>
      <w:r>
        <w:rPr>
          <w:rStyle w:val="VerbatimChar"/>
        </w:rPr>
        <w:t xml:space="preserve">CHANGELOG.md</w:t>
      </w:r>
      <w:r>
        <w:t xml:space="preserve"> </w:t>
      </w:r>
      <w:r>
        <w:t xml:space="preserve">at the repository root (audit findings A01–A16).</w:t>
      </w:r>
      <w:r>
        <w:br/>
      </w:r>
      <w:r>
        <w:t xml:space="preserve">Changes in 0.1.2: change requests CR-I1-01…CR-I4-14 approved by the product owner on 2026-10-09 (</w:t>
      </w:r>
      <w:r>
        <w:rPr>
          <w:rStyle w:val="VerbatimChar"/>
        </w:rPr>
        <w:t xml:space="preserve">CHANGELOG.md</w:t>
      </w:r>
      <w:r>
        <w:t xml:space="preserve">, section v0.1.2). Each change is tagged</w:t>
      </w:r>
      <w:r>
        <w:t xml:space="preserve"> </w:t>
      </w:r>
      <w:r>
        <w:rPr>
          <w:rStyle w:val="VerbatimChar"/>
        </w:rPr>
        <w:t xml:space="preserve">*[v0.1.2 · CR-xx-yy]*</w:t>
      </w:r>
      <w:r>
        <w:t xml:space="preserve">.</w:t>
      </w:r>
      <w:r>
        <w:br/>
      </w:r>
      <w:r>
        <w:t xml:space="preserve">Changes in 0.1.3: change requests CR-I5-01…CR-I7-08 approved by the product owner on 2026-10-09 (</w:t>
      </w:r>
      <w:r>
        <w:rPr>
          <w:rStyle w:val="VerbatimChar"/>
        </w:rPr>
        <w:t xml:space="preserve">CHANGELOG.md</w:t>
      </w:r>
      <w:r>
        <w:t xml:space="preserve">, section v0.1.3). Each change is tagged</w:t>
      </w:r>
      <w:r>
        <w:t xml:space="preserve"> </w:t>
      </w:r>
      <w:r>
        <w:rPr>
          <w:rStyle w:val="VerbatimChar"/>
        </w:rPr>
        <w:t xml:space="preserve">*[v0.1.3 · CR-xx-yy]*</w:t>
      </w:r>
      <w:r>
        <w:t xml:space="preserve">.</w:t>
      </w:r>
      <w:r>
        <w:br/>
      </w:r>
      <w:r>
        <w:t xml:space="preserve">Changes in 0.1.4: change requests CR-N-01…CR-N-14 approved by the product owner on 2026-10-10 (</w:t>
      </w:r>
      <w:r>
        <w:rPr>
          <w:rStyle w:val="VerbatimChar"/>
        </w:rPr>
        <w:t xml:space="preserve">CHANGELOG.md</w:t>
      </w:r>
      <w:r>
        <w:t xml:space="preserve">, section v0.1.4). Each change is tagged</w:t>
      </w:r>
      <w:r>
        <w:t xml:space="preserve"> </w:t>
      </w:r>
      <w:r>
        <w:rPr>
          <w:rStyle w:val="VerbatimChar"/>
        </w:rPr>
        <w:t xml:space="preserve">*[v0.1.4 · CR-N-xx]*</w:t>
      </w:r>
      <w:r>
        <w:t xml:space="preserve">.</w:t>
      </w:r>
    </w:p>
    <w:p>
      <w:pPr>
        <w:pStyle w:val="FirstParagraph"/>
      </w:pPr>
      <w:r>
        <w:t xml:space="preserve">Engineering implementation baseline for the CS-AML MVP</w:t>
      </w:r>
    </w:p>
    <w:p>
      <w:pPr>
        <w:pStyle w:val="BodyText"/>
      </w:pPr>
      <w:r>
        <w:t xml:space="preserve">Status: Proposed normative implementation specification (draft for review)</w:t>
      </w:r>
      <w:r>
        <w:t xml:space="preserve"> </w:t>
      </w:r>
      <w:r>
        <w:rPr>
          <w:i/>
          <w:iCs/>
        </w:rPr>
        <w:t xml:space="preserve">[v0.1.1 · A01]</w:t>
      </w:r>
      <w:r>
        <w:br/>
      </w:r>
      <w:r>
        <w:t xml:space="preserve">Architecture style: Modular monolith with replaceable infrastructure services</w:t>
      </w:r>
      <w:r>
        <w:br/>
      </w:r>
      <w:r>
        <w:t xml:space="preserve">Target: CS-AML MVP 0.1</w:t>
      </w:r>
    </w:p>
    <w:p>
      <w:pPr>
        <w:pStyle w:val="BlockText"/>
      </w:pPr>
      <w:r>
        <w:rPr>
          <w:b/>
          <w:bCs/>
        </w:rPr>
        <w:t xml:space="preserve">Core engineering axiom</w:t>
      </w:r>
      <w:r>
        <w:br/>
      </w:r>
      <w:r>
        <w:t xml:space="preserve">Keep the domain model canonical, auditable, and portable. Infrastructure accelerators such as search, graph projections, caches, AI, and external connectors MUST remain replaceable and MUST NOT become the sole source of analytical truth.</w:t>
      </w:r>
    </w:p>
    <w:bookmarkStart w:id="9" w:name="X680012fa624fa217b07bb9be2cdfd8eba9ecf0a"/>
    <w:p>
      <w:pPr>
        <w:pStyle w:val="Heading1"/>
      </w:pPr>
      <w:r>
        <w:t xml:space="preserve">1. Purpose and Relationship to the CS-AML Suite</w:t>
      </w:r>
    </w:p>
    <w:p>
      <w:pPr>
        <w:pStyle w:val="FirstParagraph"/>
      </w:pPr>
      <w:r>
        <w:t xml:space="preserve">This specification translates the CS-AML Technology Architecture, Software Requirements Specification (SRS), and MVP Engineering Breakdown into concrete technology and repository decisions for MVP 0.1. It defines the baseline stack, code boundaries, development conventions, runtime dependencies, repository layout, CI/CD expectations, environment model, and technical decision controls.</w:t>
      </w:r>
    </w:p>
    <w:p>
      <w:pPr>
        <w:pStyle w:val="BodyText"/>
      </w:pPr>
      <w:r>
        <w:t xml:space="preserve">The document is intentionally more prescriptive than the Technology Architecture. Technology choices in this document are implementation decisions for the reference MVP and MAY be replaced through an Architecture Decision Record (ADR) when equivalent CS-AML requirements remain satisfied.</w:t>
      </w:r>
    </w:p>
    <w:tbl>
      <w:tblPr>
        <w:tblStyle w:val="Table"/>
        <w:tblW w:type="pct" w:w="5000"/>
        <w:tblLayout w:type="fixed"/>
        <w:tblLook w:firstRow="1" w:lastRow="0" w:firstColumn="0" w:lastColumn="0" w:noHBand="0" w:noVBand="0" w:val="0020"/>
      </w:tblPr>
      <w:tblGrid>
        <w:gridCol w:w="2030"/>
        <w:gridCol w:w="5889"/>
      </w:tblGrid>
      <w:tr>
        <w:trPr>
          <w:tblHeader w:val="on"/>
        </w:trPr>
        <w:tc>
          <w:tcPr/>
          <w:p>
            <w:pPr>
              <w:pStyle w:val="TableText"/>
            </w:pPr>
            <w:r>
              <w:rPr>
                <w:b/>
                <w:bCs/>
              </w:rPr>
              <w:t xml:space="preserve">Upstream document</w:t>
            </w:r>
          </w:p>
        </w:tc>
        <w:tc>
          <w:tcPr/>
          <w:p>
            <w:pPr>
              <w:pStyle w:val="TableText"/>
            </w:pPr>
            <w:r>
              <w:rPr>
                <w:b/>
                <w:bCs/>
              </w:rPr>
              <w:t xml:space="preserve">This specification consumes</w:t>
            </w:r>
          </w:p>
        </w:tc>
      </w:tr>
      <w:tr>
        <w:tc>
          <w:tcPr/>
          <w:p>
            <w:pPr>
              <w:pStyle w:val="TableText"/>
            </w:pPr>
            <w:r>
              <w:t xml:space="preserve">Technology Architecture v0.1.1</w:t>
            </w:r>
          </w:p>
        </w:tc>
        <w:tc>
          <w:tcPr/>
          <w:p>
            <w:pPr>
              <w:pStyle w:val="TableText"/>
            </w:pPr>
            <w:r>
              <w:t xml:space="preserve">Logical boundaries, canonical vs derived data, security and deployment principles</w:t>
            </w:r>
          </w:p>
        </w:tc>
      </w:tr>
      <w:tr>
        <w:tc>
          <w:tcPr/>
          <w:p>
            <w:pPr>
              <w:pStyle w:val="TableText"/>
            </w:pPr>
            <w:r>
              <w:t xml:space="preserve">Data Model Specification v0.1.4</w:t>
            </w:r>
          </w:p>
        </w:tc>
        <w:tc>
          <w:tcPr/>
          <w:p>
            <w:pPr>
              <w:pStyle w:val="TableText"/>
            </w:pPr>
            <w:r>
              <w:t xml:space="preserve">Canonical objects, identifiers, provenance, temporal semantics and integrity rules</w:t>
            </w:r>
          </w:p>
        </w:tc>
      </w:tr>
      <w:tr>
        <w:tc>
          <w:tcPr/>
          <w:p>
            <w:pPr>
              <w:pStyle w:val="TableText"/>
            </w:pPr>
            <w:r>
              <w:t xml:space="preserve">PRD v0.1.1</w:t>
            </w:r>
          </w:p>
        </w:tc>
        <w:tc>
          <w:tcPr/>
          <w:p>
            <w:pPr>
              <w:pStyle w:val="TableText"/>
            </w:pPr>
            <w:r>
              <w:t xml:space="preserve">MVP product scope and release objective</w:t>
            </w:r>
          </w:p>
        </w:tc>
      </w:tr>
      <w:tr>
        <w:tc>
          <w:tcPr/>
          <w:p>
            <w:pPr>
              <w:pStyle w:val="TableText"/>
            </w:pPr>
            <w:r>
              <w:t xml:space="preserve">SRS v0.1.4</w:t>
            </w:r>
          </w:p>
        </w:tc>
        <w:tc>
          <w:tcPr/>
          <w:p>
            <w:pPr>
              <w:pStyle w:val="TableText"/>
            </w:pPr>
            <w:r>
              <w:t xml:space="preserve">Testable software requirements and release gate</w:t>
            </w:r>
          </w:p>
        </w:tc>
      </w:tr>
      <w:tr>
        <w:tc>
          <w:tcPr/>
          <w:p>
            <w:pPr>
              <w:pStyle w:val="TableText"/>
            </w:pPr>
            <w:r>
              <w:t xml:space="preserve">MVP Engineering Breakdown v0.1.1</w:t>
            </w:r>
          </w:p>
        </w:tc>
        <w:tc>
          <w:tcPr/>
          <w:p>
            <w:pPr>
              <w:pStyle w:val="TableText"/>
            </w:pPr>
            <w:r>
              <w:t xml:space="preserve">Epics, vertical slices, stories and delivery sequence</w:t>
            </w:r>
          </w:p>
        </w:tc>
      </w:tr>
      <w:tr>
        <w:tc>
          <w:tcPr/>
          <w:p>
            <w:pPr>
              <w:pStyle w:val="TableText"/>
            </w:pPr>
            <w:r>
              <w:t xml:space="preserve">API Specification v0.1.4</w:t>
            </w:r>
          </w:p>
        </w:tc>
        <w:tc>
          <w:tcPr/>
          <w:p>
            <w:pPr>
              <w:pStyle w:val="TableText"/>
            </w:pPr>
            <w:r>
              <w:t xml:space="preserve">HTTP contract, authentication (BFF session), concurrency and idempotency rules</w:t>
            </w:r>
            <w:r>
              <w:t xml:space="preserve"> </w:t>
            </w:r>
            <w:r>
              <w:rPr>
                <w:i/>
                <w:iCs/>
              </w:rPr>
              <w:t xml:space="preserve">[v0.1.1 · A01, A11]</w:t>
            </w:r>
          </w:p>
        </w:tc>
      </w:tr>
    </w:tbl>
    <w:bookmarkEnd w:id="9"/>
    <w:bookmarkStart w:id="10" w:name="X51379ca7f735c0112b0a415c4f5ca808a6ca778"/>
    <w:p>
      <w:pPr>
        <w:pStyle w:val="Heading1"/>
      </w:pPr>
      <w:r>
        <w:t xml:space="preserve">2. Engineering Principles</w:t>
      </w:r>
    </w:p>
    <w:tbl>
      <w:tblPr>
        <w:tblStyle w:val="Table"/>
        <w:tblW w:type="pct" w:w="5000"/>
        <w:tblLayout w:type="fixed"/>
        <w:tblLook w:firstRow="1" w:lastRow="0" w:firstColumn="0" w:lastColumn="0" w:noHBand="0" w:noVBand="0" w:val="0020"/>
      </w:tblPr>
      <w:tblGrid>
        <w:gridCol w:w="889"/>
        <w:gridCol w:w="1267"/>
        <w:gridCol w:w="5763"/>
      </w:tblGrid>
      <w:tr>
        <w:trPr>
          <w:tblHeader w:val="on"/>
        </w:trPr>
        <w:tc>
          <w:tcPr/>
          <w:p>
            <w:pPr>
              <w:pStyle w:val="TableText"/>
              <w:jc w:val="center"/>
            </w:pPr>
            <w:r>
              <w:rPr>
                <w:b/>
                <w:bCs/>
              </w:rPr>
              <w:t xml:space="preserve">ID</w:t>
            </w:r>
          </w:p>
        </w:tc>
        <w:tc>
          <w:tcPr/>
          <w:p>
            <w:pPr>
              <w:pStyle w:val="TableText"/>
            </w:pPr>
            <w:r>
              <w:rPr>
                <w:b/>
                <w:bCs/>
              </w:rPr>
              <w:t xml:space="preserve">Principle</w:t>
            </w:r>
          </w:p>
        </w:tc>
        <w:tc>
          <w:tcPr/>
          <w:p>
            <w:pPr>
              <w:pStyle w:val="TableText"/>
            </w:pPr>
            <w:r>
              <w:rPr>
                <w:b/>
                <w:bCs/>
              </w:rPr>
              <w:t xml:space="preserve">Normative decision</w:t>
            </w:r>
          </w:p>
        </w:tc>
      </w:tr>
      <w:tr>
        <w:tc>
          <w:tcPr/>
          <w:p>
            <w:pPr>
              <w:pStyle w:val="TableText"/>
              <w:jc w:val="center"/>
            </w:pPr>
            <w:r>
              <w:t xml:space="preserve">TS-PR-01</w:t>
            </w:r>
          </w:p>
        </w:tc>
        <w:tc>
          <w:tcPr/>
          <w:p>
            <w:pPr>
              <w:pStyle w:val="TableText"/>
            </w:pPr>
            <w:r>
              <w:t xml:space="preserve">Modular monolith first</w:t>
            </w:r>
          </w:p>
        </w:tc>
        <w:tc>
          <w:tcPr/>
          <w:p>
            <w:pPr>
              <w:pStyle w:val="TableText"/>
            </w:pPr>
            <w:r>
              <w:t xml:space="preserve">MVP SHALL be implemented as a modular monolith for domain/application logic. Independent infrastructure processes MAY be separate containers.</w:t>
            </w:r>
          </w:p>
        </w:tc>
      </w:tr>
      <w:tr>
        <w:tc>
          <w:tcPr/>
          <w:p>
            <w:pPr>
              <w:pStyle w:val="TableText"/>
              <w:jc w:val="center"/>
            </w:pPr>
            <w:r>
              <w:t xml:space="preserve">TS-PR-02</w:t>
            </w:r>
          </w:p>
        </w:tc>
        <w:tc>
          <w:tcPr/>
          <w:p>
            <w:pPr>
              <w:pStyle w:val="TableText"/>
            </w:pPr>
            <w:r>
              <w:t xml:space="preserve">Canonical truth in PostgreSQL</w:t>
            </w:r>
          </w:p>
        </w:tc>
        <w:tc>
          <w:tcPr/>
          <w:p>
            <w:pPr>
              <w:pStyle w:val="TableText"/>
            </w:pPr>
            <w:r>
              <w:t xml:space="preserve">Canonical analytical records SHALL use transactional relational storage. Search indexes, graph projections, vector indexes and caches are rebuildable.</w:t>
            </w:r>
          </w:p>
        </w:tc>
      </w:tr>
      <w:tr>
        <w:tc>
          <w:tcPr/>
          <w:p>
            <w:pPr>
              <w:pStyle w:val="TableText"/>
              <w:jc w:val="center"/>
            </w:pPr>
            <w:r>
              <w:t xml:space="preserve">TS-PR-03</w:t>
            </w:r>
          </w:p>
        </w:tc>
        <w:tc>
          <w:tcPr/>
          <w:p>
            <w:pPr>
              <w:pStyle w:val="TableText"/>
            </w:pPr>
            <w:r>
              <w:t xml:space="preserve">Evidence outside relational blobs</w:t>
            </w:r>
          </w:p>
        </w:tc>
        <w:tc>
          <w:tcPr/>
          <w:p>
            <w:pPr>
              <w:pStyle w:val="TableText"/>
            </w:pPr>
            <w:r>
              <w:t xml:space="preserve">Original evidence SHALL be stored in an evidence object store with immutable version semantics; metadata and hashes remain canonical in PostgreSQL.</w:t>
            </w:r>
          </w:p>
        </w:tc>
      </w:tr>
      <w:tr>
        <w:tc>
          <w:tcPr/>
          <w:p>
            <w:pPr>
              <w:pStyle w:val="TableText"/>
              <w:jc w:val="center"/>
            </w:pPr>
            <w:r>
              <w:t xml:space="preserve">TS-PR-04</w:t>
            </w:r>
          </w:p>
        </w:tc>
        <w:tc>
          <w:tcPr/>
          <w:p>
            <w:pPr>
              <w:pStyle w:val="TableText"/>
            </w:pPr>
            <w:r>
              <w:t xml:space="preserve">Policy at the API boundary</w:t>
            </w:r>
          </w:p>
        </w:tc>
        <w:tc>
          <w:tcPr/>
          <w:p>
            <w:pPr>
              <w:pStyle w:val="TableText"/>
            </w:pPr>
            <w:r>
              <w:t xml:space="preserve">Authorization SHALL be enforced server-side for every protected operation. UI hiding is never a security control.</w:t>
            </w:r>
          </w:p>
        </w:tc>
      </w:tr>
      <w:tr>
        <w:tc>
          <w:tcPr/>
          <w:p>
            <w:pPr>
              <w:pStyle w:val="TableText"/>
              <w:jc w:val="center"/>
            </w:pPr>
            <w:r>
              <w:t xml:space="preserve">TS-PR-05</w:t>
            </w:r>
          </w:p>
        </w:tc>
        <w:tc>
          <w:tcPr/>
          <w:p>
            <w:pPr>
              <w:pStyle w:val="TableText"/>
            </w:pPr>
            <w:r>
              <w:t xml:space="preserve">Async only where useful</w:t>
            </w:r>
          </w:p>
        </w:tc>
        <w:tc>
          <w:tcPr/>
          <w:p>
            <w:pPr>
              <w:pStyle w:val="TableText"/>
            </w:pPr>
            <w:r>
              <w:t xml:space="preserve">Long-running ingestion, hashing, exports and projection jobs SHOULD be asynchronous; ordinary domain commands SHOULD remain synchronous where transactional correctness benefits.</w:t>
            </w:r>
          </w:p>
        </w:tc>
      </w:tr>
      <w:tr>
        <w:tc>
          <w:tcPr/>
          <w:p>
            <w:pPr>
              <w:pStyle w:val="TableText"/>
              <w:jc w:val="center"/>
            </w:pPr>
            <w:r>
              <w:t xml:space="preserve">TS-PR-06</w:t>
            </w:r>
          </w:p>
        </w:tc>
        <w:tc>
          <w:tcPr/>
          <w:p>
            <w:pPr>
              <w:pStyle w:val="TableText"/>
            </w:pPr>
            <w:r>
              <w:t xml:space="preserve">Traceability over magic</w:t>
            </w:r>
          </w:p>
        </w:tc>
        <w:tc>
          <w:tcPr/>
          <w:p>
            <w:pPr>
              <w:pStyle w:val="TableText"/>
            </w:pPr>
            <w:r>
              <w:t xml:space="preserve">Automated output MUST preserve source, rule/model version, time and canonical references.</w:t>
            </w:r>
          </w:p>
        </w:tc>
      </w:tr>
      <w:tr>
        <w:tc>
          <w:tcPr/>
          <w:p>
            <w:pPr>
              <w:pStyle w:val="TableText"/>
              <w:jc w:val="center"/>
            </w:pPr>
            <w:r>
              <w:t xml:space="preserve">TS-PR-07</w:t>
            </w:r>
          </w:p>
        </w:tc>
        <w:tc>
          <w:tcPr/>
          <w:p>
            <w:pPr>
              <w:pStyle w:val="TableText"/>
            </w:pPr>
            <w:r>
              <w:t xml:space="preserve">Portable deployment</w:t>
            </w:r>
          </w:p>
        </w:tc>
        <w:tc>
          <w:tcPr/>
          <w:p>
            <w:pPr>
              <w:pStyle w:val="TableText"/>
            </w:pPr>
            <w:r>
              <w:t xml:space="preserve">The application SHALL run on a single Linux host using containers and SHALL not require Kubernetes for MVP.</w:t>
            </w:r>
          </w:p>
        </w:tc>
      </w:tr>
      <w:tr>
        <w:tc>
          <w:tcPr/>
          <w:p>
            <w:pPr>
              <w:pStyle w:val="TableText"/>
              <w:jc w:val="center"/>
            </w:pPr>
            <w:r>
              <w:t xml:space="preserve">TS-PR-08</w:t>
            </w:r>
          </w:p>
        </w:tc>
        <w:tc>
          <w:tcPr/>
          <w:p>
            <w:pPr>
              <w:pStyle w:val="TableText"/>
            </w:pPr>
            <w:r>
              <w:t xml:space="preserve">Extract later, not early</w:t>
            </w:r>
          </w:p>
        </w:tc>
        <w:tc>
          <w:tcPr/>
          <w:p>
            <w:pPr>
              <w:pStyle w:val="TableText"/>
            </w:pPr>
            <w:r>
              <w:t xml:space="preserve">A module becomes a standalone service only when scaling, security isolation, ownership or operational evidence justifies extraction.</w:t>
            </w:r>
          </w:p>
        </w:tc>
      </w:tr>
    </w:tbl>
    <w:bookmarkEnd w:id="10"/>
    <w:bookmarkStart w:id="11" w:name="X7db74f3e22cde784044081e7b629d7c3581c26e"/>
    <w:p>
      <w:pPr>
        <w:pStyle w:val="Heading1"/>
      </w:pPr>
      <w:r>
        <w:t xml:space="preserve">3. MVP Reference Stack</w:t>
      </w:r>
    </w:p>
    <w:p>
      <w:pPr>
        <w:pStyle w:val="FirstParagraph"/>
      </w:pPr>
      <w:r>
        <w:t xml:space="preserve">The following stack is the proposed CS-AML MVP reference profile (draft for review).</w:t>
      </w:r>
      <w:r>
        <w:t xml:space="preserve"> </w:t>
      </w:r>
      <w:r>
        <w:rPr>
          <w:i/>
          <w:iCs/>
        </w:rPr>
        <w:t xml:space="preserve">[v0.1.1 · A01]</w:t>
      </w:r>
      <w:r>
        <w:t xml:space="preserve"> </w:t>
      </w:r>
      <w:r>
        <w:t xml:space="preserve">Exact patch versions SHOULD be pinned in lockfiles and container digests. Major-version changes require compatibility testing and, where they affect architecture or security assumptions, an ADR.</w:t>
      </w:r>
    </w:p>
    <w:tbl>
      <w:tblPr>
        <w:tblStyle w:val="Table"/>
        <w:tblW w:type="pct" w:w="5000"/>
        <w:tblLayout w:type="fixed"/>
        <w:tblLook w:firstRow="1" w:lastRow="0" w:firstColumn="0" w:lastColumn="0" w:noHBand="0" w:noVBand="0" w:val="0020"/>
      </w:tblPr>
      <w:tblGrid>
        <w:gridCol w:w="1361"/>
        <w:gridCol w:w="3033"/>
        <w:gridCol w:w="2163"/>
        <w:gridCol w:w="1361"/>
      </w:tblGrid>
      <w:tr>
        <w:trPr>
          <w:tblHeader w:val="on"/>
        </w:trPr>
        <w:tc>
          <w:tcPr/>
          <w:p>
            <w:pPr>
              <w:pStyle w:val="TableText"/>
              <w:jc w:val="center"/>
            </w:pPr>
            <w:r>
              <w:rPr>
                <w:b/>
                <w:bCs/>
              </w:rPr>
              <w:t xml:space="preserve">Layer</w:t>
            </w:r>
          </w:p>
        </w:tc>
        <w:tc>
          <w:tcPr/>
          <w:p>
            <w:pPr>
              <w:pStyle w:val="TableText"/>
            </w:pPr>
            <w:r>
              <w:rPr>
                <w:b/>
                <w:bCs/>
              </w:rPr>
              <w:t xml:space="preserve">Baseline</w:t>
            </w:r>
          </w:p>
        </w:tc>
        <w:tc>
          <w:tcPr/>
          <w:p>
            <w:pPr>
              <w:pStyle w:val="TableText"/>
            </w:pPr>
            <w:r>
              <w:rPr>
                <w:b/>
                <w:bCs/>
              </w:rPr>
              <w:t xml:space="preserve">Rationale</w:t>
            </w:r>
          </w:p>
        </w:tc>
        <w:tc>
          <w:tcPr/>
          <w:p>
            <w:pPr>
              <w:pStyle w:val="TableText"/>
            </w:pPr>
            <w:r>
              <w:rPr>
                <w:b/>
                <w:bCs/>
              </w:rPr>
              <w:t xml:space="preserve">MVP status</w:t>
            </w:r>
          </w:p>
        </w:tc>
      </w:tr>
      <w:tr>
        <w:tc>
          <w:tcPr/>
          <w:p>
            <w:pPr>
              <w:pStyle w:val="TableText"/>
              <w:jc w:val="center"/>
            </w:pPr>
            <w:r>
              <w:t xml:space="preserve">Operating system</w:t>
            </w:r>
          </w:p>
        </w:tc>
        <w:tc>
          <w:tcPr/>
          <w:p>
            <w:pPr>
              <w:pStyle w:val="TableText"/>
            </w:pPr>
            <w:r>
              <w:t xml:space="preserve">Ubuntu Server 24.04 LTS</w:t>
            </w:r>
          </w:p>
        </w:tc>
        <w:tc>
          <w:tcPr/>
          <w:p>
            <w:pPr>
              <w:pStyle w:val="TableText"/>
            </w:pPr>
            <w:r>
              <w:t xml:space="preserve">Stable deployment baseline; strong package/security ecosystem</w:t>
            </w:r>
          </w:p>
        </w:tc>
        <w:tc>
          <w:tcPr/>
          <w:p>
            <w:pPr>
              <w:pStyle w:val="TableText"/>
            </w:pPr>
            <w:r>
              <w:t xml:space="preserve">Required reference</w:t>
            </w:r>
          </w:p>
        </w:tc>
      </w:tr>
      <w:tr>
        <w:tc>
          <w:tcPr/>
          <w:p>
            <w:pPr>
              <w:pStyle w:val="TableText"/>
              <w:jc w:val="center"/>
            </w:pPr>
            <w:r>
              <w:t xml:space="preserve">Containers</w:t>
            </w:r>
          </w:p>
        </w:tc>
        <w:tc>
          <w:tcPr/>
          <w:p>
            <w:pPr>
              <w:pStyle w:val="TableText"/>
            </w:pPr>
            <w:r>
              <w:t xml:space="preserve">Docker Engine + Compose v2</w:t>
            </w:r>
          </w:p>
        </w:tc>
        <w:tc>
          <w:tcPr/>
          <w:p>
            <w:pPr>
              <w:pStyle w:val="TableText"/>
            </w:pPr>
            <w:r>
              <w:t xml:space="preserve">Simple reproducible deployment for small teams</w:t>
            </w:r>
          </w:p>
        </w:tc>
        <w:tc>
          <w:tcPr/>
          <w:p>
            <w:pPr>
              <w:pStyle w:val="TableText"/>
            </w:pPr>
            <w:r>
              <w:t xml:space="preserve">Required reference</w:t>
            </w:r>
          </w:p>
        </w:tc>
      </w:tr>
      <w:tr>
        <w:tc>
          <w:tcPr/>
          <w:p>
            <w:pPr>
              <w:pStyle w:val="TableText"/>
              <w:jc w:val="center"/>
            </w:pPr>
            <w:r>
              <w:t xml:space="preserve">Backend runtime</w:t>
            </w:r>
          </w:p>
        </w:tc>
        <w:tc>
          <w:tcPr/>
          <w:p>
            <w:pPr>
              <w:pStyle w:val="TableText"/>
            </w:pPr>
            <w:r>
              <w:t xml:space="preserve">Python 3.12</w:t>
            </w:r>
          </w:p>
        </w:tc>
        <w:tc>
          <w:tcPr/>
          <w:p>
            <w:pPr>
              <w:pStyle w:val="TableText"/>
            </w:pPr>
            <w:r>
              <w:t xml:space="preserve">Long support horizon; mature security/data ecosystem</w:t>
            </w:r>
          </w:p>
        </w:tc>
        <w:tc>
          <w:tcPr/>
          <w:p>
            <w:pPr>
              <w:pStyle w:val="TableText"/>
            </w:pPr>
            <w:r>
              <w:t xml:space="preserve">Required reference</w:t>
            </w:r>
          </w:p>
        </w:tc>
      </w:tr>
      <w:tr>
        <w:tc>
          <w:tcPr/>
          <w:p>
            <w:pPr>
              <w:pStyle w:val="TableText"/>
              <w:jc w:val="center"/>
            </w:pPr>
            <w:r>
              <w:t xml:space="preserve">Web framework</w:t>
            </w:r>
          </w:p>
        </w:tc>
        <w:tc>
          <w:tcPr/>
          <w:p>
            <w:pPr>
              <w:pStyle w:val="TableText"/>
            </w:pPr>
            <w:r>
              <w:t xml:space="preserve">Django 5.2 LTS</w:t>
            </w:r>
          </w:p>
        </w:tc>
        <w:tc>
          <w:tcPr/>
          <w:p>
            <w:pPr>
              <w:pStyle w:val="TableText"/>
            </w:pPr>
            <w:r>
              <w:t xml:space="preserve">ORM, migrations, admin primitives, mature auth/ecosystem</w:t>
            </w:r>
          </w:p>
        </w:tc>
        <w:tc>
          <w:tcPr/>
          <w:p>
            <w:pPr>
              <w:pStyle w:val="TableText"/>
            </w:pPr>
            <w:r>
              <w:t xml:space="preserve">Required reference</w:t>
            </w:r>
          </w:p>
        </w:tc>
      </w:tr>
      <w:tr>
        <w:tc>
          <w:tcPr/>
          <w:p>
            <w:pPr>
              <w:pStyle w:val="TableText"/>
              <w:jc w:val="center"/>
            </w:pPr>
            <w:r>
              <w:t xml:space="preserve">API</w:t>
            </w:r>
          </w:p>
        </w:tc>
        <w:tc>
          <w:tcPr/>
          <w:p>
            <w:pPr>
              <w:pStyle w:val="TableText"/>
            </w:pPr>
            <w:r>
              <w:t xml:space="preserve">Django REST Framework + OpenAPI 3.1 schema committed as</w:t>
            </w:r>
            <w:r>
              <w:t xml:space="preserve"> </w:t>
            </w:r>
            <w:r>
              <w:rPr>
                <w:rStyle w:val="VerbatimChar"/>
              </w:rPr>
              <w:t xml:space="preserve">contracts/openapi.yaml</w:t>
            </w:r>
          </w:p>
        </w:tc>
        <w:tc>
          <w:tcPr/>
          <w:p>
            <w:pPr>
              <w:pStyle w:val="TableText"/>
            </w:pPr>
            <w:r>
              <w:t xml:space="preserve">Explicit REST contract and testability</w:t>
            </w:r>
          </w:p>
        </w:tc>
        <w:tc>
          <w:tcPr/>
          <w:p>
            <w:pPr>
              <w:pStyle w:val="TableText"/>
            </w:pPr>
            <w:r>
              <w:t xml:space="preserve">Required reference</w:t>
            </w:r>
            <w:r>
              <w:t xml:space="preserve"> </w:t>
            </w:r>
            <w:r>
              <w:rPr>
                <w:i/>
                <w:iCs/>
              </w:rPr>
              <w:t xml:space="preserve">[v0.1.1 · A11]</w:t>
            </w:r>
          </w:p>
        </w:tc>
      </w:tr>
      <w:tr>
        <w:tc>
          <w:tcPr/>
          <w:p>
            <w:pPr>
              <w:pStyle w:val="TableText"/>
              <w:jc w:val="center"/>
            </w:pPr>
            <w:r>
              <w:t xml:space="preserve">Database</w:t>
            </w:r>
          </w:p>
        </w:tc>
        <w:tc>
          <w:tcPr/>
          <w:p>
            <w:pPr>
              <w:pStyle w:val="TableText"/>
            </w:pPr>
            <w:r>
              <w:t xml:space="preserve">PostgreSQL 17</w:t>
            </w:r>
          </w:p>
        </w:tc>
        <w:tc>
          <w:tcPr/>
          <w:p>
            <w:pPr>
              <w:pStyle w:val="TableText"/>
            </w:pPr>
            <w:r>
              <w:t xml:space="preserve">Canonical transactional store; JSONB/FTS available</w:t>
            </w:r>
          </w:p>
        </w:tc>
        <w:tc>
          <w:tcPr/>
          <w:p>
            <w:pPr>
              <w:pStyle w:val="TableText"/>
            </w:pPr>
            <w:r>
              <w:t xml:space="preserve">Required reference</w:t>
            </w:r>
          </w:p>
        </w:tc>
      </w:tr>
      <w:tr>
        <w:tc>
          <w:tcPr/>
          <w:p>
            <w:pPr>
              <w:pStyle w:val="TableText"/>
              <w:jc w:val="center"/>
            </w:pPr>
            <w:r>
              <w:t xml:space="preserve">GIS extension</w:t>
            </w:r>
          </w:p>
        </w:tc>
        <w:tc>
          <w:tcPr/>
          <w:p>
            <w:pPr>
              <w:pStyle w:val="TableText"/>
            </w:pPr>
            <w:r>
              <w:t xml:space="preserve">PostGIS 3.5</w:t>
            </w:r>
          </w:p>
        </w:tc>
        <w:tc>
          <w:tcPr/>
          <w:p>
            <w:pPr>
              <w:pStyle w:val="TableText"/>
            </w:pPr>
            <w:r>
              <w:t xml:space="preserve">Optional geographic capability without separate GIS store</w:t>
            </w:r>
          </w:p>
        </w:tc>
        <w:tc>
          <w:tcPr/>
          <w:p>
            <w:pPr>
              <w:pStyle w:val="TableText"/>
            </w:pPr>
            <w:r>
              <w:t xml:space="preserve">Enabled where GIS used</w:t>
            </w:r>
          </w:p>
        </w:tc>
      </w:tr>
      <w:tr>
        <w:tc>
          <w:tcPr/>
          <w:p>
            <w:pPr>
              <w:pStyle w:val="TableText"/>
              <w:jc w:val="center"/>
            </w:pPr>
            <w:r>
              <w:t xml:space="preserve">Async jobs</w:t>
            </w:r>
          </w:p>
        </w:tc>
        <w:tc>
          <w:tcPr/>
          <w:p>
            <w:pPr>
              <w:pStyle w:val="TableText"/>
            </w:pPr>
            <w:r>
              <w:t xml:space="preserve">Celery 5.x</w:t>
            </w:r>
          </w:p>
        </w:tc>
        <w:tc>
          <w:tcPr/>
          <w:p>
            <w:pPr>
              <w:pStyle w:val="TableText"/>
            </w:pPr>
            <w:r>
              <w:t xml:space="preserve">Evidence processing, export and projection jobs</w:t>
            </w:r>
          </w:p>
        </w:tc>
        <w:tc>
          <w:tcPr/>
          <w:p>
            <w:pPr>
              <w:pStyle w:val="TableText"/>
            </w:pPr>
            <w:r>
              <w:t xml:space="preserve">Required reference</w:t>
            </w:r>
          </w:p>
        </w:tc>
      </w:tr>
      <w:tr>
        <w:tc>
          <w:tcPr/>
          <w:p>
            <w:pPr>
              <w:pStyle w:val="TableText"/>
              <w:jc w:val="center"/>
            </w:pPr>
            <w:r>
              <w:t xml:space="preserve">Broker/cache</w:t>
            </w:r>
          </w:p>
        </w:tc>
        <w:tc>
          <w:tcPr/>
          <w:p>
            <w:pPr>
              <w:pStyle w:val="TableText"/>
            </w:pPr>
            <w:r>
              <w:t xml:space="preserve">Valkey 8.x (BSD-3-Clause), Redis-protocol compatible; Celery uses the</w:t>
            </w:r>
            <w:r>
              <w:t xml:space="preserve"> </w:t>
            </w:r>
            <w:r>
              <w:rPr>
                <w:rStyle w:val="VerbatimChar"/>
              </w:rPr>
              <w:t xml:space="preserve">redis://</w:t>
            </w:r>
            <w:r>
              <w:t xml:space="preserve"> </w:t>
            </w:r>
            <w:r>
              <w:t xml:space="preserve">transport scheme. Exact minor/patch release pinned in the dependency manifest/image digest; licence recorded in the SBOM (ADR-0006)</w:t>
            </w:r>
          </w:p>
        </w:tc>
        <w:tc>
          <w:tcPr/>
          <w:p>
            <w:pPr>
              <w:pStyle w:val="TableText"/>
            </w:pPr>
            <w:r>
              <w:t xml:space="preserve">Task broker, bounded cache, transient coordination</w:t>
            </w:r>
          </w:p>
        </w:tc>
        <w:tc>
          <w:tcPr/>
          <w:p>
            <w:pPr>
              <w:pStyle w:val="TableText"/>
            </w:pPr>
            <w:r>
              <w:t xml:space="preserve">Required reference</w:t>
            </w:r>
            <w:r>
              <w:t xml:space="preserve"> </w:t>
            </w:r>
            <w:r>
              <w:rPr>
                <w:i/>
                <w:iCs/>
              </w:rPr>
              <w:t xml:space="preserve">[v0.1.1 · A03]</w:t>
            </w:r>
          </w:p>
        </w:tc>
      </w:tr>
      <w:tr>
        <w:tc>
          <w:tcPr/>
          <w:p>
            <w:pPr>
              <w:pStyle w:val="TableText"/>
              <w:jc w:val="center"/>
            </w:pPr>
            <w:r>
              <w:t xml:space="preserve">Object storage</w:t>
            </w:r>
          </w:p>
        </w:tc>
        <w:tc>
          <w:tcPr/>
          <w:p>
            <w:pPr>
              <w:pStyle w:val="TableText"/>
            </w:pPr>
            <w:r>
              <w:t xml:space="preserve">S3-compatible object store with versioning/object-lock-capable features; concrete product selected per ADR-0005 (MinIO is no longer the reference)</w:t>
            </w:r>
          </w:p>
        </w:tc>
        <w:tc>
          <w:tcPr/>
          <w:p>
            <w:pPr>
              <w:pStyle w:val="TableText"/>
            </w:pPr>
            <w:r>
              <w:t xml:space="preserve">Original/derivative evidence objects, versioning</w:t>
            </w:r>
          </w:p>
        </w:tc>
        <w:tc>
          <w:tcPr/>
          <w:p>
            <w:pPr>
              <w:pStyle w:val="TableText"/>
            </w:pPr>
            <w:r>
              <w:t xml:space="preserve">Required capability</w:t>
            </w:r>
            <w:r>
              <w:t xml:space="preserve"> </w:t>
            </w:r>
            <w:r>
              <w:rPr>
                <w:i/>
                <w:iCs/>
              </w:rPr>
              <w:t xml:space="preserve">[v0.1.1 · A02]</w:t>
            </w:r>
          </w:p>
        </w:tc>
      </w:tr>
      <w:tr>
        <w:tc>
          <w:tcPr/>
          <w:p>
            <w:pPr>
              <w:pStyle w:val="TableText"/>
              <w:jc w:val="center"/>
            </w:pPr>
            <w:r>
              <w:t xml:space="preserve">Identity provider</w:t>
            </w:r>
          </w:p>
        </w:tc>
        <w:tc>
          <w:tcPr/>
          <w:p>
            <w:pPr>
              <w:pStyle w:val="TableText"/>
            </w:pPr>
            <w:r>
              <w:t xml:space="preserve">Keycloak 26.x / standards-compliant OIDC; Django is a confidential OIDC client (Authorization Code + PKCE) and the browser holds only a server-side session cookie (BFF)</w:t>
            </w:r>
          </w:p>
        </w:tc>
        <w:tc>
          <w:tcPr/>
          <w:p>
            <w:pPr>
              <w:pStyle w:val="TableText"/>
            </w:pPr>
            <w:r>
              <w:t xml:space="preserve">Central identity, MFA and session policy</w:t>
            </w:r>
          </w:p>
        </w:tc>
        <w:tc>
          <w:tcPr/>
          <w:p>
            <w:pPr>
              <w:pStyle w:val="TableText"/>
            </w:pPr>
            <w:r>
              <w:t xml:space="preserve">External dependency</w:t>
            </w:r>
            <w:r>
              <w:t xml:space="preserve"> </w:t>
            </w:r>
            <w:r>
              <w:rPr>
                <w:i/>
                <w:iCs/>
              </w:rPr>
              <w:t xml:space="preserve">[v0.1.1 · A11]</w:t>
            </w:r>
          </w:p>
        </w:tc>
      </w:tr>
      <w:tr>
        <w:tc>
          <w:tcPr/>
          <w:p>
            <w:pPr>
              <w:pStyle w:val="TableText"/>
              <w:jc w:val="center"/>
            </w:pPr>
            <w:r>
              <w:t xml:space="preserve">Frontend</w:t>
            </w:r>
          </w:p>
        </w:tc>
        <w:tc>
          <w:tcPr/>
          <w:p>
            <w:pPr>
              <w:pStyle w:val="TableText"/>
            </w:pPr>
            <w:r>
              <w:t xml:space="preserve">React 19 + TypeScript + Vite</w:t>
            </w:r>
          </w:p>
        </w:tc>
        <w:tc>
          <w:tcPr/>
          <w:p>
            <w:pPr>
              <w:pStyle w:val="TableText"/>
            </w:pPr>
            <w:r>
              <w:t xml:space="preserve">Typed analyst UI and component ecosystem</w:t>
            </w:r>
          </w:p>
        </w:tc>
        <w:tc>
          <w:tcPr/>
          <w:p>
            <w:pPr>
              <w:pStyle w:val="TableText"/>
            </w:pPr>
            <w:r>
              <w:t xml:space="preserve">Required reference</w:t>
            </w:r>
          </w:p>
        </w:tc>
      </w:tr>
      <w:tr>
        <w:tc>
          <w:tcPr/>
          <w:p>
            <w:pPr>
              <w:pStyle w:val="TableText"/>
              <w:jc w:val="center"/>
            </w:pPr>
            <w:r>
              <w:t xml:space="preserve">CSS/UI</w:t>
            </w:r>
          </w:p>
        </w:tc>
        <w:tc>
          <w:tcPr/>
          <w:p>
            <w:pPr>
              <w:pStyle w:val="TableText"/>
            </w:pPr>
            <w:r>
              <w:t xml:space="preserve">Tailwind CSS 4 + accessible component primitives</w:t>
            </w:r>
          </w:p>
        </w:tc>
        <w:tc>
          <w:tcPr/>
          <w:p>
            <w:pPr>
              <w:pStyle w:val="TableText"/>
            </w:pPr>
            <w:r>
              <w:t xml:space="preserve">Consistent UI without proprietary design system</w:t>
            </w:r>
          </w:p>
        </w:tc>
        <w:tc>
          <w:tcPr/>
          <w:p>
            <w:pPr>
              <w:pStyle w:val="TableText"/>
            </w:pPr>
            <w:r>
              <w:t xml:space="preserve">Reference</w:t>
            </w:r>
          </w:p>
        </w:tc>
      </w:tr>
      <w:tr>
        <w:tc>
          <w:tcPr/>
          <w:p>
            <w:pPr>
              <w:pStyle w:val="TableText"/>
              <w:jc w:val="center"/>
            </w:pPr>
            <w:r>
              <w:t xml:space="preserve">Graph UI</w:t>
            </w:r>
          </w:p>
        </w:tc>
        <w:tc>
          <w:tcPr/>
          <w:p>
            <w:pPr>
              <w:pStyle w:val="TableText"/>
            </w:pPr>
            <w:r>
              <w:t xml:space="preserve">Cytoscape.js</w:t>
            </w:r>
          </w:p>
        </w:tc>
        <w:tc>
          <w:tcPr/>
          <w:p>
            <w:pPr>
              <w:pStyle w:val="TableText"/>
            </w:pPr>
            <w:r>
              <w:t xml:space="preserve">Evidence-backed network exploration in browser</w:t>
            </w:r>
          </w:p>
        </w:tc>
        <w:tc>
          <w:tcPr/>
          <w:p>
            <w:pPr>
              <w:pStyle w:val="TableText"/>
            </w:pPr>
            <w:r>
              <w:t xml:space="preserve">MVP visualization</w:t>
            </w:r>
          </w:p>
        </w:tc>
      </w:tr>
      <w:tr>
        <w:tc>
          <w:tcPr/>
          <w:p>
            <w:pPr>
              <w:pStyle w:val="TableText"/>
              <w:jc w:val="center"/>
            </w:pPr>
            <w:r>
              <w:t xml:space="preserve">Search</w:t>
            </w:r>
          </w:p>
        </w:tc>
        <w:tc>
          <w:tcPr/>
          <w:p>
            <w:pPr>
              <w:pStyle w:val="TableText"/>
            </w:pPr>
            <w:r>
              <w:t xml:space="preserve">PostgreSQL FTS + trigram indexes</w:t>
            </w:r>
          </w:p>
        </w:tc>
        <w:tc>
          <w:tcPr/>
          <w:p>
            <w:pPr>
              <w:pStyle w:val="TableText"/>
            </w:pPr>
            <w:r>
              <w:t xml:space="preserve">Avoid premature search cluster; permission-aware MVP search</w:t>
            </w:r>
          </w:p>
        </w:tc>
        <w:tc>
          <w:tcPr/>
          <w:p>
            <w:pPr>
              <w:pStyle w:val="TableText"/>
            </w:pPr>
            <w:r>
              <w:t xml:space="preserve">MVP</w:t>
            </w:r>
          </w:p>
        </w:tc>
      </w:tr>
      <w:tr>
        <w:tc>
          <w:tcPr/>
          <w:p>
            <w:pPr>
              <w:pStyle w:val="TableText"/>
              <w:jc w:val="center"/>
            </w:pPr>
            <w:r>
              <w:t xml:space="preserve">OCR / text extraction</w:t>
            </w:r>
          </w:p>
        </w:tc>
        <w:tc>
          <w:tcPr/>
          <w:p>
            <w:pPr>
              <w:pStyle w:val="TableText"/>
            </w:pPr>
            <w:r>
              <w:t xml:space="preserve">Tesseract 5.5 (Apache-2.0) with</w:t>
            </w:r>
            <w:r>
              <w:t xml:space="preserve"> </w:t>
            </w:r>
            <w:r>
              <w:rPr>
                <w:rStyle w:val="VerbatimChar"/>
              </w:rPr>
              <w:t xml:space="preserve">ind</w:t>
            </w:r>
            <w:r>
              <w:t xml:space="preserve"> </w:t>
            </w:r>
            <w:r>
              <w:t xml:space="preserve">+</w:t>
            </w:r>
            <w:r>
              <w:t xml:space="preserve"> </w:t>
            </w:r>
            <w:r>
              <w:rPr>
                <w:rStyle w:val="VerbatimChar"/>
              </w:rPr>
              <w:t xml:space="preserve">eng</w:t>
            </w:r>
            <w:r>
              <w:t xml:space="preserve"> </w:t>
            </w:r>
            <w:r>
              <w:t xml:space="preserve">tessdata 4.1; pdfium via pypdfium2 for PDF text layers and rendering; no OCRmyPDF / Ghostscript (AGPL)</w:t>
            </w:r>
          </w:p>
        </w:tc>
        <w:tc>
          <w:tcPr/>
          <w:p>
            <w:pPr>
              <w:pStyle w:val="TableText"/>
            </w:pPr>
            <w:r>
              <w:t xml:space="preserve">Offline, permissive licences, pinned packages; traineddata SHA-256 recorded with every result</w:t>
            </w:r>
          </w:p>
        </w:tc>
        <w:tc>
          <w:tcPr/>
          <w:p>
            <w:pPr>
              <w:pStyle w:val="TableText"/>
            </w:pPr>
            <w:r>
              <w:t xml:space="preserve">Post-MVP (v0.1.4)</w:t>
            </w:r>
            <w:r>
              <w:t xml:space="preserve"> </w:t>
            </w:r>
            <w:r>
              <w:rPr>
                <w:i/>
                <w:iCs/>
              </w:rPr>
              <w:t xml:space="preserve">[v0.1.4 · CR-N-09]</w:t>
            </w:r>
          </w:p>
        </w:tc>
      </w:tr>
      <w:tr>
        <w:tc>
          <w:tcPr/>
          <w:p>
            <w:pPr>
              <w:pStyle w:val="TableText"/>
              <w:jc w:val="center"/>
            </w:pPr>
            <w:r>
              <w:t xml:space="preserve">Machine translation</w:t>
            </w:r>
          </w:p>
        </w:tc>
        <w:tc>
          <w:tcPr/>
          <w:p>
            <w:pPr>
              <w:pStyle w:val="TableText"/>
            </w:pPr>
            <w:r>
              <w:t xml:space="preserve">CTranslate2 4.x (MIT) running OPUS-MT id ↔ en models (CC-BY 4.0) baked into the image with pinned SHA-256, re-verified before use; sacremoses + subword-nmt tokenisation</w:t>
            </w:r>
          </w:p>
        </w:tc>
        <w:tc>
          <w:tcPr/>
          <w:p>
            <w:pPr>
              <w:pStyle w:val="TableText"/>
            </w:pPr>
            <w:r>
              <w:t xml:space="preserve">Offline only; no network path, no online fallback</w:t>
            </w:r>
          </w:p>
        </w:tc>
        <w:tc>
          <w:tcPr/>
          <w:p>
            <w:pPr>
              <w:pStyle w:val="TableText"/>
            </w:pPr>
            <w:r>
              <w:t xml:space="preserve">Post-MVP (v0.1.4)</w:t>
            </w:r>
            <w:r>
              <w:t xml:space="preserve"> </w:t>
            </w:r>
            <w:r>
              <w:rPr>
                <w:i/>
                <w:iCs/>
              </w:rPr>
              <w:t xml:space="preserve">[v0.1.4 · CR-N-10]</w:t>
            </w:r>
          </w:p>
        </w:tc>
      </w:tr>
      <w:tr>
        <w:tc>
          <w:tcPr/>
          <w:p>
            <w:pPr>
              <w:pStyle w:val="TableText"/>
              <w:jc w:val="center"/>
            </w:pPr>
            <w:r>
              <w:t xml:space="preserve">Graph persistence</w:t>
            </w:r>
          </w:p>
        </w:tc>
        <w:tc>
          <w:tcPr/>
          <w:p>
            <w:pPr>
              <w:pStyle w:val="TableText"/>
            </w:pPr>
            <w:r>
              <w:t xml:space="preserve">Relational canonical model</w:t>
            </w:r>
          </w:p>
        </w:tc>
        <w:tc>
          <w:tcPr/>
          <w:p>
            <w:pPr>
              <w:pStyle w:val="TableText"/>
            </w:pPr>
            <w:r>
              <w:t xml:space="preserve">No graph DB dependency for MVP</w:t>
            </w:r>
          </w:p>
        </w:tc>
        <w:tc>
          <w:tcPr/>
          <w:p>
            <w:pPr>
              <w:pStyle w:val="TableText"/>
            </w:pPr>
            <w:r>
              <w:t xml:space="preserve">MVP</w:t>
            </w:r>
          </w:p>
        </w:tc>
      </w:tr>
      <w:tr>
        <w:tc>
          <w:tcPr/>
          <w:p>
            <w:pPr>
              <w:pStyle w:val="TableText"/>
              <w:jc w:val="center"/>
            </w:pPr>
            <w:r>
              <w:t xml:space="preserve">Reverse proxy</w:t>
            </w:r>
          </w:p>
        </w:tc>
        <w:tc>
          <w:tcPr/>
          <w:p>
            <w:pPr>
              <w:pStyle w:val="TableText"/>
            </w:pPr>
            <w:r>
              <w:t xml:space="preserve">Nginx</w:t>
            </w:r>
          </w:p>
        </w:tc>
        <w:tc>
          <w:tcPr/>
          <w:p>
            <w:pPr>
              <w:pStyle w:val="TableText"/>
            </w:pPr>
            <w:r>
              <w:t xml:space="preserve">TLS termination, headers, request controls</w:t>
            </w:r>
          </w:p>
        </w:tc>
        <w:tc>
          <w:tcPr/>
          <w:p>
            <w:pPr>
              <w:pStyle w:val="TableText"/>
            </w:pPr>
            <w:r>
              <w:t xml:space="preserve">Reference</w:t>
            </w:r>
          </w:p>
        </w:tc>
      </w:tr>
      <w:tr>
        <w:tc>
          <w:tcPr/>
          <w:p>
            <w:pPr>
              <w:pStyle w:val="TableText"/>
              <w:jc w:val="center"/>
            </w:pPr>
            <w:r>
              <w:t xml:space="preserve">App server</w:t>
            </w:r>
          </w:p>
        </w:tc>
        <w:tc>
          <w:tcPr/>
          <w:p>
            <w:pPr>
              <w:pStyle w:val="TableText"/>
            </w:pPr>
            <w:r>
              <w:t xml:space="preserve">Gunicorn</w:t>
            </w:r>
          </w:p>
        </w:tc>
        <w:tc>
          <w:tcPr/>
          <w:p>
            <w:pPr>
              <w:pStyle w:val="TableText"/>
            </w:pPr>
            <w:r>
              <w:t xml:space="preserve">Django WSGI/ASGI serving baseline</w:t>
            </w:r>
          </w:p>
        </w:tc>
        <w:tc>
          <w:tcPr/>
          <w:p>
            <w:pPr>
              <w:pStyle w:val="TableText"/>
            </w:pPr>
            <w:r>
              <w:t xml:space="preserve">Reference</w:t>
            </w:r>
          </w:p>
        </w:tc>
      </w:tr>
      <w:tr>
        <w:tc>
          <w:tcPr/>
          <w:p>
            <w:pPr>
              <w:pStyle w:val="TableText"/>
              <w:jc w:val="center"/>
            </w:pPr>
            <w:r>
              <w:t xml:space="preserve">Observability</w:t>
            </w:r>
          </w:p>
        </w:tc>
        <w:tc>
          <w:tcPr/>
          <w:p>
            <w:pPr>
              <w:pStyle w:val="TableText"/>
            </w:pPr>
            <w:r>
              <w:t xml:space="preserve">OpenTelemetry + Prometheus/Grafana compatible metrics</w:t>
            </w:r>
          </w:p>
        </w:tc>
        <w:tc>
          <w:tcPr/>
          <w:p>
            <w:pPr>
              <w:pStyle w:val="TableText"/>
            </w:pPr>
            <w:r>
              <w:t xml:space="preserve">Vendor-neutral instrumentation</w:t>
            </w:r>
          </w:p>
        </w:tc>
        <w:tc>
          <w:tcPr/>
          <w:p>
            <w:pPr>
              <w:pStyle w:val="TableText"/>
            </w:pPr>
            <w:r>
              <w:t xml:space="preserve">Required capability</w:t>
            </w:r>
          </w:p>
        </w:tc>
      </w:tr>
      <w:tr>
        <w:tc>
          <w:tcPr/>
          <w:p>
            <w:pPr>
              <w:pStyle w:val="TableText"/>
              <w:jc w:val="center"/>
            </w:pPr>
            <w:r>
              <w:t xml:space="preserve">CI/CD</w:t>
            </w:r>
          </w:p>
        </w:tc>
        <w:tc>
          <w:tcPr/>
          <w:p>
            <w:pPr>
              <w:pStyle w:val="TableText"/>
            </w:pPr>
            <w:r>
              <w:t xml:space="preserve">GitHub Actions or equivalent</w:t>
            </w:r>
          </w:p>
        </w:tc>
        <w:tc>
          <w:tcPr/>
          <w:p>
            <w:pPr>
              <w:pStyle w:val="TableText"/>
            </w:pPr>
            <w:r>
              <w:t xml:space="preserve">Automated quality/security/build gates</w:t>
            </w:r>
          </w:p>
        </w:tc>
        <w:tc>
          <w:tcPr/>
          <w:p>
            <w:pPr>
              <w:pStyle w:val="TableText"/>
            </w:pPr>
            <w:r>
              <w:t xml:space="preserve">Required capability</w:t>
            </w:r>
          </w:p>
        </w:tc>
      </w:tr>
    </w:tbl>
    <w:p>
      <w:pPr>
        <w:pStyle w:val="BlockText"/>
      </w:pPr>
      <w:r>
        <w:rPr>
          <w:b/>
          <w:bCs/>
        </w:rPr>
        <w:t xml:space="preserve">Version policy</w:t>
      </w:r>
      <w:r>
        <w:br/>
      </w:r>
      <w:r>
        <w:t xml:space="preserve">The versions above are baseline major/minor families, not an instruction to remain on insecure patches. Security patches SHOULD be applied within supported lines after automated and regression testing. Dependency updates SHALL NOT silently alter analytical semantics.</w:t>
      </w:r>
    </w:p>
    <w:p>
      <w:pPr>
        <w:pStyle w:val="BlockText"/>
      </w:pPr>
      <w:r>
        <w:rPr>
          <w:b/>
          <w:bCs/>
        </w:rPr>
        <w:t xml:space="preserve">Dependency licence and maintenance note</w:t>
      </w:r>
      <w:r>
        <w:t xml:space="preserve"> </w:t>
      </w:r>
      <w:r>
        <w:rPr>
          <w:i/>
          <w:iCs/>
        </w:rPr>
        <w:t xml:space="preserve">[v0.1.1 · A02, A03]</w:t>
      </w:r>
      <w:r>
        <w:br/>
      </w:r>
      <w:r>
        <w:t xml:space="preserve">A version family does not imply a single licence. For each infrastructure dependency the pinned release, its licence and its maintenance status SHALL be recorded in the dependency manifest, the image digest and the SBOM, and they SHALL refer to the same version. Do not describe a release line as open-source or BSD without checking its licence: for example Redis ≤7.2 is BSD-3-Clause, Redis 7.4 is RSALv2/SSPLv1, and Redis 8.x adds AGPLv3 — which is why the broker/cache baseline is Valkey 8.x (ADR-0006). The upstream MinIO Community repository (minio/minio) was archived on 25 April 2026 and states it is no longer maintained; MinIO Community and commercial products (e.g. AIStor) are different products with different licences and support paths. The object store product is therefore chosen through ADR-0005, which SHALL record the chosen product and release line, maintenance status, licence, patch path, S3 compatibility test evidence, and backup/restore test evidence.</w:t>
      </w:r>
    </w:p>
    <w:bookmarkEnd w:id="11"/>
    <w:bookmarkStart w:id="12" w:name="X1b99d3ea35992b21b15e068c9e1b819fd8597f0"/>
    <w:p>
      <w:pPr>
        <w:pStyle w:val="Heading1"/>
      </w:pPr>
      <w:r>
        <w:t xml:space="preserve">4. Architecture Style: Modular Monolith</w:t>
      </w:r>
    </w:p>
    <w:p>
      <w:pPr>
        <w:pStyle w:val="FirstParagraph"/>
      </w:pPr>
      <w:r>
        <w:t xml:space="preserve">CS-AML MVP SHALL use one deployable backend application containing strongly separated domain modules. This is a deliberate engineering choice: case workflow, evidence provenance, entity resolution, value-flow reasoning, review and dissemination frequently require consistent authorization, transaction boundaries and audit events. Premature service decomposition would add distributed consistency and authorization complexity before the product model stabilizes.</w:t>
      </w:r>
    </w:p>
    <w:p>
      <w:pPr>
        <w:pStyle w:val="SourceCode"/>
      </w:pPr>
      <w:r>
        <w:rPr>
          <w:rFonts w:ascii="Consolas" w:hAnsi="Consolas" w:cs="Consolas" w:eastAsia="Consolas"/>
          <w:sz w:val="18"/>
          <w:szCs w:val="18"/>
        </w:rPr>
        <w:t xml:space="preserve">Browser (React)</w:t>
      </w:r>
      <w:r>
        <w:rPr>
          <w:rFonts w:ascii="Consolas" w:hAnsi="Consolas" w:cs="Consolas" w:eastAsia="Consolas"/>
          <w:sz w:val="18"/>
          <w:szCs w:val="18"/>
        </w:rPr>
        <w:br/>
      </w:r>
      <w:r>
        <w:rPr>
          <w:rFonts w:ascii="Consolas" w:hAnsi="Consolas" w:cs="Consolas" w:eastAsia="Consolas"/>
          <w:sz w:val="18"/>
          <w:szCs w:val="18"/>
        </w:rPr>
        <w:t xml:space="preserve">      |</w:t>
      </w:r>
      <w:r>
        <w:rPr>
          <w:rFonts w:ascii="Consolas" w:hAnsi="Consolas" w:cs="Consolas" w:eastAsia="Consolas"/>
          <w:sz w:val="18"/>
          <w:szCs w:val="18"/>
        </w:rPr>
        <w:br/>
      </w:r>
      <w:r>
        <w:rPr>
          <w:rFonts w:ascii="Consolas" w:hAnsi="Consolas" w:cs="Consolas" w:eastAsia="Consolas"/>
          <w:sz w:val="18"/>
          <w:szCs w:val="18"/>
        </w:rPr>
        <w:t xml:space="preserve">      v</w:t>
      </w:r>
      <w:r>
        <w:rPr>
          <w:rFonts w:ascii="Consolas" w:hAnsi="Consolas" w:cs="Consolas" w:eastAsia="Consolas"/>
          <w:sz w:val="18"/>
          <w:szCs w:val="18"/>
        </w:rPr>
        <w:br/>
      </w:r>
      <w:r>
        <w:rPr>
          <w:rFonts w:ascii="Consolas" w:hAnsi="Consolas" w:cs="Consolas" w:eastAsia="Consolas"/>
          <w:sz w:val="18"/>
          <w:szCs w:val="18"/>
        </w:rPr>
        <w:t xml:space="preserve">Nginx / API boundary</w:t>
      </w:r>
      <w:r>
        <w:rPr>
          <w:rFonts w:ascii="Consolas" w:hAnsi="Consolas" w:cs="Consolas" w:eastAsia="Consolas"/>
          <w:sz w:val="18"/>
          <w:szCs w:val="18"/>
        </w:rPr>
        <w:br/>
      </w:r>
      <w:r>
        <w:rPr>
          <w:rFonts w:ascii="Consolas" w:hAnsi="Consolas" w:cs="Consolas" w:eastAsia="Consolas"/>
          <w:sz w:val="18"/>
          <w:szCs w:val="18"/>
        </w:rPr>
        <w:t xml:space="preserve">      |</w:t>
      </w:r>
      <w:r>
        <w:rPr>
          <w:rFonts w:ascii="Consolas" w:hAnsi="Consolas" w:cs="Consolas" w:eastAsia="Consolas"/>
          <w:sz w:val="18"/>
          <w:szCs w:val="18"/>
        </w:rPr>
        <w:br/>
      </w:r>
      <w:r>
        <w:rPr>
          <w:rFonts w:ascii="Consolas" w:hAnsi="Consolas" w:cs="Consolas" w:eastAsia="Consolas"/>
          <w:sz w:val="18"/>
          <w:szCs w:val="18"/>
        </w:rPr>
        <w:t xml:space="preserve">      v</w:t>
      </w:r>
      <w:r>
        <w:rPr>
          <w:rFonts w:ascii="Consolas" w:hAnsi="Consolas" w:cs="Consolas" w:eastAsia="Consolas"/>
          <w:sz w:val="18"/>
          <w:szCs w:val="18"/>
        </w:rPr>
        <w:br/>
      </w:r>
      <w:r>
        <w:rPr>
          <w:rFonts w:ascii="Consolas" w:hAnsi="Consolas" w:cs="Consolas" w:eastAsia="Consolas"/>
          <w:sz w:val="18"/>
          <w:szCs w:val="18"/>
        </w:rPr>
        <w:t xml:space="preserve">Django modular monolith</w:t>
      </w:r>
      <w:r>
        <w:rPr>
          <w:rFonts w:ascii="Consolas" w:hAnsi="Consolas" w:cs="Consolas" w:eastAsia="Consolas"/>
          <w:sz w:val="18"/>
          <w:szCs w:val="18"/>
        </w:rPr>
        <w:br/>
      </w:r>
      <w:r>
        <w:rPr>
          <w:rFonts w:ascii="Consolas" w:hAnsi="Consolas" w:cs="Consolas" w:eastAsia="Consolas"/>
          <w:sz w:val="18"/>
          <w:szCs w:val="18"/>
        </w:rPr>
        <w:t xml:space="preserve">  |-- cases</w:t>
      </w:r>
      <w:r>
        <w:rPr>
          <w:rFonts w:ascii="Consolas" w:hAnsi="Consolas" w:cs="Consolas" w:eastAsia="Consolas"/>
          <w:sz w:val="18"/>
          <w:szCs w:val="18"/>
        </w:rPr>
        <w:br/>
      </w:r>
      <w:r>
        <w:rPr>
          <w:rFonts w:ascii="Consolas" w:hAnsi="Consolas" w:cs="Consolas" w:eastAsia="Consolas"/>
          <w:sz w:val="18"/>
          <w:szCs w:val="18"/>
        </w:rPr>
        <w:t xml:space="preserve">  |-- evidence</w:t>
      </w:r>
      <w:r>
        <w:rPr>
          <w:rFonts w:ascii="Consolas" w:hAnsi="Consolas" w:cs="Consolas" w:eastAsia="Consolas"/>
          <w:sz w:val="18"/>
          <w:szCs w:val="18"/>
        </w:rPr>
        <w:br/>
      </w:r>
      <w:r>
        <w:rPr>
          <w:rFonts w:ascii="Consolas" w:hAnsi="Consolas" w:cs="Consolas" w:eastAsia="Consolas"/>
          <w:sz w:val="18"/>
          <w:szCs w:val="18"/>
        </w:rPr>
        <w:t xml:space="preserve">  |-- entities / relationships / assets</w:t>
      </w:r>
      <w:r>
        <w:rPr>
          <w:rFonts w:ascii="Consolas" w:hAnsi="Consolas" w:cs="Consolas" w:eastAsia="Consolas"/>
          <w:sz w:val="18"/>
          <w:szCs w:val="18"/>
        </w:rPr>
        <w:br/>
      </w:r>
      <w:r>
        <w:rPr>
          <w:rFonts w:ascii="Consolas" w:hAnsi="Consolas" w:cs="Consolas" w:eastAsia="Consolas"/>
          <w:sz w:val="18"/>
          <w:szCs w:val="18"/>
        </w:rPr>
        <w:t xml:space="preserve">  |-- timeline / valueflows</w:t>
      </w:r>
      <w:r>
        <w:rPr>
          <w:rFonts w:ascii="Consolas" w:hAnsi="Consolas" w:cs="Consolas" w:eastAsia="Consolas"/>
          <w:sz w:val="18"/>
          <w:szCs w:val="18"/>
        </w:rPr>
        <w:br/>
      </w:r>
      <w:r>
        <w:rPr>
          <w:rFonts w:ascii="Consolas" w:hAnsi="Consolas" w:cs="Consolas" w:eastAsia="Consolas"/>
          <w:sz w:val="18"/>
          <w:szCs w:val="18"/>
        </w:rPr>
        <w:t xml:space="preserve">  |-- typologies / hypotheses / assessments</w:t>
      </w:r>
      <w:r>
        <w:rPr>
          <w:rFonts w:ascii="Consolas" w:hAnsi="Consolas" w:cs="Consolas" w:eastAsia="Consolas"/>
          <w:sz w:val="18"/>
          <w:szCs w:val="18"/>
        </w:rPr>
        <w:br/>
      </w:r>
      <w:r>
        <w:rPr>
          <w:rFonts w:ascii="Consolas" w:hAnsi="Consolas" w:cs="Consolas" w:eastAsia="Consolas"/>
          <w:sz w:val="18"/>
          <w:szCs w:val="18"/>
        </w:rPr>
        <w:t xml:space="preserve">  |-- search / graph projection API</w:t>
      </w:r>
      <w:r>
        <w:rPr>
          <w:rFonts w:ascii="Consolas" w:hAnsi="Consolas" w:cs="Consolas" w:eastAsia="Consolas"/>
          <w:sz w:val="18"/>
          <w:szCs w:val="18"/>
        </w:rPr>
        <w:br/>
      </w:r>
      <w:r>
        <w:rPr>
          <w:rFonts w:ascii="Consolas" w:hAnsi="Consolas" w:cs="Consolas" w:eastAsia="Consolas"/>
          <w:sz w:val="18"/>
          <w:szCs w:val="18"/>
        </w:rPr>
        <w:t xml:space="preserve">  |-- products / reviews / dissemination</w:t>
      </w:r>
      <w:r>
        <w:rPr>
          <w:rFonts w:ascii="Consolas" w:hAnsi="Consolas" w:cs="Consolas" w:eastAsia="Consolas"/>
          <w:sz w:val="18"/>
          <w:szCs w:val="18"/>
        </w:rPr>
        <w:br/>
      </w:r>
      <w:r>
        <w:rPr>
          <w:rFonts w:ascii="Consolas" w:hAnsi="Consolas" w:cs="Consolas" w:eastAsia="Consolas"/>
          <w:sz w:val="18"/>
          <w:szCs w:val="18"/>
        </w:rPr>
        <w:t xml:space="preserve">  |-- policy / audit / administration</w:t>
      </w:r>
      <w:r>
        <w:rPr>
          <w:rFonts w:ascii="Consolas" w:hAnsi="Consolas" w:cs="Consolas" w:eastAsia="Consolas"/>
          <w:sz w:val="18"/>
          <w:szCs w:val="18"/>
        </w:rPr>
        <w:br/>
      </w:r>
      <w:r>
        <w:rPr>
          <w:rFonts w:ascii="Consolas" w:hAnsi="Consolas" w:cs="Consolas" w:eastAsia="Consolas"/>
          <w:sz w:val="18"/>
          <w:szCs w:val="18"/>
        </w:rPr>
        <w:t xml:space="preserve">      |</w:t>
      </w:r>
      <w:r>
        <w:rPr>
          <w:rFonts w:ascii="Consolas" w:hAnsi="Consolas" w:cs="Consolas" w:eastAsia="Consolas"/>
          <w:sz w:val="18"/>
          <w:szCs w:val="18"/>
        </w:rPr>
        <w:br/>
      </w:r>
      <w:r>
        <w:rPr>
          <w:rFonts w:ascii="Consolas" w:hAnsi="Consolas" w:cs="Consolas" w:eastAsia="Consolas"/>
          <w:sz w:val="18"/>
          <w:szCs w:val="18"/>
        </w:rPr>
        <w:t xml:space="preserve">      +--&gt; PostgreSQL (canonical)</w:t>
      </w:r>
      <w:r>
        <w:rPr>
          <w:rFonts w:ascii="Consolas" w:hAnsi="Consolas" w:cs="Consolas" w:eastAsia="Consolas"/>
          <w:sz w:val="18"/>
          <w:szCs w:val="18"/>
        </w:rPr>
        <w:br/>
      </w:r>
      <w:r>
        <w:rPr>
          <w:rFonts w:ascii="Consolas" w:hAnsi="Consolas" w:cs="Consolas" w:eastAsia="Consolas"/>
          <w:sz w:val="18"/>
          <w:szCs w:val="18"/>
        </w:rPr>
        <w:t xml:space="preserve">      +--&gt; object-store (S3-compatible; product per ADR-0005)</w:t>
      </w:r>
      <w:r>
        <w:rPr>
          <w:rFonts w:ascii="Consolas" w:hAnsi="Consolas" w:cs="Consolas" w:eastAsia="Consolas"/>
          <w:sz w:val="18"/>
          <w:szCs w:val="18"/>
        </w:rPr>
        <w:br/>
      </w:r>
      <w:r>
        <w:rPr>
          <w:rFonts w:ascii="Consolas" w:hAnsi="Consolas" w:cs="Consolas" w:eastAsia="Consolas"/>
          <w:sz w:val="18"/>
          <w:szCs w:val="18"/>
        </w:rPr>
        <w:t xml:space="preserve">      +--&gt; Valkey / Celery workers</w:t>
      </w:r>
      <w:r>
        <w:rPr>
          <w:rFonts w:ascii="Consolas" w:hAnsi="Consolas" w:cs="Consolas" w:eastAsia="Consolas"/>
          <w:sz w:val="18"/>
          <w:szCs w:val="18"/>
        </w:rPr>
        <w:br/>
      </w:r>
      <w:r>
        <w:rPr>
          <w:rFonts w:ascii="Consolas" w:hAnsi="Consolas" w:cs="Consolas" w:eastAsia="Consolas"/>
          <w:sz w:val="18"/>
          <w:szCs w:val="18"/>
        </w:rPr>
        <w:t xml:space="preserve">      +--&gt; Keycloak (OIDC; server-side BFF session)</w:t>
      </w:r>
      <w:r>
        <w:rPr>
          <w:rFonts w:ascii="Consolas" w:hAnsi="Consolas" w:cs="Consolas" w:eastAsia="Consolas"/>
          <w:sz w:val="18"/>
          <w:szCs w:val="18"/>
        </w:rPr>
        <w:br/>
      </w:r>
      <w:r>
        <w:rPr>
          <w:rFonts w:ascii="Consolas" w:hAnsi="Consolas" w:cs="Consolas" w:eastAsia="Consolas"/>
          <w:sz w:val="18"/>
          <w:szCs w:val="18"/>
        </w:rPr>
        <w:t xml:space="preserve">      +--&gt; rebuildable search/graph projections</w:t>
      </w:r>
    </w:p>
    <w:p>
      <w:pPr>
        <w:pStyle w:val="BodyText"/>
      </w:pPr>
      <w:r>
        <w:rPr>
          <w:i/>
          <w:iCs/>
        </w:rPr>
        <w:t xml:space="preserve">[v0.1.1 · A02, A03, A11]</w:t>
      </w:r>
      <w:r>
        <w:t xml:space="preserve"> </w:t>
      </w:r>
      <w:r>
        <w:t xml:space="preserve">— diagram updated: object store per ADR-0005; Valkey replaces Redis; browser authentication is a server-side BFF session.</w:t>
      </w:r>
    </w:p>
    <w:p>
      <w:pPr>
        <w:pStyle w:val="BodyText"/>
      </w:pPr>
      <w:r>
        <w:t xml:space="preserve">Microservice extraction MAY occur after MVP when one or more of the following is demonstrated: materially different scaling profile; security isolation requirement; independent deployment cadence; dedicated operational ownership; external reuse; or unacceptable coupling that cannot be solved through module boundaries.</w:t>
      </w:r>
    </w:p>
    <w:bookmarkEnd w:id="12"/>
    <w:bookmarkStart w:id="13" w:name="Xbaffd5f4cc77cc134395832826a8f0cc04960f7"/>
    <w:p>
      <w:pPr>
        <w:pStyle w:val="Heading1"/>
      </w:pPr>
      <w:r>
        <w:t xml:space="preserve">5. Repository Strategy</w:t>
      </w:r>
    </w:p>
    <w:p>
      <w:pPr>
        <w:pStyle w:val="FirstParagraph"/>
      </w:pPr>
      <w:r>
        <w:t xml:space="preserve">The MVP SHALL use a monorepo. Product documentation, API code, frontend, infrastructure definitions and integration tests remain version-aligned. This supports deterministic traceability from SRS requirement to implementation and test.</w:t>
      </w:r>
    </w:p>
    <w:p>
      <w:pPr>
        <w:pStyle w:val="SourceCode"/>
      </w:pPr>
      <w:r>
        <w:rPr>
          <w:rFonts w:ascii="Consolas" w:hAnsi="Consolas" w:cs="Consolas" w:eastAsia="Consolas"/>
          <w:sz w:val="18"/>
          <w:szCs w:val="18"/>
        </w:rPr>
        <w:t xml:space="preserve">cs-aml/</w:t>
      </w:r>
      <w:r>
        <w:rPr>
          <w:rFonts w:ascii="Consolas" w:hAnsi="Consolas" w:cs="Consolas" w:eastAsia="Consolas"/>
          <w:sz w:val="18"/>
          <w:szCs w:val="18"/>
        </w:rPr>
        <w:br/>
      </w:r>
      <w:r>
        <w:rPr>
          <w:rFonts w:ascii="Consolas" w:hAnsi="Consolas" w:cs="Consolas" w:eastAsia="Consolas"/>
          <w:sz w:val="18"/>
          <w:szCs w:val="18"/>
        </w:rPr>
        <w:t xml:space="preserve">├── README.md</w:t>
      </w:r>
      <w:r>
        <w:rPr>
          <w:rFonts w:ascii="Consolas" w:hAnsi="Consolas" w:cs="Consolas" w:eastAsia="Consolas"/>
          <w:sz w:val="18"/>
          <w:szCs w:val="18"/>
        </w:rPr>
        <w:br/>
      </w:r>
      <w:r>
        <w:rPr>
          <w:rFonts w:ascii="Consolas" w:hAnsi="Consolas" w:cs="Consolas" w:eastAsia="Consolas"/>
          <w:sz w:val="18"/>
          <w:szCs w:val="18"/>
        </w:rPr>
        <w:t xml:space="preserve">├── LICENSE</w:t>
      </w:r>
      <w:r>
        <w:rPr>
          <w:rFonts w:ascii="Consolas" w:hAnsi="Consolas" w:cs="Consolas" w:eastAsia="Consolas"/>
          <w:sz w:val="18"/>
          <w:szCs w:val="18"/>
        </w:rPr>
        <w:br/>
      </w:r>
      <w:r>
        <w:rPr>
          <w:rFonts w:ascii="Consolas" w:hAnsi="Consolas" w:cs="Consolas" w:eastAsia="Consolas"/>
          <w:sz w:val="18"/>
          <w:szCs w:val="18"/>
        </w:rPr>
        <w:t xml:space="preserve">├── CONTRIBUTING.md</w:t>
      </w:r>
      <w:r>
        <w:rPr>
          <w:rFonts w:ascii="Consolas" w:hAnsi="Consolas" w:cs="Consolas" w:eastAsia="Consolas"/>
          <w:sz w:val="18"/>
          <w:szCs w:val="18"/>
        </w:rPr>
        <w:br/>
      </w:r>
      <w:r>
        <w:rPr>
          <w:rFonts w:ascii="Consolas" w:hAnsi="Consolas" w:cs="Consolas" w:eastAsia="Consolas"/>
          <w:sz w:val="18"/>
          <w:szCs w:val="18"/>
        </w:rPr>
        <w:t xml:space="preserve">├── SECURITY.md</w:t>
      </w:r>
      <w:r>
        <w:rPr>
          <w:rFonts w:ascii="Consolas" w:hAnsi="Consolas" w:cs="Consolas" w:eastAsia="Consolas"/>
          <w:sz w:val="18"/>
          <w:szCs w:val="18"/>
        </w:rPr>
        <w:br/>
      </w:r>
      <w:r>
        <w:rPr>
          <w:rFonts w:ascii="Consolas" w:hAnsi="Consolas" w:cs="Consolas" w:eastAsia="Consolas"/>
          <w:sz w:val="18"/>
          <w:szCs w:val="18"/>
        </w:rPr>
        <w:t xml:space="preserve">├── CHANGELOG.md</w:t>
      </w:r>
      <w:r>
        <w:rPr>
          <w:rFonts w:ascii="Consolas" w:hAnsi="Consolas" w:cs="Consolas" w:eastAsia="Consolas"/>
          <w:sz w:val="18"/>
          <w:szCs w:val="18"/>
        </w:rPr>
        <w:br/>
      </w:r>
      <w:r>
        <w:rPr>
          <w:rFonts w:ascii="Consolas" w:hAnsi="Consolas" w:cs="Consolas" w:eastAsia="Consolas"/>
          <w:sz w:val="18"/>
          <w:szCs w:val="18"/>
        </w:rPr>
        <w:t xml:space="preserve">├── pyproject.toml</w:t>
      </w:r>
      <w:r>
        <w:rPr>
          <w:rFonts w:ascii="Consolas" w:hAnsi="Consolas" w:cs="Consolas" w:eastAsia="Consolas"/>
          <w:sz w:val="18"/>
          <w:szCs w:val="18"/>
        </w:rPr>
        <w:br/>
      </w:r>
      <w:r>
        <w:rPr>
          <w:rFonts w:ascii="Consolas" w:hAnsi="Consolas" w:cs="Consolas" w:eastAsia="Consolas"/>
          <w:sz w:val="18"/>
          <w:szCs w:val="18"/>
        </w:rPr>
        <w:t xml:space="preserve">├── package.json</w:t>
      </w:r>
      <w:r>
        <w:rPr>
          <w:rFonts w:ascii="Consolas" w:hAnsi="Consolas" w:cs="Consolas" w:eastAsia="Consolas"/>
          <w:sz w:val="18"/>
          <w:szCs w:val="18"/>
        </w:rPr>
        <w:br/>
      </w:r>
      <w:r>
        <w:rPr>
          <w:rFonts w:ascii="Consolas" w:hAnsi="Consolas" w:cs="Consolas" w:eastAsia="Consolas"/>
          <w:sz w:val="18"/>
          <w:szCs w:val="18"/>
        </w:rPr>
        <w:t xml:space="preserve">├── compose.yaml</w:t>
      </w:r>
      <w:r>
        <w:rPr>
          <w:rFonts w:ascii="Consolas" w:hAnsi="Consolas" w:cs="Consolas" w:eastAsia="Consolas"/>
          <w:sz w:val="18"/>
          <w:szCs w:val="18"/>
        </w:rPr>
        <w:br/>
      </w:r>
      <w:r>
        <w:rPr>
          <w:rFonts w:ascii="Consolas" w:hAnsi="Consolas" w:cs="Consolas" w:eastAsia="Consolas"/>
          <w:sz w:val="18"/>
          <w:szCs w:val="18"/>
        </w:rPr>
        <w:t xml:space="preserve">├── .env.example</w:t>
      </w:r>
      <w:r>
        <w:rPr>
          <w:rFonts w:ascii="Consolas" w:hAnsi="Consolas" w:cs="Consolas" w:eastAsia="Consolas"/>
          <w:sz w:val="18"/>
          <w:szCs w:val="18"/>
        </w:rPr>
        <w:br/>
      </w:r>
      <w:r>
        <w:rPr>
          <w:rFonts w:ascii="Consolas" w:hAnsi="Consolas" w:cs="Consolas" w:eastAsia="Consolas"/>
          <w:sz w:val="18"/>
          <w:szCs w:val="18"/>
        </w:rPr>
        <w:t xml:space="preserve">├── .editorconfig</w:t>
      </w:r>
      <w:r>
        <w:rPr>
          <w:rFonts w:ascii="Consolas" w:hAnsi="Consolas" w:cs="Consolas" w:eastAsia="Consolas"/>
          <w:sz w:val="18"/>
          <w:szCs w:val="18"/>
        </w:rPr>
        <w:br/>
      </w:r>
      <w:r>
        <w:rPr>
          <w:rFonts w:ascii="Consolas" w:hAnsi="Consolas" w:cs="Consolas" w:eastAsia="Consolas"/>
          <w:sz w:val="18"/>
          <w:szCs w:val="18"/>
        </w:rPr>
        <w:t xml:space="preserve">├── .github/</w:t>
      </w:r>
      <w:r>
        <w:rPr>
          <w:rFonts w:ascii="Consolas" w:hAnsi="Consolas" w:cs="Consolas" w:eastAsia="Consolas"/>
          <w:sz w:val="18"/>
          <w:szCs w:val="18"/>
        </w:rPr>
        <w:br/>
      </w:r>
      <w:r>
        <w:rPr>
          <w:rFonts w:ascii="Consolas" w:hAnsi="Consolas" w:cs="Consolas" w:eastAsia="Consolas"/>
          <w:sz w:val="18"/>
          <w:szCs w:val="18"/>
        </w:rPr>
        <w:t xml:space="preserve">│   ├── workflows/</w:t>
      </w:r>
      <w:r>
        <w:rPr>
          <w:rFonts w:ascii="Consolas" w:hAnsi="Consolas" w:cs="Consolas" w:eastAsia="Consolas"/>
          <w:sz w:val="18"/>
          <w:szCs w:val="18"/>
        </w:rPr>
        <w:br/>
      </w:r>
      <w:r>
        <w:rPr>
          <w:rFonts w:ascii="Consolas" w:hAnsi="Consolas" w:cs="Consolas" w:eastAsia="Consolas"/>
          <w:sz w:val="18"/>
          <w:szCs w:val="18"/>
        </w:rPr>
        <w:t xml:space="preserve">│   └── CODEOWNERS</w:t>
      </w:r>
      <w:r>
        <w:rPr>
          <w:rFonts w:ascii="Consolas" w:hAnsi="Consolas" w:cs="Consolas" w:eastAsia="Consolas"/>
          <w:sz w:val="18"/>
          <w:szCs w:val="18"/>
        </w:rPr>
        <w:br/>
      </w:r>
      <w:r>
        <w:rPr>
          <w:rFonts w:ascii="Consolas" w:hAnsi="Consolas" w:cs="Consolas" w:eastAsia="Consolas"/>
          <w:sz w:val="18"/>
          <w:szCs w:val="18"/>
        </w:rPr>
        <w:t xml:space="preserve">├── backend/</w:t>
      </w:r>
      <w:r>
        <w:rPr>
          <w:rFonts w:ascii="Consolas" w:hAnsi="Consolas" w:cs="Consolas" w:eastAsia="Consolas"/>
          <w:sz w:val="18"/>
          <w:szCs w:val="18"/>
        </w:rPr>
        <w:br/>
      </w:r>
      <w:r>
        <w:rPr>
          <w:rFonts w:ascii="Consolas" w:hAnsi="Consolas" w:cs="Consolas" w:eastAsia="Consolas"/>
          <w:sz w:val="18"/>
          <w:szCs w:val="18"/>
        </w:rPr>
        <w:t xml:space="preserve">├── frontend/</w:t>
      </w:r>
      <w:r>
        <w:rPr>
          <w:rFonts w:ascii="Consolas" w:hAnsi="Consolas" w:cs="Consolas" w:eastAsia="Consolas"/>
          <w:sz w:val="18"/>
          <w:szCs w:val="18"/>
        </w:rPr>
        <w:br/>
      </w:r>
      <w:r>
        <w:rPr>
          <w:rFonts w:ascii="Consolas" w:hAnsi="Consolas" w:cs="Consolas" w:eastAsia="Consolas"/>
          <w:sz w:val="18"/>
          <w:szCs w:val="18"/>
        </w:rPr>
        <w:t xml:space="preserve">├── contracts/       # openapi.yaml (OpenAPI 3.1, generated, linted in CI)</w:t>
      </w:r>
      <w:r>
        <w:rPr>
          <w:rFonts w:ascii="Consolas" w:hAnsi="Consolas" w:cs="Consolas" w:eastAsia="Consolas"/>
          <w:sz w:val="18"/>
          <w:szCs w:val="18"/>
        </w:rPr>
        <w:br/>
      </w:r>
      <w:r>
        <w:rPr>
          <w:rFonts w:ascii="Consolas" w:hAnsi="Consolas" w:cs="Consolas" w:eastAsia="Consolas"/>
          <w:sz w:val="18"/>
          <w:szCs w:val="18"/>
        </w:rPr>
        <w:t xml:space="preserve">├── infra/</w:t>
      </w:r>
      <w:r>
        <w:rPr>
          <w:rFonts w:ascii="Consolas" w:hAnsi="Consolas" w:cs="Consolas" w:eastAsia="Consolas"/>
          <w:sz w:val="18"/>
          <w:szCs w:val="18"/>
        </w:rPr>
        <w:br/>
      </w:r>
      <w:r>
        <w:rPr>
          <w:rFonts w:ascii="Consolas" w:hAnsi="Consolas" w:cs="Consolas" w:eastAsia="Consolas"/>
          <w:sz w:val="18"/>
          <w:szCs w:val="18"/>
        </w:rPr>
        <w:t xml:space="preserve">├── docs/</w:t>
      </w:r>
      <w:r>
        <w:rPr>
          <w:rFonts w:ascii="Consolas" w:hAnsi="Consolas" w:cs="Consolas" w:eastAsia="Consolas"/>
          <w:sz w:val="18"/>
          <w:szCs w:val="18"/>
        </w:rPr>
        <w:br/>
      </w:r>
      <w:r>
        <w:rPr>
          <w:rFonts w:ascii="Consolas" w:hAnsi="Consolas" w:cs="Consolas" w:eastAsia="Consolas"/>
          <w:sz w:val="18"/>
          <w:szCs w:val="18"/>
        </w:rPr>
        <w:t xml:space="preserve">├── scripts/</w:t>
      </w:r>
      <w:r>
        <w:rPr>
          <w:rFonts w:ascii="Consolas" w:hAnsi="Consolas" w:cs="Consolas" w:eastAsia="Consolas"/>
          <w:sz w:val="18"/>
          <w:szCs w:val="18"/>
        </w:rPr>
        <w:br/>
      </w:r>
      <w:r>
        <w:rPr>
          <w:rFonts w:ascii="Consolas" w:hAnsi="Consolas" w:cs="Consolas" w:eastAsia="Consolas"/>
          <w:sz w:val="18"/>
          <w:szCs w:val="18"/>
        </w:rPr>
        <w:t xml:space="preserve">├── tests/</w:t>
      </w:r>
      <w:r>
        <w:rPr>
          <w:rFonts w:ascii="Consolas" w:hAnsi="Consolas" w:cs="Consolas" w:eastAsia="Consolas"/>
          <w:sz w:val="18"/>
          <w:szCs w:val="18"/>
        </w:rPr>
        <w:br/>
      </w:r>
      <w:r>
        <w:rPr>
          <w:rFonts w:ascii="Consolas" w:hAnsi="Consolas" w:cs="Consolas" w:eastAsia="Consolas"/>
          <w:sz w:val="18"/>
          <w:szCs w:val="18"/>
        </w:rPr>
        <w:t xml:space="preserve">└── fixtures/</w:t>
      </w:r>
    </w:p>
    <w:p>
      <w:pPr>
        <w:pStyle w:val="BodyText"/>
      </w:pPr>
      <w:r>
        <w:rPr>
          <w:i/>
          <w:iCs/>
        </w:rPr>
        <w:t xml:space="preserve">[v0.1.1 · A11]</w:t>
      </w:r>
      <w:r>
        <w:t xml:space="preserve"> </w:t>
      </w:r>
      <w:r>
        <w:t xml:space="preserve">—</w:t>
      </w:r>
      <w:r>
        <w:t xml:space="preserve"> </w:t>
      </w:r>
      <w:r>
        <w:rPr>
          <w:rStyle w:val="VerbatimChar"/>
        </w:rPr>
        <w:t xml:space="preserve">contracts/openapi.yaml</w:t>
      </w:r>
      <w:r>
        <w:t xml:space="preserve"> </w:t>
      </w:r>
      <w:r>
        <w:t xml:space="preserve">added (see API Specification v0.1.4 §28).</w:t>
      </w:r>
    </w:p>
    <w:bookmarkEnd w:id="13"/>
    <w:bookmarkStart w:id="14" w:name="Xda520d7a21e2612d3a24e9b9a56d96e9a65d44d"/>
    <w:p>
      <w:pPr>
        <w:pStyle w:val="Heading1"/>
      </w:pPr>
      <w:r>
        <w:t xml:space="preserve">6. Backend Repository Structure</w:t>
      </w:r>
    </w:p>
    <w:p>
      <w:pPr>
        <w:pStyle w:val="SourceCode"/>
      </w:pPr>
      <w:r>
        <w:rPr>
          <w:rFonts w:ascii="Consolas" w:hAnsi="Consolas" w:cs="Consolas" w:eastAsia="Consolas"/>
          <w:sz w:val="18"/>
          <w:szCs w:val="18"/>
        </w:rPr>
        <w:t xml:space="preserve">backend/</w:t>
      </w:r>
      <w:r>
        <w:rPr>
          <w:rFonts w:ascii="Consolas" w:hAnsi="Consolas" w:cs="Consolas" w:eastAsia="Consolas"/>
          <w:sz w:val="18"/>
          <w:szCs w:val="18"/>
        </w:rPr>
        <w:br/>
      </w:r>
      <w:r>
        <w:rPr>
          <w:rFonts w:ascii="Consolas" w:hAnsi="Consolas" w:cs="Consolas" w:eastAsia="Consolas"/>
          <w:sz w:val="18"/>
          <w:szCs w:val="18"/>
        </w:rPr>
        <w:t xml:space="preserve">├── manage.py</w:t>
      </w:r>
      <w:r>
        <w:rPr>
          <w:rFonts w:ascii="Consolas" w:hAnsi="Consolas" w:cs="Consolas" w:eastAsia="Consolas"/>
          <w:sz w:val="18"/>
          <w:szCs w:val="18"/>
        </w:rPr>
        <w:br/>
      </w:r>
      <w:r>
        <w:rPr>
          <w:rFonts w:ascii="Consolas" w:hAnsi="Consolas" w:cs="Consolas" w:eastAsia="Consolas"/>
          <w:sz w:val="18"/>
          <w:szCs w:val="18"/>
        </w:rPr>
        <w:t xml:space="preserve">├── config/</w:t>
      </w:r>
      <w:r>
        <w:rPr>
          <w:rFonts w:ascii="Consolas" w:hAnsi="Consolas" w:cs="Consolas" w:eastAsia="Consolas"/>
          <w:sz w:val="18"/>
          <w:szCs w:val="18"/>
        </w:rPr>
        <w:br/>
      </w:r>
      <w:r>
        <w:rPr>
          <w:rFonts w:ascii="Consolas" w:hAnsi="Consolas" w:cs="Consolas" w:eastAsia="Consolas"/>
          <w:sz w:val="18"/>
          <w:szCs w:val="18"/>
        </w:rPr>
        <w:t xml:space="preserve">│   ├── settings/</w:t>
      </w:r>
      <w:r>
        <w:rPr>
          <w:rFonts w:ascii="Consolas" w:hAnsi="Consolas" w:cs="Consolas" w:eastAsia="Consolas"/>
          <w:sz w:val="18"/>
          <w:szCs w:val="18"/>
        </w:rPr>
        <w:br/>
      </w:r>
      <w:r>
        <w:rPr>
          <w:rFonts w:ascii="Consolas" w:hAnsi="Consolas" w:cs="Consolas" w:eastAsia="Consolas"/>
          <w:sz w:val="18"/>
          <w:szCs w:val="18"/>
        </w:rPr>
        <w:t xml:space="preserve">│   │   ├── base.py</w:t>
      </w:r>
      <w:r>
        <w:rPr>
          <w:rFonts w:ascii="Consolas" w:hAnsi="Consolas" w:cs="Consolas" w:eastAsia="Consolas"/>
          <w:sz w:val="18"/>
          <w:szCs w:val="18"/>
        </w:rPr>
        <w:br/>
      </w:r>
      <w:r>
        <w:rPr>
          <w:rFonts w:ascii="Consolas" w:hAnsi="Consolas" w:cs="Consolas" w:eastAsia="Consolas"/>
          <w:sz w:val="18"/>
          <w:szCs w:val="18"/>
        </w:rPr>
        <w:t xml:space="preserve">│   │   ├── local.py</w:t>
      </w:r>
      <w:r>
        <w:rPr>
          <w:rFonts w:ascii="Consolas" w:hAnsi="Consolas" w:cs="Consolas" w:eastAsia="Consolas"/>
          <w:sz w:val="18"/>
          <w:szCs w:val="18"/>
        </w:rPr>
        <w:br/>
      </w:r>
      <w:r>
        <w:rPr>
          <w:rFonts w:ascii="Consolas" w:hAnsi="Consolas" w:cs="Consolas" w:eastAsia="Consolas"/>
          <w:sz w:val="18"/>
          <w:szCs w:val="18"/>
        </w:rPr>
        <w:t xml:space="preserve">│   │   ├── test.py</w:t>
      </w:r>
      <w:r>
        <w:rPr>
          <w:rFonts w:ascii="Consolas" w:hAnsi="Consolas" w:cs="Consolas" w:eastAsia="Consolas"/>
          <w:sz w:val="18"/>
          <w:szCs w:val="18"/>
        </w:rPr>
        <w:br/>
      </w:r>
      <w:r>
        <w:rPr>
          <w:rFonts w:ascii="Consolas" w:hAnsi="Consolas" w:cs="Consolas" w:eastAsia="Consolas"/>
          <w:sz w:val="18"/>
          <w:szCs w:val="18"/>
        </w:rPr>
        <w:t xml:space="preserve">│   │   └── production.py</w:t>
      </w:r>
      <w:r>
        <w:rPr>
          <w:rFonts w:ascii="Consolas" w:hAnsi="Consolas" w:cs="Consolas" w:eastAsia="Consolas"/>
          <w:sz w:val="18"/>
          <w:szCs w:val="18"/>
        </w:rPr>
        <w:br/>
      </w:r>
      <w:r>
        <w:rPr>
          <w:rFonts w:ascii="Consolas" w:hAnsi="Consolas" w:cs="Consolas" w:eastAsia="Consolas"/>
          <w:sz w:val="18"/>
          <w:szCs w:val="18"/>
        </w:rPr>
        <w:t xml:space="preserve">│   ├── urls.py</w:t>
      </w:r>
      <w:r>
        <w:rPr>
          <w:rFonts w:ascii="Consolas" w:hAnsi="Consolas" w:cs="Consolas" w:eastAsia="Consolas"/>
          <w:sz w:val="18"/>
          <w:szCs w:val="18"/>
        </w:rPr>
        <w:br/>
      </w:r>
      <w:r>
        <w:rPr>
          <w:rFonts w:ascii="Consolas" w:hAnsi="Consolas" w:cs="Consolas" w:eastAsia="Consolas"/>
          <w:sz w:val="18"/>
          <w:szCs w:val="18"/>
        </w:rPr>
        <w:t xml:space="preserve">│   ├── asgi.py</w:t>
      </w:r>
      <w:r>
        <w:rPr>
          <w:rFonts w:ascii="Consolas" w:hAnsi="Consolas" w:cs="Consolas" w:eastAsia="Consolas"/>
          <w:sz w:val="18"/>
          <w:szCs w:val="18"/>
        </w:rPr>
        <w:br/>
      </w:r>
      <w:r>
        <w:rPr>
          <w:rFonts w:ascii="Consolas" w:hAnsi="Consolas" w:cs="Consolas" w:eastAsia="Consolas"/>
          <w:sz w:val="18"/>
          <w:szCs w:val="18"/>
        </w:rPr>
        <w:t xml:space="preserve">│   └── celery.py</w:t>
      </w:r>
      <w:r>
        <w:rPr>
          <w:rFonts w:ascii="Consolas" w:hAnsi="Consolas" w:cs="Consolas" w:eastAsia="Consolas"/>
          <w:sz w:val="18"/>
          <w:szCs w:val="18"/>
        </w:rPr>
        <w:br/>
      </w:r>
      <w:r>
        <w:rPr>
          <w:rFonts w:ascii="Consolas" w:hAnsi="Consolas" w:cs="Consolas" w:eastAsia="Consolas"/>
          <w:sz w:val="18"/>
          <w:szCs w:val="18"/>
        </w:rPr>
        <w:t xml:space="preserve">├── csaml/</w:t>
      </w:r>
      <w:r>
        <w:rPr>
          <w:rFonts w:ascii="Consolas" w:hAnsi="Consolas" w:cs="Consolas" w:eastAsia="Consolas"/>
          <w:sz w:val="18"/>
          <w:szCs w:val="18"/>
        </w:rPr>
        <w:br/>
      </w:r>
      <w:r>
        <w:rPr>
          <w:rFonts w:ascii="Consolas" w:hAnsi="Consolas" w:cs="Consolas" w:eastAsia="Consolas"/>
          <w:sz w:val="18"/>
          <w:szCs w:val="18"/>
        </w:rPr>
        <w:t xml:space="preserve">│   ├── common/</w:t>
      </w:r>
      <w:r>
        <w:rPr>
          <w:rFonts w:ascii="Consolas" w:hAnsi="Consolas" w:cs="Consolas" w:eastAsia="Consolas"/>
          <w:sz w:val="18"/>
          <w:szCs w:val="18"/>
        </w:rPr>
        <w:br/>
      </w:r>
      <w:r>
        <w:rPr>
          <w:rFonts w:ascii="Consolas" w:hAnsi="Consolas" w:cs="Consolas" w:eastAsia="Consolas"/>
          <w:sz w:val="18"/>
          <w:szCs w:val="18"/>
        </w:rPr>
        <w:t xml:space="preserve">│   ├── iam/</w:t>
      </w:r>
      <w:r>
        <w:rPr>
          <w:rFonts w:ascii="Consolas" w:hAnsi="Consolas" w:cs="Consolas" w:eastAsia="Consolas"/>
          <w:sz w:val="18"/>
          <w:szCs w:val="18"/>
        </w:rPr>
        <w:br/>
      </w:r>
      <w:r>
        <w:rPr>
          <w:rFonts w:ascii="Consolas" w:hAnsi="Consolas" w:cs="Consolas" w:eastAsia="Consolas"/>
          <w:sz w:val="18"/>
          <w:szCs w:val="18"/>
        </w:rPr>
        <w:t xml:space="preserve">│   ├── cases/</w:t>
      </w:r>
      <w:r>
        <w:rPr>
          <w:rFonts w:ascii="Consolas" w:hAnsi="Consolas" w:cs="Consolas" w:eastAsia="Consolas"/>
          <w:sz w:val="18"/>
          <w:szCs w:val="18"/>
        </w:rPr>
        <w:br/>
      </w:r>
      <w:r>
        <w:rPr>
          <w:rFonts w:ascii="Consolas" w:hAnsi="Consolas" w:cs="Consolas" w:eastAsia="Consolas"/>
          <w:sz w:val="18"/>
          <w:szCs w:val="18"/>
        </w:rPr>
        <w:t xml:space="preserve">│   ├── sources/</w:t>
      </w:r>
      <w:r>
        <w:rPr>
          <w:rFonts w:ascii="Consolas" w:hAnsi="Consolas" w:cs="Consolas" w:eastAsia="Consolas"/>
          <w:sz w:val="18"/>
          <w:szCs w:val="18"/>
        </w:rPr>
        <w:br/>
      </w:r>
      <w:r>
        <w:rPr>
          <w:rFonts w:ascii="Consolas" w:hAnsi="Consolas" w:cs="Consolas" w:eastAsia="Consolas"/>
          <w:sz w:val="18"/>
          <w:szCs w:val="18"/>
        </w:rPr>
        <w:t xml:space="preserve">│   ├── evidence/</w:t>
      </w:r>
      <w:r>
        <w:rPr>
          <w:rFonts w:ascii="Consolas" w:hAnsi="Consolas" w:cs="Consolas" w:eastAsia="Consolas"/>
          <w:sz w:val="18"/>
          <w:szCs w:val="18"/>
        </w:rPr>
        <w:br/>
      </w:r>
      <w:r>
        <w:rPr>
          <w:rFonts w:ascii="Consolas" w:hAnsi="Consolas" w:cs="Consolas" w:eastAsia="Consolas"/>
          <w:sz w:val="18"/>
          <w:szCs w:val="18"/>
        </w:rPr>
        <w:t xml:space="preserve">│   ├── entities/</w:t>
      </w:r>
      <w:r>
        <w:rPr>
          <w:rFonts w:ascii="Consolas" w:hAnsi="Consolas" w:cs="Consolas" w:eastAsia="Consolas"/>
          <w:sz w:val="18"/>
          <w:szCs w:val="18"/>
        </w:rPr>
        <w:br/>
      </w:r>
      <w:r>
        <w:rPr>
          <w:rFonts w:ascii="Consolas" w:hAnsi="Consolas" w:cs="Consolas" w:eastAsia="Consolas"/>
          <w:sz w:val="18"/>
          <w:szCs w:val="18"/>
        </w:rPr>
        <w:t xml:space="preserve">│   ├── relationships/</w:t>
      </w:r>
      <w:r>
        <w:rPr>
          <w:rFonts w:ascii="Consolas" w:hAnsi="Consolas" w:cs="Consolas" w:eastAsia="Consolas"/>
          <w:sz w:val="18"/>
          <w:szCs w:val="18"/>
        </w:rPr>
        <w:br/>
      </w:r>
      <w:r>
        <w:rPr>
          <w:rFonts w:ascii="Consolas" w:hAnsi="Consolas" w:cs="Consolas" w:eastAsia="Consolas"/>
          <w:sz w:val="18"/>
          <w:szCs w:val="18"/>
        </w:rPr>
        <w:t xml:space="preserve">│   ├── assets/</w:t>
      </w:r>
      <w:r>
        <w:rPr>
          <w:rFonts w:ascii="Consolas" w:hAnsi="Consolas" w:cs="Consolas" w:eastAsia="Consolas"/>
          <w:sz w:val="18"/>
          <w:szCs w:val="18"/>
        </w:rPr>
        <w:br/>
      </w:r>
      <w:r>
        <w:rPr>
          <w:rFonts w:ascii="Consolas" w:hAnsi="Consolas" w:cs="Consolas" w:eastAsia="Consolas"/>
          <w:sz w:val="18"/>
          <w:szCs w:val="18"/>
        </w:rPr>
        <w:t xml:space="preserve">│   ├── timeline/</w:t>
      </w:r>
      <w:r>
        <w:rPr>
          <w:rFonts w:ascii="Consolas" w:hAnsi="Consolas" w:cs="Consolas" w:eastAsia="Consolas"/>
          <w:sz w:val="18"/>
          <w:szCs w:val="18"/>
        </w:rPr>
        <w:br/>
      </w:r>
      <w:r>
        <w:rPr>
          <w:rFonts w:ascii="Consolas" w:hAnsi="Consolas" w:cs="Consolas" w:eastAsia="Consolas"/>
          <w:sz w:val="18"/>
          <w:szCs w:val="18"/>
        </w:rPr>
        <w:t xml:space="preserve">│   ├── valueflows/</w:t>
      </w:r>
      <w:r>
        <w:rPr>
          <w:rFonts w:ascii="Consolas" w:hAnsi="Consolas" w:cs="Consolas" w:eastAsia="Consolas"/>
          <w:sz w:val="18"/>
          <w:szCs w:val="18"/>
        </w:rPr>
        <w:br/>
      </w:r>
      <w:r>
        <w:rPr>
          <w:rFonts w:ascii="Consolas" w:hAnsi="Consolas" w:cs="Consolas" w:eastAsia="Consolas"/>
          <w:sz w:val="18"/>
          <w:szCs w:val="18"/>
        </w:rPr>
        <w:t xml:space="preserve">│   ├── typologies/</w:t>
      </w:r>
      <w:r>
        <w:rPr>
          <w:rFonts w:ascii="Consolas" w:hAnsi="Consolas" w:cs="Consolas" w:eastAsia="Consolas"/>
          <w:sz w:val="18"/>
          <w:szCs w:val="18"/>
        </w:rPr>
        <w:br/>
      </w:r>
      <w:r>
        <w:rPr>
          <w:rFonts w:ascii="Consolas" w:hAnsi="Consolas" w:cs="Consolas" w:eastAsia="Consolas"/>
          <w:sz w:val="18"/>
          <w:szCs w:val="18"/>
        </w:rPr>
        <w:t xml:space="preserve">│   ├── hypotheses/</w:t>
      </w:r>
      <w:r>
        <w:rPr>
          <w:rFonts w:ascii="Consolas" w:hAnsi="Consolas" w:cs="Consolas" w:eastAsia="Consolas"/>
          <w:sz w:val="18"/>
          <w:szCs w:val="18"/>
        </w:rPr>
        <w:br/>
      </w:r>
      <w:r>
        <w:rPr>
          <w:rFonts w:ascii="Consolas" w:hAnsi="Consolas" w:cs="Consolas" w:eastAsia="Consolas"/>
          <w:sz w:val="18"/>
          <w:szCs w:val="18"/>
        </w:rPr>
        <w:t xml:space="preserve">│   ├── assessments/</w:t>
      </w:r>
      <w:r>
        <w:rPr>
          <w:rFonts w:ascii="Consolas" w:hAnsi="Consolas" w:cs="Consolas" w:eastAsia="Consolas"/>
          <w:sz w:val="18"/>
          <w:szCs w:val="18"/>
        </w:rPr>
        <w:br/>
      </w:r>
      <w:r>
        <w:rPr>
          <w:rFonts w:ascii="Consolas" w:hAnsi="Consolas" w:cs="Consolas" w:eastAsia="Consolas"/>
          <w:sz w:val="18"/>
          <w:szCs w:val="18"/>
        </w:rPr>
        <w:t xml:space="preserve">│   ├── search/</w:t>
      </w:r>
      <w:r>
        <w:rPr>
          <w:rFonts w:ascii="Consolas" w:hAnsi="Consolas" w:cs="Consolas" w:eastAsia="Consolas"/>
          <w:sz w:val="18"/>
          <w:szCs w:val="18"/>
        </w:rPr>
        <w:br/>
      </w:r>
      <w:r>
        <w:rPr>
          <w:rFonts w:ascii="Consolas" w:hAnsi="Consolas" w:cs="Consolas" w:eastAsia="Consolas"/>
          <w:sz w:val="18"/>
          <w:szCs w:val="18"/>
        </w:rPr>
        <w:t xml:space="preserve">│   ├── graph/</w:t>
      </w:r>
      <w:r>
        <w:rPr>
          <w:rFonts w:ascii="Consolas" w:hAnsi="Consolas" w:cs="Consolas" w:eastAsia="Consolas"/>
          <w:sz w:val="18"/>
          <w:szCs w:val="18"/>
        </w:rPr>
        <w:br/>
      </w:r>
      <w:r>
        <w:rPr>
          <w:rFonts w:ascii="Consolas" w:hAnsi="Consolas" w:cs="Consolas" w:eastAsia="Consolas"/>
          <w:sz w:val="18"/>
          <w:szCs w:val="18"/>
        </w:rPr>
        <w:t xml:space="preserve">│   ├── products/</w:t>
      </w:r>
      <w:r>
        <w:rPr>
          <w:rFonts w:ascii="Consolas" w:hAnsi="Consolas" w:cs="Consolas" w:eastAsia="Consolas"/>
          <w:sz w:val="18"/>
          <w:szCs w:val="18"/>
        </w:rPr>
        <w:br/>
      </w:r>
      <w:r>
        <w:rPr>
          <w:rFonts w:ascii="Consolas" w:hAnsi="Consolas" w:cs="Consolas" w:eastAsia="Consolas"/>
          <w:sz w:val="18"/>
          <w:szCs w:val="18"/>
        </w:rPr>
        <w:t xml:space="preserve">│   ├── reviews/</w:t>
      </w:r>
      <w:r>
        <w:rPr>
          <w:rFonts w:ascii="Consolas" w:hAnsi="Consolas" w:cs="Consolas" w:eastAsia="Consolas"/>
          <w:sz w:val="18"/>
          <w:szCs w:val="18"/>
        </w:rPr>
        <w:br/>
      </w:r>
      <w:r>
        <w:rPr>
          <w:rFonts w:ascii="Consolas" w:hAnsi="Consolas" w:cs="Consolas" w:eastAsia="Consolas"/>
          <w:sz w:val="18"/>
          <w:szCs w:val="18"/>
        </w:rPr>
        <w:t xml:space="preserve">│   ├── dissemination/</w:t>
      </w:r>
      <w:r>
        <w:rPr>
          <w:rFonts w:ascii="Consolas" w:hAnsi="Consolas" w:cs="Consolas" w:eastAsia="Consolas"/>
          <w:sz w:val="18"/>
          <w:szCs w:val="18"/>
        </w:rPr>
        <w:br/>
      </w:r>
      <w:r>
        <w:rPr>
          <w:rFonts w:ascii="Consolas" w:hAnsi="Consolas" w:cs="Consolas" w:eastAsia="Consolas"/>
          <w:sz w:val="18"/>
          <w:szCs w:val="18"/>
        </w:rPr>
        <w:t xml:space="preserve">│   ├── governance/</w:t>
      </w:r>
      <w:r>
        <w:rPr>
          <w:rFonts w:ascii="Consolas" w:hAnsi="Consolas" w:cs="Consolas" w:eastAsia="Consolas"/>
          <w:sz w:val="18"/>
          <w:szCs w:val="18"/>
        </w:rPr>
        <w:br/>
      </w:r>
      <w:r>
        <w:rPr>
          <w:rFonts w:ascii="Consolas" w:hAnsi="Consolas" w:cs="Consolas" w:eastAsia="Consolas"/>
          <w:sz w:val="18"/>
          <w:szCs w:val="18"/>
        </w:rPr>
        <w:t xml:space="preserve">│   ├── audit/</w:t>
      </w:r>
      <w:r>
        <w:rPr>
          <w:rFonts w:ascii="Consolas" w:hAnsi="Consolas" w:cs="Consolas" w:eastAsia="Consolas"/>
          <w:sz w:val="18"/>
          <w:szCs w:val="18"/>
        </w:rPr>
        <w:br/>
      </w:r>
      <w:r>
        <w:rPr>
          <w:rFonts w:ascii="Consolas" w:hAnsi="Consolas" w:cs="Consolas" w:eastAsia="Consolas"/>
          <w:sz w:val="18"/>
          <w:szCs w:val="18"/>
        </w:rPr>
        <w:t xml:space="preserve">│   └── integrations/</w:t>
      </w:r>
      <w:r>
        <w:rPr>
          <w:rFonts w:ascii="Consolas" w:hAnsi="Consolas" w:cs="Consolas" w:eastAsia="Consolas"/>
          <w:sz w:val="18"/>
          <w:szCs w:val="18"/>
        </w:rPr>
        <w:br/>
      </w:r>
      <w:r>
        <w:rPr>
          <w:rFonts w:ascii="Consolas" w:hAnsi="Consolas" w:cs="Consolas" w:eastAsia="Consolas"/>
          <w:sz w:val="18"/>
          <w:szCs w:val="18"/>
        </w:rPr>
        <w:t xml:space="preserve">└── tests/</w:t>
      </w:r>
    </w:p>
    <w:p>
      <w:pPr>
        <w:pStyle w:val="FirstParagraph"/>
      </w:pPr>
      <w:r>
        <w:t xml:space="preserve">Each domain package SHOULD expose explicit application services and policy checks. Views/serializers SHALL NOT contain material domain logic. Direct model access across modules SHOULD be minimized; cross-module operations SHOULD call a documented application service or selector.</w:t>
      </w:r>
    </w:p>
    <w:tbl>
      <w:tblPr>
        <w:tblStyle w:val="Table"/>
        <w:tblW w:type="pct" w:w="5000"/>
        <w:tblLayout w:type="fixed"/>
        <w:tblLook w:firstRow="1" w:lastRow="0" w:firstColumn="0" w:lastColumn="0" w:noHBand="0" w:noVBand="0" w:val="0020"/>
      </w:tblPr>
      <w:tblGrid>
        <w:gridCol w:w="1750"/>
        <w:gridCol w:w="6169"/>
      </w:tblGrid>
      <w:tr>
        <w:trPr>
          <w:tblHeader w:val="on"/>
        </w:trPr>
        <w:tc>
          <w:tcPr/>
          <w:p>
            <w:pPr>
              <w:pStyle w:val="TableText"/>
            </w:pPr>
            <w:r>
              <w:rPr>
                <w:b/>
                <w:bCs/>
              </w:rPr>
              <w:t xml:space="preserve">Module element</w:t>
            </w:r>
          </w:p>
        </w:tc>
        <w:tc>
          <w:tcPr/>
          <w:p>
            <w:pPr>
              <w:pStyle w:val="TableText"/>
            </w:pPr>
            <w:r>
              <w:rPr>
                <w:b/>
                <w:bCs/>
              </w:rPr>
              <w:t xml:space="preserve">Responsibility</w:t>
            </w:r>
          </w:p>
        </w:tc>
      </w:tr>
      <w:tr>
        <w:tc>
          <w:tcPr/>
          <w:p>
            <w:pPr>
              <w:pStyle w:val="TableText"/>
            </w:pPr>
            <w:r>
              <w:t xml:space="preserve">models.py / models/</w:t>
            </w:r>
          </w:p>
        </w:tc>
        <w:tc>
          <w:tcPr/>
          <w:p>
            <w:pPr>
              <w:pStyle w:val="TableText"/>
            </w:pPr>
            <w:r>
              <w:t xml:space="preserve">Persistent canonical model and invariant-adjacent constraints</w:t>
            </w:r>
          </w:p>
        </w:tc>
      </w:tr>
      <w:tr>
        <w:tc>
          <w:tcPr/>
          <w:p>
            <w:pPr>
              <w:pStyle w:val="TableText"/>
            </w:pPr>
            <w:r>
              <w:t xml:space="preserve">services.py / services/</w:t>
            </w:r>
          </w:p>
        </w:tc>
        <w:tc>
          <w:tcPr/>
          <w:p>
            <w:pPr>
              <w:pStyle w:val="TableText"/>
            </w:pPr>
            <w:r>
              <w:t xml:space="preserve">State-changing use cases and transaction boundaries</w:t>
            </w:r>
          </w:p>
        </w:tc>
      </w:tr>
      <w:tr>
        <w:tc>
          <w:tcPr/>
          <w:p>
            <w:pPr>
              <w:pStyle w:val="TableText"/>
            </w:pPr>
            <w:r>
              <w:t xml:space="preserve">selectors.py</w:t>
            </w:r>
          </w:p>
        </w:tc>
        <w:tc>
          <w:tcPr/>
          <w:p>
            <w:pPr>
              <w:pStyle w:val="TableText"/>
            </w:pPr>
            <w:r>
              <w:t xml:space="preserve">Read/query functions with authorization-aware filters</w:t>
            </w:r>
          </w:p>
        </w:tc>
      </w:tr>
      <w:tr>
        <w:tc>
          <w:tcPr/>
          <w:p>
            <w:pPr>
              <w:pStyle w:val="TableText"/>
            </w:pPr>
            <w:r>
              <w:t xml:space="preserve">policies.py</w:t>
            </w:r>
          </w:p>
        </w:tc>
        <w:tc>
          <w:tcPr/>
          <w:p>
            <w:pPr>
              <w:pStyle w:val="TableText"/>
            </w:pPr>
            <w:r>
              <w:t xml:space="preserve">Object/action authorization and need-to-know policy</w:t>
            </w:r>
          </w:p>
        </w:tc>
      </w:tr>
      <w:tr>
        <w:tc>
          <w:tcPr/>
          <w:p>
            <w:pPr>
              <w:pStyle w:val="TableText"/>
            </w:pPr>
            <w:r>
              <w:t xml:space="preserve">api/</w:t>
            </w:r>
          </w:p>
        </w:tc>
        <w:tc>
          <w:tcPr/>
          <w:p>
            <w:pPr>
              <w:pStyle w:val="TableText"/>
            </w:pPr>
            <w:r>
              <w:t xml:space="preserve">Serializers, request validation, routes and response mapping</w:t>
            </w:r>
          </w:p>
        </w:tc>
      </w:tr>
      <w:tr>
        <w:tc>
          <w:tcPr/>
          <w:p>
            <w:pPr>
              <w:pStyle w:val="TableText"/>
            </w:pPr>
            <w:r>
              <w:t xml:space="preserve">tasks.py</w:t>
            </w:r>
          </w:p>
        </w:tc>
        <w:tc>
          <w:tcPr/>
          <w:p>
            <w:pPr>
              <w:pStyle w:val="TableText"/>
            </w:pPr>
            <w:r>
              <w:t xml:space="preserve">Idempotent asynchronous work; never hidden authorization bypass</w:t>
            </w:r>
          </w:p>
        </w:tc>
      </w:tr>
      <w:tr>
        <w:tc>
          <w:tcPr/>
          <w:p>
            <w:pPr>
              <w:pStyle w:val="TableText"/>
            </w:pPr>
            <w:r>
              <w:t xml:space="preserve">events.py</w:t>
            </w:r>
          </w:p>
        </w:tc>
        <w:tc>
          <w:tcPr/>
          <w:p>
            <w:pPr>
              <w:pStyle w:val="TableText"/>
            </w:pPr>
            <w:r>
              <w:t xml:space="preserve">Explicit domain/application events used for audit/projections</w:t>
            </w:r>
          </w:p>
        </w:tc>
      </w:tr>
      <w:tr>
        <w:tc>
          <w:tcPr/>
          <w:p>
            <w:pPr>
              <w:pStyle w:val="TableText"/>
            </w:pPr>
            <w:r>
              <w:t xml:space="preserve">tests/</w:t>
            </w:r>
          </w:p>
        </w:tc>
        <w:tc>
          <w:tcPr/>
          <w:p>
            <w:pPr>
              <w:pStyle w:val="TableText"/>
            </w:pPr>
            <w:r>
              <w:t xml:space="preserve">Unit, policy, service, API and regression tests</w:t>
            </w:r>
          </w:p>
        </w:tc>
      </w:tr>
    </w:tbl>
    <w:bookmarkEnd w:id="14"/>
    <w:bookmarkStart w:id="15" w:name="Xf6e7492d5c52b110fd90bd313059fec6aa4a5d2"/>
    <w:p>
      <w:pPr>
        <w:pStyle w:val="Heading1"/>
      </w:pPr>
      <w:r>
        <w:t xml:space="preserve">7. Frontend Repository Structure</w:t>
      </w:r>
    </w:p>
    <w:p>
      <w:pPr>
        <w:pStyle w:val="SourceCode"/>
      </w:pPr>
      <w:r>
        <w:rPr>
          <w:rFonts w:ascii="Consolas" w:hAnsi="Consolas" w:cs="Consolas" w:eastAsia="Consolas"/>
          <w:sz w:val="18"/>
          <w:szCs w:val="18"/>
        </w:rPr>
        <w:t xml:space="preserve">frontend/</w:t>
      </w:r>
      <w:r>
        <w:rPr>
          <w:rFonts w:ascii="Consolas" w:hAnsi="Consolas" w:cs="Consolas" w:eastAsia="Consolas"/>
          <w:sz w:val="18"/>
          <w:szCs w:val="18"/>
        </w:rPr>
        <w:br/>
      </w:r>
      <w:r>
        <w:rPr>
          <w:rFonts w:ascii="Consolas" w:hAnsi="Consolas" w:cs="Consolas" w:eastAsia="Consolas"/>
          <w:sz w:val="18"/>
          <w:szCs w:val="18"/>
        </w:rPr>
        <w:t xml:space="preserve">├── src/</w:t>
      </w:r>
      <w:r>
        <w:rPr>
          <w:rFonts w:ascii="Consolas" w:hAnsi="Consolas" w:cs="Consolas" w:eastAsia="Consolas"/>
          <w:sz w:val="18"/>
          <w:szCs w:val="18"/>
        </w:rPr>
        <w:br/>
      </w:r>
      <w:r>
        <w:rPr>
          <w:rFonts w:ascii="Consolas" w:hAnsi="Consolas" w:cs="Consolas" w:eastAsia="Consolas"/>
          <w:sz w:val="18"/>
          <w:szCs w:val="18"/>
        </w:rPr>
        <w:t xml:space="preserve">│   ├── app/</w:t>
      </w:r>
      <w:r>
        <w:rPr>
          <w:rFonts w:ascii="Consolas" w:hAnsi="Consolas" w:cs="Consolas" w:eastAsia="Consolas"/>
          <w:sz w:val="18"/>
          <w:szCs w:val="18"/>
        </w:rPr>
        <w:br/>
      </w:r>
      <w:r>
        <w:rPr>
          <w:rFonts w:ascii="Consolas" w:hAnsi="Consolas" w:cs="Consolas" w:eastAsia="Consolas"/>
          <w:sz w:val="18"/>
          <w:szCs w:val="18"/>
        </w:rPr>
        <w:t xml:space="preserve">│   ├── routes/</w:t>
      </w:r>
      <w:r>
        <w:rPr>
          <w:rFonts w:ascii="Consolas" w:hAnsi="Consolas" w:cs="Consolas" w:eastAsia="Consolas"/>
          <w:sz w:val="18"/>
          <w:szCs w:val="18"/>
        </w:rPr>
        <w:br/>
      </w:r>
      <w:r>
        <w:rPr>
          <w:rFonts w:ascii="Consolas" w:hAnsi="Consolas" w:cs="Consolas" w:eastAsia="Consolas"/>
          <w:sz w:val="18"/>
          <w:szCs w:val="18"/>
        </w:rPr>
        <w:t xml:space="preserve">│   ├── features/</w:t>
      </w:r>
      <w:r>
        <w:rPr>
          <w:rFonts w:ascii="Consolas" w:hAnsi="Consolas" w:cs="Consolas" w:eastAsia="Consolas"/>
          <w:sz w:val="18"/>
          <w:szCs w:val="18"/>
        </w:rPr>
        <w:br/>
      </w:r>
      <w:r>
        <w:rPr>
          <w:rFonts w:ascii="Consolas" w:hAnsi="Consolas" w:cs="Consolas" w:eastAsia="Consolas"/>
          <w:sz w:val="18"/>
          <w:szCs w:val="18"/>
        </w:rPr>
        <w:t xml:space="preserve">│   │   ├── cases/</w:t>
      </w:r>
      <w:r>
        <w:rPr>
          <w:rFonts w:ascii="Consolas" w:hAnsi="Consolas" w:cs="Consolas" w:eastAsia="Consolas"/>
          <w:sz w:val="18"/>
          <w:szCs w:val="18"/>
        </w:rPr>
        <w:br/>
      </w:r>
      <w:r>
        <w:rPr>
          <w:rFonts w:ascii="Consolas" w:hAnsi="Consolas" w:cs="Consolas" w:eastAsia="Consolas"/>
          <w:sz w:val="18"/>
          <w:szCs w:val="18"/>
        </w:rPr>
        <w:t xml:space="preserve">│   │   ├── evidence/</w:t>
      </w:r>
      <w:r>
        <w:rPr>
          <w:rFonts w:ascii="Consolas" w:hAnsi="Consolas" w:cs="Consolas" w:eastAsia="Consolas"/>
          <w:sz w:val="18"/>
          <w:szCs w:val="18"/>
        </w:rPr>
        <w:br/>
      </w:r>
      <w:r>
        <w:rPr>
          <w:rFonts w:ascii="Consolas" w:hAnsi="Consolas" w:cs="Consolas" w:eastAsia="Consolas"/>
          <w:sz w:val="18"/>
          <w:szCs w:val="18"/>
        </w:rPr>
        <w:t xml:space="preserve">│   │   ├── entities/</w:t>
      </w:r>
      <w:r>
        <w:rPr>
          <w:rFonts w:ascii="Consolas" w:hAnsi="Consolas" w:cs="Consolas" w:eastAsia="Consolas"/>
          <w:sz w:val="18"/>
          <w:szCs w:val="18"/>
        </w:rPr>
        <w:br/>
      </w:r>
      <w:r>
        <w:rPr>
          <w:rFonts w:ascii="Consolas" w:hAnsi="Consolas" w:cs="Consolas" w:eastAsia="Consolas"/>
          <w:sz w:val="18"/>
          <w:szCs w:val="18"/>
        </w:rPr>
        <w:t xml:space="preserve">│   │   ├── investigation-graph/</w:t>
      </w:r>
      <w:r>
        <w:rPr>
          <w:rFonts w:ascii="Consolas" w:hAnsi="Consolas" w:cs="Consolas" w:eastAsia="Consolas"/>
          <w:sz w:val="18"/>
          <w:szCs w:val="18"/>
        </w:rPr>
        <w:br/>
      </w:r>
      <w:r>
        <w:rPr>
          <w:rFonts w:ascii="Consolas" w:hAnsi="Consolas" w:cs="Consolas" w:eastAsia="Consolas"/>
          <w:sz w:val="18"/>
          <w:szCs w:val="18"/>
        </w:rPr>
        <w:t xml:space="preserve">│   │   ├── timeline/</w:t>
      </w:r>
      <w:r>
        <w:rPr>
          <w:rFonts w:ascii="Consolas" w:hAnsi="Consolas" w:cs="Consolas" w:eastAsia="Consolas"/>
          <w:sz w:val="18"/>
          <w:szCs w:val="18"/>
        </w:rPr>
        <w:br/>
      </w:r>
      <w:r>
        <w:rPr>
          <w:rFonts w:ascii="Consolas" w:hAnsi="Consolas" w:cs="Consolas" w:eastAsia="Consolas"/>
          <w:sz w:val="18"/>
          <w:szCs w:val="18"/>
        </w:rPr>
        <w:t xml:space="preserve">│   │   ├── value-flows/</w:t>
      </w:r>
      <w:r>
        <w:rPr>
          <w:rFonts w:ascii="Consolas" w:hAnsi="Consolas" w:cs="Consolas" w:eastAsia="Consolas"/>
          <w:sz w:val="18"/>
          <w:szCs w:val="18"/>
        </w:rPr>
        <w:br/>
      </w:r>
      <w:r>
        <w:rPr>
          <w:rFonts w:ascii="Consolas" w:hAnsi="Consolas" w:cs="Consolas" w:eastAsia="Consolas"/>
          <w:sz w:val="18"/>
          <w:szCs w:val="18"/>
        </w:rPr>
        <w:t xml:space="preserve">│   │   ├── typologies/</w:t>
      </w:r>
      <w:r>
        <w:rPr>
          <w:rFonts w:ascii="Consolas" w:hAnsi="Consolas" w:cs="Consolas" w:eastAsia="Consolas"/>
          <w:sz w:val="18"/>
          <w:szCs w:val="18"/>
        </w:rPr>
        <w:br/>
      </w:r>
      <w:r>
        <w:rPr>
          <w:rFonts w:ascii="Consolas" w:hAnsi="Consolas" w:cs="Consolas" w:eastAsia="Consolas"/>
          <w:sz w:val="18"/>
          <w:szCs w:val="18"/>
        </w:rPr>
        <w:t xml:space="preserve">│   │   ├── hypotheses/</w:t>
      </w:r>
      <w:r>
        <w:rPr>
          <w:rFonts w:ascii="Consolas" w:hAnsi="Consolas" w:cs="Consolas" w:eastAsia="Consolas"/>
          <w:sz w:val="18"/>
          <w:szCs w:val="18"/>
        </w:rPr>
        <w:br/>
      </w:r>
      <w:r>
        <w:rPr>
          <w:rFonts w:ascii="Consolas" w:hAnsi="Consolas" w:cs="Consolas" w:eastAsia="Consolas"/>
          <w:sz w:val="18"/>
          <w:szCs w:val="18"/>
        </w:rPr>
        <w:t xml:space="preserve">│   │   ├── assessments/</w:t>
      </w:r>
      <w:r>
        <w:rPr>
          <w:rFonts w:ascii="Consolas" w:hAnsi="Consolas" w:cs="Consolas" w:eastAsia="Consolas"/>
          <w:sz w:val="18"/>
          <w:szCs w:val="18"/>
        </w:rPr>
        <w:br/>
      </w:r>
      <w:r>
        <w:rPr>
          <w:rFonts w:ascii="Consolas" w:hAnsi="Consolas" w:cs="Consolas" w:eastAsia="Consolas"/>
          <w:sz w:val="18"/>
          <w:szCs w:val="18"/>
        </w:rPr>
        <w:t xml:space="preserve">│   │   ├── products/</w:t>
      </w:r>
      <w:r>
        <w:rPr>
          <w:rFonts w:ascii="Consolas" w:hAnsi="Consolas" w:cs="Consolas" w:eastAsia="Consolas"/>
          <w:sz w:val="18"/>
          <w:szCs w:val="18"/>
        </w:rPr>
        <w:br/>
      </w:r>
      <w:r>
        <w:rPr>
          <w:rFonts w:ascii="Consolas" w:hAnsi="Consolas" w:cs="Consolas" w:eastAsia="Consolas"/>
          <w:sz w:val="18"/>
          <w:szCs w:val="18"/>
        </w:rPr>
        <w:t xml:space="preserve">│   │   └── reviews/</w:t>
      </w:r>
      <w:r>
        <w:rPr>
          <w:rFonts w:ascii="Consolas" w:hAnsi="Consolas" w:cs="Consolas" w:eastAsia="Consolas"/>
          <w:sz w:val="18"/>
          <w:szCs w:val="18"/>
        </w:rPr>
        <w:br/>
      </w:r>
      <w:r>
        <w:rPr>
          <w:rFonts w:ascii="Consolas" w:hAnsi="Consolas" w:cs="Consolas" w:eastAsia="Consolas"/>
          <w:sz w:val="18"/>
          <w:szCs w:val="18"/>
        </w:rPr>
        <w:t xml:space="preserve">│   ├── components/</w:t>
      </w:r>
      <w:r>
        <w:rPr>
          <w:rFonts w:ascii="Consolas" w:hAnsi="Consolas" w:cs="Consolas" w:eastAsia="Consolas"/>
          <w:sz w:val="18"/>
          <w:szCs w:val="18"/>
        </w:rPr>
        <w:br/>
      </w:r>
      <w:r>
        <w:rPr>
          <w:rFonts w:ascii="Consolas" w:hAnsi="Consolas" w:cs="Consolas" w:eastAsia="Consolas"/>
          <w:sz w:val="18"/>
          <w:szCs w:val="18"/>
        </w:rPr>
        <w:t xml:space="preserve">│   ├── api/</w:t>
      </w:r>
      <w:r>
        <w:rPr>
          <w:rFonts w:ascii="Consolas" w:hAnsi="Consolas" w:cs="Consolas" w:eastAsia="Consolas"/>
          <w:sz w:val="18"/>
          <w:szCs w:val="18"/>
        </w:rPr>
        <w:br/>
      </w:r>
      <w:r>
        <w:rPr>
          <w:rFonts w:ascii="Consolas" w:hAnsi="Consolas" w:cs="Consolas" w:eastAsia="Consolas"/>
          <w:sz w:val="18"/>
          <w:szCs w:val="18"/>
        </w:rPr>
        <w:t xml:space="preserve">│   ├── auth/</w:t>
      </w:r>
      <w:r>
        <w:rPr>
          <w:rFonts w:ascii="Consolas" w:hAnsi="Consolas" w:cs="Consolas" w:eastAsia="Consolas"/>
          <w:sz w:val="18"/>
          <w:szCs w:val="18"/>
        </w:rPr>
        <w:br/>
      </w:r>
      <w:r>
        <w:rPr>
          <w:rFonts w:ascii="Consolas" w:hAnsi="Consolas" w:cs="Consolas" w:eastAsia="Consolas"/>
          <w:sz w:val="18"/>
          <w:szCs w:val="18"/>
        </w:rPr>
        <w:t xml:space="preserve">│   ├── design-system/</w:t>
      </w:r>
      <w:r>
        <w:rPr>
          <w:rFonts w:ascii="Consolas" w:hAnsi="Consolas" w:cs="Consolas" w:eastAsia="Consolas"/>
          <w:sz w:val="18"/>
          <w:szCs w:val="18"/>
        </w:rPr>
        <w:br/>
      </w:r>
      <w:r>
        <w:rPr>
          <w:rFonts w:ascii="Consolas" w:hAnsi="Consolas" w:cs="Consolas" w:eastAsia="Consolas"/>
          <w:sz w:val="18"/>
          <w:szCs w:val="18"/>
        </w:rPr>
        <w:t xml:space="preserve">│   └── test/</w:t>
      </w:r>
      <w:r>
        <w:rPr>
          <w:rFonts w:ascii="Consolas" w:hAnsi="Consolas" w:cs="Consolas" w:eastAsia="Consolas"/>
          <w:sz w:val="18"/>
          <w:szCs w:val="18"/>
        </w:rPr>
        <w:br/>
      </w:r>
      <w:r>
        <w:rPr>
          <w:rFonts w:ascii="Consolas" w:hAnsi="Consolas" w:cs="Consolas" w:eastAsia="Consolas"/>
          <w:sz w:val="18"/>
          <w:szCs w:val="18"/>
        </w:rPr>
        <w:t xml:space="preserve">└── e2e/</w:t>
      </w:r>
    </w:p>
    <w:p>
      <w:pPr>
        <w:pStyle w:val="FirstParagraph"/>
      </w:pPr>
      <w:r>
        <w:t xml:space="preserve">Frontend features SHALL mirror product capabilities rather than backend table names. The browser SHALL NOT be responsible for deciding whether an operation is authorized, whether a relationship is valid, or whether an analytical class can transition; it may only present server-provided permissions and validation outcomes.</w:t>
      </w:r>
    </w:p>
    <w:bookmarkEnd w:id="15"/>
    <w:bookmarkStart w:id="16" w:name="X9cc5013260405a360eb9d00d237602578a78042"/>
    <w:p>
      <w:pPr>
        <w:pStyle w:val="Heading1"/>
      </w:pPr>
      <w:r>
        <w:t xml:space="preserve">8. Canonical Data Storage Rules</w:t>
      </w:r>
    </w:p>
    <w:tbl>
      <w:tblPr>
        <w:tblStyle w:val="Table"/>
        <w:tblW w:type="pct" w:w="5000"/>
        <w:tblLayout w:type="fixed"/>
        <w:tblLook w:firstRow="1" w:lastRow="0" w:firstColumn="0" w:lastColumn="0" w:noHBand="0" w:noVBand="0" w:val="0020"/>
      </w:tblPr>
      <w:tblGrid>
        <w:gridCol w:w="606"/>
        <w:gridCol w:w="7313"/>
      </w:tblGrid>
      <w:tr>
        <w:trPr>
          <w:tblHeader w:val="on"/>
        </w:trPr>
        <w:tc>
          <w:tcPr/>
          <w:p>
            <w:pPr>
              <w:pStyle w:val="TableText"/>
            </w:pPr>
            <w:r>
              <w:rPr>
                <w:b/>
                <w:bCs/>
              </w:rPr>
              <w:t xml:space="preserve">ID</w:t>
            </w:r>
          </w:p>
        </w:tc>
        <w:tc>
          <w:tcPr/>
          <w:p>
            <w:pPr>
              <w:pStyle w:val="TableText"/>
            </w:pPr>
            <w:r>
              <w:rPr>
                <w:b/>
                <w:bCs/>
              </w:rPr>
              <w:t xml:space="preserve">Requirement</w:t>
            </w:r>
          </w:p>
        </w:tc>
      </w:tr>
      <w:tr>
        <w:tc>
          <w:tcPr/>
          <w:p>
            <w:pPr>
              <w:pStyle w:val="TableText"/>
            </w:pPr>
            <w:r>
              <w:t xml:space="preserve">DB-01</w:t>
            </w:r>
          </w:p>
        </w:tc>
        <w:tc>
          <w:tcPr/>
          <w:p>
            <w:pPr>
              <w:pStyle w:val="TableText"/>
            </w:pPr>
            <w:r>
              <w:t xml:space="preserve">PostgreSQL is canonical for analytical records, metadata, workflow state, access relationships and audit references.</w:t>
            </w:r>
          </w:p>
        </w:tc>
      </w:tr>
      <w:tr>
        <w:tc>
          <w:tcPr/>
          <w:p>
            <w:pPr>
              <w:pStyle w:val="TableText"/>
            </w:pPr>
            <w:r>
              <w:t xml:space="preserve">DB-02</w:t>
            </w:r>
          </w:p>
        </w:tc>
        <w:tc>
          <w:tcPr/>
          <w:p>
            <w:pPr>
              <w:pStyle w:val="TableText"/>
            </w:pPr>
            <w:r>
              <w:t xml:space="preserve">Evidence binaries SHALL NOT be stored as large database blobs unless a deployment ADR explicitly chooses that mode.</w:t>
            </w:r>
          </w:p>
        </w:tc>
      </w:tr>
      <w:tr>
        <w:tc>
          <w:tcPr/>
          <w:p>
            <w:pPr>
              <w:pStyle w:val="TableText"/>
            </w:pPr>
            <w:r>
              <w:t xml:space="preserve">DB-03</w:t>
            </w:r>
          </w:p>
        </w:tc>
        <w:tc>
          <w:tcPr/>
          <w:p>
            <w:pPr>
              <w:pStyle w:val="TableText"/>
            </w:pPr>
            <w:r>
              <w:t xml:space="preserve">Every canonical object SHALL use stable UUID identifiers and created/updated/version metadata.</w:t>
            </w:r>
          </w:p>
        </w:tc>
      </w:tr>
      <w:tr>
        <w:tc>
          <w:tcPr/>
          <w:p>
            <w:pPr>
              <w:pStyle w:val="TableText"/>
            </w:pPr>
            <w:r>
              <w:t xml:space="preserve">DB-04</w:t>
            </w:r>
          </w:p>
        </w:tc>
        <w:tc>
          <w:tcPr/>
          <w:p>
            <w:pPr>
              <w:pStyle w:val="TableText"/>
            </w:pPr>
            <w:r>
              <w:t xml:space="preserve">Material deletes SHOULD be logical/superseding operations where historical reconstruction is required.</w:t>
            </w:r>
          </w:p>
        </w:tc>
      </w:tr>
      <w:tr>
        <w:tc>
          <w:tcPr/>
          <w:p>
            <w:pPr>
              <w:pStyle w:val="TableText"/>
            </w:pPr>
            <w:r>
              <w:t xml:space="preserve">DB-05</w:t>
            </w:r>
          </w:p>
        </w:tc>
        <w:tc>
          <w:tcPr/>
          <w:p>
            <w:pPr>
              <w:pStyle w:val="TableText"/>
            </w:pPr>
            <w:r>
              <w:t xml:space="preserve">Entity merge/unmerge SHALL preserve merge decision history and original identifiers. Decisions are stored in an append-only</w:t>
            </w:r>
            <w:r>
              <w:t xml:space="preserve"> </w:t>
            </w:r>
            <w:r>
              <w:rPr>
                <w:rStyle w:val="VerbatimChar"/>
              </w:rPr>
              <w:t xml:space="preserve">resolution_decisions</w:t>
            </w:r>
            <w:r>
              <w:t xml:space="preserve"> </w:t>
            </w:r>
            <w:r>
              <w:t xml:space="preserve">table (Data Model v0.1.4 §8.4); entity</w:t>
            </w:r>
            <w:r>
              <w:t xml:space="preserve"> </w:t>
            </w:r>
            <w:r>
              <w:rPr>
                <w:rStyle w:val="VerbatimChar"/>
              </w:rPr>
              <w:t xml:space="preserve">resolution_status</w:t>
            </w:r>
            <w:r>
              <w:t xml:space="preserve"> </w:t>
            </w:r>
            <w:r>
              <w:t xml:space="preserve">is updated only as their effect.</w:t>
            </w:r>
            <w:r>
              <w:t xml:space="preserve"> </w:t>
            </w:r>
            <w:r>
              <w:rPr>
                <w:i/>
                <w:iCs/>
              </w:rPr>
              <w:t xml:space="preserve">[v0.1.1 · ER]</w:t>
            </w:r>
          </w:p>
        </w:tc>
      </w:tr>
      <w:tr>
        <w:tc>
          <w:tcPr/>
          <w:p>
            <w:pPr>
              <w:pStyle w:val="TableText"/>
            </w:pPr>
            <w:r>
              <w:t xml:space="preserve">DB-06</w:t>
            </w:r>
          </w:p>
        </w:tc>
        <w:tc>
          <w:tcPr/>
          <w:p>
            <w:pPr>
              <w:pStyle w:val="TableText"/>
            </w:pPr>
            <w:r>
              <w:t xml:space="preserve">ValueFlow.flow_class SHALL be constrained to the UPPER_SNAKE_CASE values</w:t>
            </w:r>
            <w:r>
              <w:t xml:space="preserve"> </w:t>
            </w:r>
            <w:r>
              <w:rPr>
                <w:rStyle w:val="VerbatimChar"/>
              </w:rPr>
              <w:t xml:space="preserve">DIRECT</w:t>
            </w:r>
            <w:r>
              <w:t xml:space="preserve">,</w:t>
            </w:r>
            <w:r>
              <w:t xml:space="preserve"> </w:t>
            </w:r>
            <w:r>
              <w:rPr>
                <w:rStyle w:val="VerbatimChar"/>
              </w:rPr>
              <w:t xml:space="preserve">DOCUMENTED</w:t>
            </w:r>
            <w:r>
              <w:t xml:space="preserve">,</w:t>
            </w:r>
            <w:r>
              <w:t xml:space="preserve"> </w:t>
            </w:r>
            <w:r>
              <w:rPr>
                <w:rStyle w:val="VerbatimChar"/>
              </w:rPr>
              <w:t xml:space="preserve">RECONSTRUCTED</w:t>
            </w:r>
            <w:r>
              <w:t xml:space="preserve">,</w:t>
            </w:r>
            <w:r>
              <w:t xml:space="preserve"> </w:t>
            </w:r>
            <w:r>
              <w:rPr>
                <w:rStyle w:val="VerbatimChar"/>
              </w:rPr>
              <w:t xml:space="preserve">HYPOTHETICAL</w:t>
            </w:r>
            <w:r>
              <w:t xml:space="preserve">;</w:t>
            </w:r>
            <w:r>
              <w:t xml:space="preserve"> </w:t>
            </w:r>
            <w:r>
              <w:rPr>
                <w:rStyle w:val="VerbatimChar"/>
              </w:rPr>
              <w:t xml:space="preserve">confidence.level</w:t>
            </w:r>
            <w:r>
              <w:t xml:space="preserve"> </w:t>
            </w:r>
            <w:r>
              <w:t xml:space="preserve">to</w:t>
            </w:r>
            <w:r>
              <w:t xml:space="preserve"> </w:t>
            </w:r>
            <w:r>
              <w:rPr>
                <w:rStyle w:val="VerbatimChar"/>
              </w:rPr>
              <w:t xml:space="preserve">HIGH</w:t>
            </w:r>
            <w:r>
              <w:t xml:space="preserve">,</w:t>
            </w:r>
            <w:r>
              <w:t xml:space="preserve"> </w:t>
            </w:r>
            <w:r>
              <w:rPr>
                <w:rStyle w:val="VerbatimChar"/>
              </w:rPr>
              <w:t xml:space="preserve">MODERATE</w:t>
            </w:r>
            <w:r>
              <w:t xml:space="preserve">,</w:t>
            </w:r>
            <w:r>
              <w:t xml:space="preserve"> </w:t>
            </w:r>
            <w:r>
              <w:rPr>
                <w:rStyle w:val="VerbatimChar"/>
              </w:rPr>
              <w:t xml:space="preserve">LOW</w:t>
            </w:r>
            <w:r>
              <w:t xml:space="preserve">,</w:t>
            </w:r>
            <w:r>
              <w:t xml:space="preserve"> </w:t>
            </w:r>
            <w:r>
              <w:rPr>
                <w:rStyle w:val="VerbatimChar"/>
              </w:rPr>
              <w:t xml:space="preserve">INSUFFICIENT_BASIS</w:t>
            </w:r>
            <w:r>
              <w:t xml:space="preserve"> </w:t>
            </w:r>
            <w:r>
              <w:t xml:space="preserve">(never coerced to</w:t>
            </w:r>
            <w:r>
              <w:t xml:space="preserve"> </w:t>
            </w:r>
            <w:r>
              <w:rPr>
                <w:rStyle w:val="VerbatimChar"/>
              </w:rPr>
              <w:t xml:space="preserve">LOW</w:t>
            </w:r>
            <w:r>
              <w:t xml:space="preserve">/null/zero); classification to</w:t>
            </w:r>
            <w:r>
              <w:t xml:space="preserve"> </w:t>
            </w:r>
            <w:r>
              <w:rPr>
                <w:rStyle w:val="VerbatimChar"/>
              </w:rPr>
              <w:t xml:space="preserve">PUBLIC</w:t>
            </w:r>
            <w:r>
              <w:t xml:space="preserve">,</w:t>
            </w:r>
            <w:r>
              <w:t xml:space="preserve"> </w:t>
            </w:r>
            <w:r>
              <w:rPr>
                <w:rStyle w:val="VerbatimChar"/>
              </w:rPr>
              <w:t xml:space="preserve">INTERNAL</w:t>
            </w:r>
            <w:r>
              <w:t xml:space="preserve">,</w:t>
            </w:r>
            <w:r>
              <w:t xml:space="preserve"> </w:t>
            </w:r>
            <w:r>
              <w:rPr>
                <w:rStyle w:val="VerbatimChar"/>
              </w:rPr>
              <w:t xml:space="preserve">SENSITIVE</w:t>
            </w:r>
            <w:r>
              <w:t xml:space="preserve">,</w:t>
            </w:r>
            <w:r>
              <w:t xml:space="preserve"> </w:t>
            </w:r>
            <w:r>
              <w:rPr>
                <w:rStyle w:val="VerbatimChar"/>
              </w:rPr>
              <w:t xml:space="preserve">RESTRICTED</w:t>
            </w:r>
            <w:r>
              <w:t xml:space="preserve">,</w:t>
            </w:r>
            <w:r>
              <w:t xml:space="preserve"> </w:t>
            </w:r>
            <w:r>
              <w:rPr>
                <w:rStyle w:val="VerbatimChar"/>
              </w:rPr>
              <w:t xml:space="preserve">SOURCE_PROTECTED</w:t>
            </w:r>
            <w:r>
              <w:t xml:space="preserve">. Enum values derive from the Data Model Annex A registry.</w:t>
            </w:r>
            <w:r>
              <w:t xml:space="preserve"> </w:t>
            </w:r>
            <w:r>
              <w:rPr>
                <w:i/>
                <w:iCs/>
              </w:rPr>
              <w:t xml:space="preserve">[v0.1.1 · A08, A09]</w:t>
            </w:r>
          </w:p>
        </w:tc>
      </w:tr>
      <w:tr>
        <w:tc>
          <w:tcPr/>
          <w:p>
            <w:pPr>
              <w:pStyle w:val="TableText"/>
            </w:pPr>
            <w:r>
              <w:t xml:space="preserve">DB-07</w:t>
            </w:r>
          </w:p>
        </w:tc>
        <w:tc>
          <w:tcPr/>
          <w:p>
            <w:pPr>
              <w:pStyle w:val="TableText"/>
            </w:pPr>
            <w:r>
              <w:t xml:space="preserve">Unknown numeric values SHALL remain null/unknown and SHALL NOT be coerced to zero.</w:t>
            </w:r>
          </w:p>
        </w:tc>
      </w:tr>
      <w:tr>
        <w:tc>
          <w:tcPr/>
          <w:p>
            <w:pPr>
              <w:pStyle w:val="TableText"/>
            </w:pPr>
            <w:r>
              <w:t xml:space="preserve">DB-08</w:t>
            </w:r>
          </w:p>
        </w:tc>
        <w:tc>
          <w:tcPr/>
          <w:p>
            <w:pPr>
              <w:pStyle w:val="TableText"/>
            </w:pPr>
            <w:r>
              <w:t xml:space="preserve">Canonical records SHALL expose provenance links sufficient to reconstruct material assessments.</w:t>
            </w:r>
          </w:p>
        </w:tc>
      </w:tr>
    </w:tbl>
    <w:bookmarkEnd w:id="16"/>
    <w:bookmarkStart w:id="17" w:name="Xb8144d1053ae1fde30856888a161f52422d516b"/>
    <w:p>
      <w:pPr>
        <w:pStyle w:val="Heading1"/>
      </w:pPr>
      <w:r>
        <w:t xml:space="preserve">9. Evidence Storage and Integrity</w:t>
      </w:r>
    </w:p>
    <w:p>
      <w:pPr>
        <w:pStyle w:val="FirstParagraph"/>
      </w:pPr>
      <w:r>
        <w:t xml:space="preserve">Evidence storage consists of canonical metadata in PostgreSQL plus immutable/versioned objects in S3-compatible storage (versioning/object-lock-capable; product per ADR-0005).</w:t>
      </w:r>
      <w:r>
        <w:t xml:space="preserve"> </w:t>
      </w:r>
      <w:r>
        <w:rPr>
          <w:i/>
          <w:iCs/>
        </w:rPr>
        <w:t xml:space="preserve">[v0.1.1 · A02]</w:t>
      </w:r>
      <w:r>
        <w:t xml:space="preserve"> </w:t>
      </w:r>
      <w:r>
        <w:t xml:space="preserve">User-visible filenames are metadata only; object keys SHALL be opaque and collision-resistant.</w:t>
      </w:r>
    </w:p>
    <w:tbl>
      <w:tblPr>
        <w:tblStyle w:val="Table"/>
        <w:tblW w:type="pct" w:w="5000"/>
        <w:tblLayout w:type="fixed"/>
        <w:tblLook w:firstRow="1" w:lastRow="0" w:firstColumn="0" w:lastColumn="0" w:noHBand="0" w:noVBand="0" w:val="0020"/>
      </w:tblPr>
      <w:tblGrid>
        <w:gridCol w:w="1361"/>
        <w:gridCol w:w="6558"/>
      </w:tblGrid>
      <w:tr>
        <w:trPr>
          <w:tblHeader w:val="on"/>
        </w:trPr>
        <w:tc>
          <w:tcPr/>
          <w:p>
            <w:pPr>
              <w:pStyle w:val="TableText"/>
            </w:pPr>
            <w:r>
              <w:rPr>
                <w:b/>
                <w:bCs/>
              </w:rPr>
              <w:t xml:space="preserve">Concern</w:t>
            </w:r>
          </w:p>
        </w:tc>
        <w:tc>
          <w:tcPr/>
          <w:p>
            <w:pPr>
              <w:pStyle w:val="TableText"/>
            </w:pPr>
            <w:r>
              <w:rPr>
                <w:b/>
                <w:bCs/>
              </w:rPr>
              <w:t xml:space="preserve">MVP requirement</w:t>
            </w:r>
          </w:p>
        </w:tc>
      </w:tr>
      <w:tr>
        <w:tc>
          <w:tcPr/>
          <w:p>
            <w:pPr>
              <w:pStyle w:val="TableText"/>
            </w:pPr>
            <w:r>
              <w:t xml:space="preserve">Original preservation</w:t>
            </w:r>
          </w:p>
        </w:tc>
        <w:tc>
          <w:tcPr/>
          <w:p>
            <w:pPr>
              <w:pStyle w:val="TableText"/>
            </w:pPr>
            <w:r>
              <w:t xml:space="preserve">Original object cannot be overwritten in place by analyst workflows.</w:t>
            </w:r>
          </w:p>
        </w:tc>
      </w:tr>
      <w:tr>
        <w:tc>
          <w:tcPr/>
          <w:p>
            <w:pPr>
              <w:pStyle w:val="TableText"/>
            </w:pPr>
            <w:r>
              <w:t xml:space="preserve">Hashing</w:t>
            </w:r>
          </w:p>
        </w:tc>
        <w:tc>
          <w:tcPr/>
          <w:p>
            <w:pPr>
              <w:pStyle w:val="TableText"/>
            </w:pPr>
            <w:r>
              <w:t xml:space="preserve">SHA-256 recorded at or immediately after acquisition for critical evidence.</w:t>
            </w:r>
          </w:p>
        </w:tc>
      </w:tr>
      <w:tr>
        <w:tc>
          <w:tcPr/>
          <w:p>
            <w:pPr>
              <w:pStyle w:val="TableText"/>
            </w:pPr>
            <w:r>
              <w:t xml:space="preserve">Derivatives</w:t>
            </w:r>
          </w:p>
        </w:tc>
        <w:tc>
          <w:tcPr/>
          <w:p>
            <w:pPr>
              <w:pStyle w:val="TableText"/>
            </w:pPr>
            <w:r>
              <w:t xml:space="preserve">OCR, translation, crop, parsed table or redacted copy gets a new object and parent lineage. OCR / extraction / translation output is a canonical JSON document stored as a derivative EvidenceItem plus a DerivedText record (Data Model §7.7); the worker re-hashes the pinned original before processing (mismatch → FAILED).</w:t>
            </w:r>
            <w:r>
              <w:t xml:space="preserve"> </w:t>
            </w:r>
            <w:r>
              <w:rPr>
                <w:i/>
                <w:iCs/>
              </w:rPr>
              <w:t xml:space="preserve">[v0.1.4 · CR-N-09, CR-N-10]</w:t>
            </w:r>
          </w:p>
        </w:tc>
      </w:tr>
      <w:tr>
        <w:tc>
          <w:tcPr/>
          <w:p>
            <w:pPr>
              <w:pStyle w:val="TableText"/>
            </w:pPr>
            <w:r>
              <w:t xml:space="preserve">Automation engines</w:t>
            </w:r>
          </w:p>
        </w:tc>
        <w:tc>
          <w:tcPr/>
          <w:p>
            <w:pPr>
              <w:pStyle w:val="TableText"/>
            </w:pPr>
            <w:r>
              <w:t xml:space="preserve">Every automation engine (OCR, machine translation, any future AI) runs offline in the worker; engine modules import no network library, models are pinned and integrity-checked, and evidence content never leaves the host. Switches:</w:t>
            </w:r>
            <w:r>
              <w:t xml:space="preserve"> </w:t>
            </w:r>
            <w:r>
              <w:rPr>
                <w:rStyle w:val="VerbatimChar"/>
              </w:rPr>
              <w:t xml:space="preserve">CSAML_OCR_ENABLED</w:t>
            </w:r>
            <w:r>
              <w:t xml:space="preserve">,</w:t>
            </w:r>
            <w:r>
              <w:t xml:space="preserve"> </w:t>
            </w:r>
            <w:r>
              <w:rPr>
                <w:rStyle w:val="VerbatimChar"/>
              </w:rPr>
              <w:t xml:space="preserve">CSAML_OCR_AUTO_AFTER_INGEST</w:t>
            </w:r>
            <w:r>
              <w:t xml:space="preserve"> </w:t>
            </w:r>
            <w:r>
              <w:t xml:space="preserve">(default off),</w:t>
            </w:r>
            <w:r>
              <w:t xml:space="preserve"> </w:t>
            </w:r>
            <w:r>
              <w:rPr>
                <w:rStyle w:val="VerbatimChar"/>
              </w:rPr>
              <w:t xml:space="preserve">CSAML_MT_ENABLED</w:t>
            </w:r>
            <w:r>
              <w:t xml:space="preserve">,</w:t>
            </w:r>
            <w:r>
              <w:t xml:space="preserve"> </w:t>
            </w:r>
            <w:r>
              <w:rPr>
                <w:rStyle w:val="VerbatimChar"/>
              </w:rPr>
              <w:t xml:space="preserve">CSAML_DERIVED_TEXT_SEARCH</w:t>
            </w:r>
            <w:r>
              <w:t xml:space="preserve">.</w:t>
            </w:r>
            <w:r>
              <w:t xml:space="preserve"> </w:t>
            </w:r>
            <w:r>
              <w:rPr>
                <w:i/>
                <w:iCs/>
              </w:rPr>
              <w:t xml:space="preserve">[v0.1.4 · CR-N-10]</w:t>
            </w:r>
          </w:p>
        </w:tc>
      </w:tr>
      <w:tr>
        <w:tc>
          <w:tcPr/>
          <w:p>
            <w:pPr>
              <w:pStyle w:val="TableText"/>
            </w:pPr>
            <w:r>
              <w:t xml:space="preserve">Download authorization</w:t>
            </w:r>
          </w:p>
        </w:tc>
        <w:tc>
          <w:tcPr/>
          <w:p>
            <w:pPr>
              <w:pStyle w:val="TableText"/>
            </w:pPr>
            <w:r>
              <w:t xml:space="preserve">Every download is re-authorized server-side; direct bucket browsing is not exposed.</w:t>
            </w:r>
          </w:p>
        </w:tc>
      </w:tr>
      <w:tr>
        <w:tc>
          <w:tcPr/>
          <w:p>
            <w:pPr>
              <w:pStyle w:val="TableText"/>
            </w:pPr>
            <w:r>
              <w:t xml:space="preserve">Malware handling</w:t>
            </w:r>
          </w:p>
        </w:tc>
        <w:tc>
          <w:tcPr/>
          <w:p>
            <w:pPr>
              <w:pStyle w:val="TableText"/>
            </w:pPr>
            <w:r>
              <w:t xml:space="preserve">Uploads SHOULD be scanned/quarantined before routine analyst download where deployment risk warrants it.</w:t>
            </w:r>
          </w:p>
        </w:tc>
      </w:tr>
      <w:tr>
        <w:tc>
          <w:tcPr/>
          <w:p>
            <w:pPr>
              <w:pStyle w:val="TableText"/>
            </w:pPr>
            <w:r>
              <w:t xml:space="preserve">Metadata</w:t>
            </w:r>
          </w:p>
        </w:tc>
        <w:tc>
          <w:tcPr/>
          <w:p>
            <w:pPr>
              <w:pStyle w:val="TableText"/>
            </w:pPr>
            <w:r>
              <w:t xml:space="preserve">MIME type, byte size, original filename, object key, hash, acquisition time and collector retained.</w:t>
            </w:r>
          </w:p>
        </w:tc>
      </w:tr>
      <w:tr>
        <w:tc>
          <w:tcPr/>
          <w:p>
            <w:pPr>
              <w:pStyle w:val="TableText"/>
            </w:pPr>
            <w:r>
              <w:t xml:space="preserve">Backup</w:t>
            </w:r>
          </w:p>
        </w:tc>
        <w:tc>
          <w:tcPr/>
          <w:p>
            <w:pPr>
              <w:pStyle w:val="TableText"/>
            </w:pPr>
            <w:r>
              <w:t xml:space="preserve">Evidence objects included in backup/replication policy independently from DB metadata.</w:t>
            </w:r>
          </w:p>
        </w:tc>
      </w:tr>
    </w:tbl>
    <w:bookmarkEnd w:id="17"/>
    <w:bookmarkStart w:id="18" w:name="X2467d73aec1578f8caad8b75bae89053e8df851"/>
    <w:p>
      <w:pPr>
        <w:pStyle w:val="Heading1"/>
      </w:pPr>
      <w:r>
        <w:t xml:space="preserve">10. Identity and Authorization Implementation</w:t>
      </w:r>
    </w:p>
    <w:p>
      <w:pPr>
        <w:pStyle w:val="FirstParagraph"/>
      </w:pPr>
      <w:r>
        <w:t xml:space="preserve">Keycloak is the reference identity provider, but CS-AML SHALL depend on OIDC semantics rather than Keycloak-specific session logic. Local authorization remains in CS-AML because case membership, classification, protected-source access, object state and independent-review constraints are application-domain rules.</w:t>
      </w:r>
    </w:p>
    <w:p>
      <w:pPr>
        <w:pStyle w:val="SourceCode"/>
      </w:pPr>
      <w:r>
        <w:rPr>
          <w:rFonts w:ascii="Consolas" w:hAnsi="Consolas" w:cs="Consolas" w:eastAsia="Consolas"/>
          <w:sz w:val="18"/>
          <w:szCs w:val="18"/>
        </w:rPr>
        <w:t xml:space="preserve">Identity decision: IdP / OIDC</w:t>
      </w:r>
      <w:r>
        <w:rPr>
          <w:rFonts w:ascii="Consolas" w:hAnsi="Consolas" w:cs="Consolas" w:eastAsia="Consolas"/>
          <w:sz w:val="18"/>
          <w:szCs w:val="18"/>
        </w:rPr>
        <w:br/>
      </w:r>
      <w:r>
        <w:rPr>
          <w:rFonts w:ascii="Consolas" w:hAnsi="Consolas" w:cs="Consolas" w:eastAsia="Consolas"/>
          <w:sz w:val="18"/>
          <w:szCs w:val="18"/>
        </w:rPr>
        <w:t xml:space="preserve">        |</w:t>
      </w:r>
      <w:r>
        <w:rPr>
          <w:rFonts w:ascii="Consolas" w:hAnsi="Consolas" w:cs="Consolas" w:eastAsia="Consolas"/>
          <w:sz w:val="18"/>
          <w:szCs w:val="18"/>
        </w:rPr>
        <w:br/>
      </w:r>
      <w:r>
        <w:rPr>
          <w:rFonts w:ascii="Consolas" w:hAnsi="Consolas" w:cs="Consolas" w:eastAsia="Consolas"/>
          <w:sz w:val="18"/>
          <w:szCs w:val="18"/>
        </w:rPr>
        <w:t xml:space="preserve">        v</w:t>
      </w:r>
      <w:r>
        <w:rPr>
          <w:rFonts w:ascii="Consolas" w:hAnsi="Consolas" w:cs="Consolas" w:eastAsia="Consolas"/>
          <w:sz w:val="18"/>
          <w:szCs w:val="18"/>
        </w:rPr>
        <w:br/>
      </w:r>
      <w:r>
        <w:rPr>
          <w:rFonts w:ascii="Consolas" w:hAnsi="Consolas" w:cs="Consolas" w:eastAsia="Consolas"/>
          <w:sz w:val="18"/>
          <w:szCs w:val="18"/>
        </w:rPr>
        <w:t xml:space="preserve">Local user + organisation mapping</w:t>
      </w:r>
      <w:r>
        <w:rPr>
          <w:rFonts w:ascii="Consolas" w:hAnsi="Consolas" w:cs="Consolas" w:eastAsia="Consolas"/>
          <w:sz w:val="18"/>
          <w:szCs w:val="18"/>
        </w:rPr>
        <w:br/>
      </w:r>
      <w:r>
        <w:rPr>
          <w:rFonts w:ascii="Consolas" w:hAnsi="Consolas" w:cs="Consolas" w:eastAsia="Consolas"/>
          <w:sz w:val="18"/>
          <w:szCs w:val="18"/>
        </w:rPr>
        <w:t xml:space="preserve">        |</w:t>
      </w:r>
      <w:r>
        <w:rPr>
          <w:rFonts w:ascii="Consolas" w:hAnsi="Consolas" w:cs="Consolas" w:eastAsia="Consolas"/>
          <w:sz w:val="18"/>
          <w:szCs w:val="18"/>
        </w:rPr>
        <w:br/>
      </w:r>
      <w:r>
        <w:rPr>
          <w:rFonts w:ascii="Consolas" w:hAnsi="Consolas" w:cs="Consolas" w:eastAsia="Consolas"/>
          <w:sz w:val="18"/>
          <w:szCs w:val="18"/>
        </w:rPr>
        <w:t xml:space="preserve">        v</w:t>
      </w:r>
      <w:r>
        <w:rPr>
          <w:rFonts w:ascii="Consolas" w:hAnsi="Consolas" w:cs="Consolas" w:eastAsia="Consolas"/>
          <w:sz w:val="18"/>
          <w:szCs w:val="18"/>
        </w:rPr>
        <w:br/>
      </w:r>
      <w:r>
        <w:rPr>
          <w:rFonts w:ascii="Consolas" w:hAnsi="Consolas" w:cs="Consolas" w:eastAsia="Consolas"/>
          <w:sz w:val="18"/>
          <w:szCs w:val="18"/>
        </w:rPr>
        <w:t xml:space="preserve">CS-AML authorization policy</w:t>
      </w:r>
      <w:r>
        <w:rPr>
          <w:rFonts w:ascii="Consolas" w:hAnsi="Consolas" w:cs="Consolas" w:eastAsia="Consolas"/>
          <w:sz w:val="18"/>
          <w:szCs w:val="18"/>
        </w:rPr>
        <w:br/>
      </w:r>
      <w:r>
        <w:rPr>
          <w:rFonts w:ascii="Consolas" w:hAnsi="Consolas" w:cs="Consolas" w:eastAsia="Consolas"/>
          <w:sz w:val="18"/>
          <w:szCs w:val="18"/>
        </w:rPr>
        <w:t xml:space="preserve">(role + case membership + object classification + action + workflow state)</w:t>
      </w:r>
      <w:r>
        <w:rPr>
          <w:rFonts w:ascii="Consolas" w:hAnsi="Consolas" w:cs="Consolas" w:eastAsia="Consolas"/>
          <w:sz w:val="18"/>
          <w:szCs w:val="18"/>
        </w:rPr>
        <w:br/>
      </w:r>
      <w:r>
        <w:rPr>
          <w:rFonts w:ascii="Consolas" w:hAnsi="Consolas" w:cs="Consolas" w:eastAsia="Consolas"/>
          <w:sz w:val="18"/>
          <w:szCs w:val="18"/>
        </w:rPr>
        <w:t xml:space="preserve">        |</w:t>
      </w:r>
      <w:r>
        <w:rPr>
          <w:rFonts w:ascii="Consolas" w:hAnsi="Consolas" w:cs="Consolas" w:eastAsia="Consolas"/>
          <w:sz w:val="18"/>
          <w:szCs w:val="18"/>
        </w:rPr>
        <w:br/>
      </w:r>
      <w:r>
        <w:rPr>
          <w:rFonts w:ascii="Consolas" w:hAnsi="Consolas" w:cs="Consolas" w:eastAsia="Consolas"/>
          <w:sz w:val="18"/>
          <w:szCs w:val="18"/>
        </w:rPr>
        <w:t xml:space="preserve">        v</w:t>
      </w:r>
      <w:r>
        <w:rPr>
          <w:rFonts w:ascii="Consolas" w:hAnsi="Consolas" w:cs="Consolas" w:eastAsia="Consolas"/>
          <w:sz w:val="18"/>
          <w:szCs w:val="18"/>
        </w:rPr>
        <w:br/>
      </w:r>
      <w:r>
        <w:rPr>
          <w:rFonts w:ascii="Consolas" w:hAnsi="Consolas" w:cs="Consolas" w:eastAsia="Consolas"/>
          <w:sz w:val="18"/>
          <w:szCs w:val="18"/>
        </w:rPr>
        <w:t xml:space="preserve">Allow / deny + audit context</w:t>
      </w:r>
    </w:p>
    <w:p>
      <w:pPr>
        <w:numPr>
          <w:ilvl w:val="0"/>
          <w:numId w:val="1001"/>
        </w:numPr>
      </w:pPr>
      <w:r>
        <w:t xml:space="preserve">Browser authentication SHALL use a server-side session (BFF): Django is a confidential OIDC client of Keycloak (Authorization Code + PKCE); access/refresh/ID tokens stay server-side; the browser holds only the</w:t>
      </w:r>
      <w:r>
        <w:t xml:space="preserve"> </w:t>
      </w:r>
      <w:r>
        <w:rPr>
          <w:rStyle w:val="VerbatimChar"/>
        </w:rPr>
        <w:t xml:space="preserve">__Host-csaml_session</w:t>
      </w:r>
      <w:r>
        <w:t xml:space="preserve"> </w:t>
      </w:r>
      <w:r>
        <w:t xml:space="preserve">cookie (HttpOnly, Secure, SameSite=Lax, Path=/) and sends</w:t>
      </w:r>
      <w:r>
        <w:t xml:space="preserve"> </w:t>
      </w:r>
      <w:r>
        <w:rPr>
          <w:rStyle w:val="VerbatimChar"/>
        </w:rPr>
        <w:t xml:space="preserve">X-CSRFToken</w:t>
      </w:r>
      <w:r>
        <w:t xml:space="preserve"> </w:t>
      </w:r>
      <w:r>
        <w:t xml:space="preserve">on unsafe methods. Endpoints</w:t>
      </w:r>
      <w:r>
        <w:t xml:space="preserve"> </w:t>
      </w:r>
      <w:r>
        <w:rPr>
          <w:rStyle w:val="VerbatimChar"/>
        </w:rPr>
        <w:t xml:space="preserve">/auth/login</w:t>
      </w:r>
      <w:r>
        <w:t xml:space="preserve">,</w:t>
      </w:r>
      <w:r>
        <w:t xml:space="preserve"> </w:t>
      </w:r>
      <w:r>
        <w:rPr>
          <w:rStyle w:val="VerbatimChar"/>
        </w:rPr>
        <w:t xml:space="preserve">/auth/callback</w:t>
      </w:r>
      <w:r>
        <w:t xml:space="preserve">,</w:t>
      </w:r>
      <w:r>
        <w:t xml:space="preserve"> </w:t>
      </w:r>
      <w:r>
        <w:rPr>
          <w:rStyle w:val="VerbatimChar"/>
        </w:rPr>
        <w:t xml:space="preserve">/auth/logout</w:t>
      </w:r>
      <w:r>
        <w:t xml:space="preserve">,</w:t>
      </w:r>
      <w:r>
        <w:t xml:space="preserve"> </w:t>
      </w:r>
      <w:r>
        <w:rPr>
          <w:rStyle w:val="VerbatimChar"/>
        </w:rPr>
        <w:t xml:space="preserve">/auth/session</w:t>
      </w:r>
      <w:r>
        <w:t xml:space="preserve"> </w:t>
      </w:r>
      <w:r>
        <w:t xml:space="preserve">are defined in the API Specification v0.1.4 §4.</w:t>
      </w:r>
      <w:r>
        <w:t xml:space="preserve"> </w:t>
      </w:r>
      <w:r>
        <w:rPr>
          <w:i/>
          <w:iCs/>
        </w:rPr>
        <w:t xml:space="preserve">[v0.1.1 · A11]</w:t>
      </w:r>
      <w:r>
        <w:t xml:space="preserve"> </w:t>
      </w:r>
      <w:r>
        <w:t xml:space="preserve">The CSRF token is delivered as</w:t>
      </w:r>
      <w:r>
        <w:t xml:space="preserve"> </w:t>
      </w:r>
      <w:r>
        <w:rPr>
          <w:rStyle w:val="VerbatimChar"/>
        </w:rPr>
        <w:t xml:space="preserve">csrf_token</w:t>
      </w:r>
      <w:r>
        <w:t xml:space="preserve"> </w:t>
      </w:r>
      <w:r>
        <w:t xml:space="preserve">in</w:t>
      </w:r>
      <w:r>
        <w:t xml:space="preserve"> </w:t>
      </w:r>
      <w:r>
        <w:rPr>
          <w:rStyle w:val="VerbatimChar"/>
        </w:rPr>
        <w:t xml:space="preserve">GET /auth/session</w:t>
      </w:r>
      <w:r>
        <w:t xml:space="preserve">; its secret lives in the server-side session and there is no JavaScript-readable CSRF cookie. Logout is a top-level form POST that may carry the token as</w:t>
      </w:r>
      <w:r>
        <w:t xml:space="preserve"> </w:t>
      </w:r>
      <w:r>
        <w:rPr>
          <w:rStyle w:val="VerbatimChar"/>
        </w:rPr>
        <w:t xml:space="preserve">csrfmiddlewaretoken</w:t>
      </w:r>
      <w:r>
        <w:t xml:space="preserve">.</w:t>
      </w:r>
      <w:r>
        <w:t xml:space="preserve"> </w:t>
      </w:r>
      <w:r>
        <w:rPr>
          <w:rStyle w:val="VerbatimChar"/>
        </w:rPr>
        <w:t xml:space="preserve">POST /auth/backchannel-logout</w:t>
      </w:r>
      <w:r>
        <w:t xml:space="preserve"> </w:t>
      </w:r>
      <w:r>
        <w:t xml:space="preserve">(OIDC Back-Channel Logout 1.0, signed</w:t>
      </w:r>
      <w:r>
        <w:t xml:space="preserve"> </w:t>
      </w:r>
      <w:r>
        <w:rPr>
          <w:rStyle w:val="VerbatimChar"/>
        </w:rPr>
        <w:t xml:space="preserve">logout_token</w:t>
      </w:r>
      <w:r>
        <w:t xml:space="preserve">, CSRF-exempt) lets Keycloak revoke server-side sessions.</w:t>
      </w:r>
      <w:r>
        <w:t xml:space="preserve"> </w:t>
      </w:r>
      <w:r>
        <w:rPr>
          <w:i/>
          <w:iCs/>
        </w:rPr>
        <w:t xml:space="preserve">[v0.1.2 · CR-I1-03, CR-I1-04, CR-I1-05]</w:t>
      </w:r>
    </w:p>
    <w:p>
      <w:pPr>
        <w:numPr>
          <w:ilvl w:val="0"/>
          <w:numId w:val="1001"/>
        </w:numPr>
      </w:pPr>
      <w:r>
        <w:t xml:space="preserve">Principal attribute model (clearance). Object classification is matched against IdP realm roles carried in the session: without a clearance role a principal is cleared to</w:t>
      </w:r>
      <w:r>
        <w:t xml:space="preserve"> </w:t>
      </w:r>
      <w:r>
        <w:rPr>
          <w:rStyle w:val="VerbatimChar"/>
        </w:rPr>
        <w:t xml:space="preserve">INTERNAL</w:t>
      </w:r>
      <w:r>
        <w:t xml:space="preserve"> </w:t>
      </w:r>
      <w:r>
        <w:t xml:space="preserve">(and</w:t>
      </w:r>
      <w:r>
        <w:t xml:space="preserve"> </w:t>
      </w:r>
      <w:r>
        <w:rPr>
          <w:rStyle w:val="VerbatimChar"/>
        </w:rPr>
        <w:t xml:space="preserve">PUBLIC</w:t>
      </w:r>
      <w:r>
        <w:t xml:space="preserve">);</w:t>
      </w:r>
      <w:r>
        <w:t xml:space="preserve"> </w:t>
      </w:r>
      <w:r>
        <w:rPr>
          <w:rStyle w:val="VerbatimChar"/>
        </w:rPr>
        <w:t xml:space="preserve">csaml-clearance-sensitive</w:t>
      </w:r>
      <w:r>
        <w:t xml:space="preserve"> </w:t>
      </w:r>
      <w:r>
        <w:t xml:space="preserve">clears up to</w:t>
      </w:r>
      <w:r>
        <w:t xml:space="preserve"> </w:t>
      </w:r>
      <w:r>
        <w:rPr>
          <w:rStyle w:val="VerbatimChar"/>
        </w:rPr>
        <w:t xml:space="preserve">SENSITIVE</w:t>
      </w:r>
      <w:r>
        <w:t xml:space="preserve">;</w:t>
      </w:r>
      <w:r>
        <w:t xml:space="preserve"> </w:t>
      </w:r>
      <w:r>
        <w:rPr>
          <w:rStyle w:val="VerbatimChar"/>
        </w:rPr>
        <w:t xml:space="preserve">csaml-clearance-restricted</w:t>
      </w:r>
      <w:r>
        <w:t xml:space="preserve"> </w:t>
      </w:r>
      <w:r>
        <w:t xml:space="preserve">clears up to</w:t>
      </w:r>
      <w:r>
        <w:t xml:space="preserve"> </w:t>
      </w:r>
      <w:r>
        <w:rPr>
          <w:rStyle w:val="VerbatimChar"/>
        </w:rPr>
        <w:t xml:space="preserve">RESTRICTED</w:t>
      </w:r>
      <w:r>
        <w:t xml:space="preserve">.</w:t>
      </w:r>
      <w:r>
        <w:t xml:space="preserve"> </w:t>
      </w:r>
      <w:r>
        <w:rPr>
          <w:rStyle w:val="VerbatimChar"/>
        </w:rPr>
        <w:t xml:space="preserve">SOURCE_PROTECTED</w:t>
      </w:r>
      <w:r>
        <w:t xml:space="preserve"> </w:t>
      </w:r>
      <w:r>
        <w:t xml:space="preserve">access needs the eligibility role</w:t>
      </w:r>
      <w:r>
        <w:t xml:space="preserve"> </w:t>
      </w:r>
      <w:r>
        <w:rPr>
          <w:rStyle w:val="VerbatimChar"/>
        </w:rPr>
        <w:t xml:space="preserve">csaml-protected-source</w:t>
      </w:r>
      <w:r>
        <w:t xml:space="preserve"> </w:t>
      </w:r>
      <w:r>
        <w:t xml:space="preserve">plus the explicit per-case membership grant</w:t>
      </w:r>
      <w:r>
        <w:t xml:space="preserve"> </w:t>
      </w:r>
      <w:r>
        <w:rPr>
          <w:rStyle w:val="VerbatimChar"/>
        </w:rPr>
        <w:t xml:space="preserve">protected_source_authorized</w:t>
      </w:r>
      <w:r>
        <w:t xml:space="preserve"> </w:t>
      </w:r>
      <w:r>
        <w:t xml:space="preserve">(neither alone suffices). Access labels are matched by roles</w:t>
      </w:r>
      <w:r>
        <w:t xml:space="preserve"> </w:t>
      </w:r>
      <w:r>
        <w:rPr>
          <w:rStyle w:val="VerbatimChar"/>
        </w:rPr>
        <w:t xml:space="preserve">csaml-label-&lt;label&gt;</w:t>
      </w:r>
      <w:r>
        <w:t xml:space="preserve">; a principal needs a role for every label on an object. Unknown or missing classifications or labels fail closed (deny). Clearance is a ceiling on top of case membership and role checks, never a substitute for them (Data Model §16).</w:t>
      </w:r>
      <w:r>
        <w:t xml:space="preserve"> </w:t>
      </w:r>
      <w:r>
        <w:rPr>
          <w:i/>
          <w:iCs/>
        </w:rPr>
        <w:t xml:space="preserve">[v0.1.2 · CR-I1-10]</w:t>
      </w:r>
    </w:p>
    <w:p>
      <w:pPr>
        <w:numPr>
          <w:ilvl w:val="0"/>
          <w:numId w:val="1001"/>
        </w:numPr>
      </w:pPr>
      <w:r>
        <w:t xml:space="preserve">MFA policy SHOULD be enforced by the IdP and verified through authentication context/claims where available.</w:t>
      </w:r>
    </w:p>
    <w:p>
      <w:pPr>
        <w:numPr>
          <w:ilvl w:val="0"/>
          <w:numId w:val="1001"/>
        </w:numPr>
      </w:pPr>
      <w:r>
        <w:t xml:space="preserve">Step-up for high-risk actions: Keycloak levels of authentication ACR 1 = password, ACR 2 = password + TOTP (browser flow with Level-of-Authentication conditions; level 2 max age 0, so every ACR-2 request asks for the code; TOTP SHA-1, 6 digits, 30 s, codes not reusable; users without OTP enrol at their first step-up). The BFF sends</w:t>
      </w:r>
      <w:r>
        <w:t xml:space="preserve"> </w:t>
      </w:r>
      <w:r>
        <w:rPr>
          <w:rStyle w:val="VerbatimChar"/>
        </w:rPr>
        <w:t xml:space="preserve">acr_values=2</w:t>
      </w:r>
      <w:r>
        <w:t xml:space="preserve"> </w:t>
      </w:r>
      <w:r>
        <w:t xml:space="preserve">for</w:t>
      </w:r>
      <w:r>
        <w:t xml:space="preserve"> </w:t>
      </w:r>
      <w:r>
        <w:rPr>
          <w:rStyle w:val="VerbatimChar"/>
        </w:rPr>
        <w:t xml:space="preserve">GET /auth/login?acr=2</w:t>
      </w:r>
      <w:r>
        <w:t xml:space="preserve">, records the verified</w:t>
      </w:r>
      <w:r>
        <w:t xml:space="preserve"> </w:t>
      </w:r>
      <w:r>
        <w:rPr>
          <w:rStyle w:val="VerbatimChar"/>
        </w:rPr>
        <w:t xml:space="preserve">acr</w:t>
      </w:r>
      <w:r>
        <w:t xml:space="preserve"> </w:t>
      </w:r>
      <w:r>
        <w:t xml:space="preserve">and</w:t>
      </w:r>
      <w:r>
        <w:t xml:space="preserve"> </w:t>
      </w:r>
      <w:r>
        <w:rPr>
          <w:rStyle w:val="VerbatimChar"/>
        </w:rPr>
        <w:t xml:space="preserve">auth_time</w:t>
      </w:r>
      <w:r>
        <w:t xml:space="preserve">, and enforces ACR ≥ 2 within</w:t>
      </w:r>
      <w:r>
        <w:t xml:space="preserve"> </w:t>
      </w:r>
      <w:r>
        <w:rPr>
          <w:rStyle w:val="VerbatimChar"/>
        </w:rPr>
        <w:t xml:space="preserve">CSAML_STEP_UP_MAX_AGE_SECONDS</w:t>
      </w:r>
      <w:r>
        <w:t xml:space="preserve"> </w:t>
      </w:r>
      <w:r>
        <w:t xml:space="preserve">(default 900 s; production refuses &lt; 60 s) for the action list in API Specification §4 (403 STEP_UP_REQUIRED). The realm configuration is applied idempotently by a script and mirrored in the development realm file. TOTP is not phishing-resistant; WebAuthn / passkeys for approvers and per-deployment action lists are deferred to v0.2.</w:t>
      </w:r>
      <w:r>
        <w:t xml:space="preserve"> </w:t>
      </w:r>
      <w:r>
        <w:rPr>
          <w:i/>
          <w:iCs/>
        </w:rPr>
        <w:t xml:space="preserve">[v0.1.4 · CR-N-13]</w:t>
      </w:r>
    </w:p>
    <w:p>
      <w:pPr>
        <w:numPr>
          <w:ilvl w:val="0"/>
          <w:numId w:val="1001"/>
        </w:numPr>
      </w:pPr>
      <w:r>
        <w:t xml:space="preserve">Administrative roles and investigative roles SHOULD be separable; platform administrators SHOULD NOT automatically receive access to case content.</w:t>
      </w:r>
    </w:p>
    <w:p>
      <w:pPr>
        <w:numPr>
          <w:ilvl w:val="0"/>
          <w:numId w:val="1001"/>
        </w:numPr>
      </w:pPr>
      <w:r>
        <w:t xml:space="preserve">ProtectedSource identity SHALL use an explicit compartment and dedicated permission.</w:t>
      </w:r>
    </w:p>
    <w:p>
      <w:pPr>
        <w:numPr>
          <w:ilvl w:val="0"/>
          <w:numId w:val="1001"/>
        </w:numPr>
      </w:pPr>
      <w:r>
        <w:t xml:space="preserve">Every export, disclosure, merge, gate approval and review decision SHALL execute a server-side authorization policy.</w:t>
      </w:r>
    </w:p>
    <w:bookmarkEnd w:id="18"/>
    <w:bookmarkStart w:id="19" w:name="X8b9a74f90aa9789a561f007dda5257f8c086c5a"/>
    <w:p>
      <w:pPr>
        <w:pStyle w:val="Heading1"/>
      </w:pPr>
      <w:r>
        <w:t xml:space="preserve">11. API Design Standard</w:t>
      </w:r>
    </w:p>
    <w:p>
      <w:pPr>
        <w:pStyle w:val="FirstParagraph"/>
      </w:pPr>
      <w:r>
        <w:t xml:space="preserve">The MVP API SHALL be REST/JSON and versioned under</w:t>
      </w:r>
      <w:r>
        <w:t xml:space="preserve"> </w:t>
      </w:r>
      <w:r>
        <w:rPr>
          <w:rStyle w:val="VerbatimChar"/>
        </w:rPr>
        <w:t xml:space="preserve">/api/v1/</w:t>
      </w:r>
      <w:r>
        <w:t xml:space="preserve">. The OpenAPI 3.1 contract</w:t>
      </w:r>
      <w:r>
        <w:t xml:space="preserve"> </w:t>
      </w:r>
      <w:r>
        <w:rPr>
          <w:rStyle w:val="VerbatimChar"/>
        </w:rPr>
        <w:t xml:space="preserve">contracts/openapi.yaml</w:t>
      </w:r>
      <w:r>
        <w:t xml:space="preserve"> </w:t>
      </w:r>
      <w:r>
        <w:t xml:space="preserve">(v0.1.2: the P0 vertical slice plus the I3/I4 operations formerly kept as implementation extensions, merged into the single contract</w:t>
      </w:r>
      <w:r>
        <w:t xml:space="preserve"> </w:t>
      </w:r>
      <w:r>
        <w:rPr>
          <w:i/>
          <w:iCs/>
        </w:rPr>
        <w:t xml:space="preserve">[v0.1.2 · CR-I3-01, CR-I4-01]</w:t>
      </w:r>
      <w:r>
        <w:t xml:space="preserve">; written contract-first) SHALL be linted and checked in CI for breaking changes, used to generate the TypeScript client, and exercised by contract tests; once code exists, the schema generated from the implementation SHALL be diffed against it.</w:t>
      </w:r>
      <w:r>
        <w:t xml:space="preserve"> </w:t>
      </w:r>
      <w:r>
        <w:rPr>
          <w:i/>
          <w:iCs/>
        </w:rPr>
        <w:t xml:space="preserve">[v0.1.1 · A11]</w:t>
      </w:r>
      <w:r>
        <w:t xml:space="preserve"> </w:t>
      </w:r>
      <w:r>
        <w:t xml:space="preserve">IDs SHALL be opaque UUIDs. Internal database primary-key assumptions SHALL NOT appear in public contracts.</w:t>
      </w:r>
    </w:p>
    <w:tbl>
      <w:tblPr>
        <w:tblStyle w:val="Table"/>
        <w:tblW w:type="pct" w:w="5000"/>
        <w:tblLayout w:type="fixed"/>
        <w:tblLook w:firstRow="1" w:lastRow="0" w:firstColumn="0" w:lastColumn="0" w:noHBand="0" w:noVBand="0" w:val="0020"/>
      </w:tblPr>
      <w:tblGrid>
        <w:gridCol w:w="1455"/>
        <w:gridCol w:w="6464"/>
      </w:tblGrid>
      <w:tr>
        <w:trPr>
          <w:tblHeader w:val="on"/>
        </w:trPr>
        <w:tc>
          <w:tcPr/>
          <w:p>
            <w:pPr>
              <w:pStyle w:val="TableText"/>
            </w:pPr>
            <w:r>
              <w:rPr>
                <w:b/>
                <w:bCs/>
              </w:rPr>
              <w:t xml:space="preserve">Area</w:t>
            </w:r>
          </w:p>
        </w:tc>
        <w:tc>
          <w:tcPr/>
          <w:p>
            <w:pPr>
              <w:pStyle w:val="TableText"/>
            </w:pPr>
            <w:r>
              <w:rPr>
                <w:b/>
                <w:bCs/>
              </w:rPr>
              <w:t xml:space="preserve">Convention</w:t>
            </w:r>
          </w:p>
        </w:tc>
      </w:tr>
      <w:tr>
        <w:tc>
          <w:tcPr/>
          <w:p>
            <w:pPr>
              <w:pStyle w:val="TableText"/>
            </w:pPr>
            <w:r>
              <w:t xml:space="preserve">Base path</w:t>
            </w:r>
          </w:p>
        </w:tc>
        <w:tc>
          <w:tcPr/>
          <w:p>
            <w:pPr>
              <w:pStyle w:val="TableText"/>
            </w:pPr>
            <w:r>
              <w:t xml:space="preserve">/api/v1/</w:t>
            </w:r>
          </w:p>
        </w:tc>
      </w:tr>
      <w:tr>
        <w:tc>
          <w:tcPr/>
          <w:p>
            <w:pPr>
              <w:pStyle w:val="TableText"/>
            </w:pPr>
            <w:r>
              <w:t xml:space="preserve">Authentication</w:t>
            </w:r>
          </w:p>
        </w:tc>
        <w:tc>
          <w:tcPr/>
          <w:p>
            <w:pPr>
              <w:pStyle w:val="TableText"/>
            </w:pPr>
            <w:r>
              <w:t xml:space="preserve">Server-side OIDC session (BFF); session cookie only, no bearer tokens from browsers;</w:t>
            </w:r>
            <w:r>
              <w:t xml:space="preserve"> </w:t>
            </w:r>
            <w:r>
              <w:rPr>
                <w:rStyle w:val="VerbatimChar"/>
              </w:rPr>
              <w:t xml:space="preserve">X-CSRFToken</w:t>
            </w:r>
            <w:r>
              <w:t xml:space="preserve"> </w:t>
            </w:r>
            <w:r>
              <w:t xml:space="preserve">on every unsafe method; same-origin, CORS disabled by default</w:t>
            </w:r>
            <w:r>
              <w:t xml:space="preserve"> </w:t>
            </w:r>
            <w:r>
              <w:rPr>
                <w:i/>
                <w:iCs/>
              </w:rPr>
              <w:t xml:space="preserve">[v0.1.1 · A11]</w:t>
            </w:r>
          </w:p>
        </w:tc>
      </w:tr>
      <w:tr>
        <w:tc>
          <w:tcPr/>
          <w:p>
            <w:pPr>
              <w:pStyle w:val="TableText"/>
            </w:pPr>
            <w:r>
              <w:t xml:space="preserve">Errors</w:t>
            </w:r>
          </w:p>
        </w:tc>
        <w:tc>
          <w:tcPr/>
          <w:p>
            <w:pPr>
              <w:pStyle w:val="TableText"/>
            </w:pPr>
            <w:r>
              <w:t xml:space="preserve">Stable machine code + human message + correlation ID; no sensitive existence leakage</w:t>
            </w:r>
          </w:p>
        </w:tc>
      </w:tr>
      <w:tr>
        <w:tc>
          <w:tcPr/>
          <w:p>
            <w:pPr>
              <w:pStyle w:val="TableText"/>
            </w:pPr>
            <w:r>
              <w:t xml:space="preserve">Pagination</w:t>
            </w:r>
          </w:p>
        </w:tc>
        <w:tc>
          <w:tcPr/>
          <w:p>
            <w:pPr>
              <w:pStyle w:val="TableText"/>
            </w:pPr>
            <w:r>
              <w:t xml:space="preserve">Cursor or stable page pagination for large collections</w:t>
            </w:r>
          </w:p>
        </w:tc>
      </w:tr>
      <w:tr>
        <w:tc>
          <w:tcPr/>
          <w:p>
            <w:pPr>
              <w:pStyle w:val="TableText"/>
            </w:pPr>
            <w:r>
              <w:t xml:space="preserve">Filtering</w:t>
            </w:r>
          </w:p>
        </w:tc>
        <w:tc>
          <w:tcPr/>
          <w:p>
            <w:pPr>
              <w:pStyle w:val="TableText"/>
            </w:pPr>
            <w:r>
              <w:t xml:space="preserve">Explicit allowlisted fields; permission filtering occurs before result shaping</w:t>
            </w:r>
          </w:p>
        </w:tc>
      </w:tr>
      <w:tr>
        <w:tc>
          <w:tcPr/>
          <w:p>
            <w:pPr>
              <w:pStyle w:val="TableText"/>
            </w:pPr>
            <w:r>
              <w:t xml:space="preserve">Concurrency</w:t>
            </w:r>
          </w:p>
        </w:tc>
        <w:tc>
          <w:tcPr/>
          <w:p>
            <w:pPr>
              <w:pStyle w:val="TableText"/>
            </w:pPr>
            <w:r>
              <w:rPr>
                <w:rStyle w:val="VerbatimChar"/>
              </w:rPr>
              <w:t xml:space="preserve">ETag: "&lt;record_version&gt;"</w:t>
            </w:r>
            <w:r>
              <w:t xml:space="preserve"> </w:t>
            </w:r>
            <w:r>
              <w:t xml:space="preserve">on GET;</w:t>
            </w:r>
            <w:r>
              <w:t xml:space="preserve"> </w:t>
            </w:r>
            <w:r>
              <w:rPr>
                <w:rStyle w:val="VerbatimChar"/>
              </w:rPr>
              <w:t xml:space="preserve">If-Match</w:t>
            </w:r>
            <w:r>
              <w:t xml:space="preserve"> </w:t>
            </w:r>
            <w:r>
              <w:t xml:space="preserve">REQUIRED on mutations of versioned resources; missing → 428, stale → 412 PRECONDITION_FAILED; 409 STATE_CONFLICT for workflow conflicts only</w:t>
            </w:r>
            <w:r>
              <w:t xml:space="preserve"> </w:t>
            </w:r>
            <w:r>
              <w:rPr>
                <w:i/>
                <w:iCs/>
              </w:rPr>
              <w:t xml:space="preserve">[v0.1.1 · A04]</w:t>
            </w:r>
            <w:r>
              <w:t xml:space="preserve">; exception: multi-entity commands (merge, unmerge, resolution and match-candidate decisions) send body</w:t>
            </w:r>
            <w:r>
              <w:t xml:space="preserve"> </w:t>
            </w:r>
            <w:r>
              <w:rPr>
                <w:rStyle w:val="VerbatimChar"/>
              </w:rPr>
              <w:t xml:space="preserve">expected_versions</w:t>
            </w:r>
            <w:r>
              <w:t xml:space="preserve"> </w:t>
            </w:r>
            <w:r>
              <w:t xml:space="preserve">instead of</w:t>
            </w:r>
            <w:r>
              <w:t xml:space="preserve"> </w:t>
            </w:r>
            <w:r>
              <w:rPr>
                <w:rStyle w:val="VerbatimChar"/>
              </w:rPr>
              <w:t xml:space="preserve">If-Match</w:t>
            </w:r>
            <w:r>
              <w:t xml:space="preserve"> </w:t>
            </w:r>
            <w:r>
              <w:t xml:space="preserve">(missing → 428, mismatch → 412 with</w:t>
            </w:r>
            <w:r>
              <w:t xml:space="preserve"> </w:t>
            </w:r>
            <w:r>
              <w:rPr>
                <w:rStyle w:val="VerbatimChar"/>
              </w:rPr>
              <w:t xml:space="preserve">details.current_record_versions</w:t>
            </w:r>
            <w:r>
              <w:t xml:space="preserve">)</w:t>
            </w:r>
            <w:r>
              <w:t xml:space="preserve"> </w:t>
            </w:r>
            <w:r>
              <w:rPr>
                <w:i/>
                <w:iCs/>
              </w:rPr>
              <w:t xml:space="preserve">[v0.1.1 · C03]</w:t>
            </w:r>
          </w:p>
        </w:tc>
      </w:tr>
      <w:tr>
        <w:tc>
          <w:tcPr/>
          <w:p>
            <w:pPr>
              <w:pStyle w:val="TableText"/>
            </w:pPr>
            <w:r>
              <w:t xml:space="preserve">Idempotency</w:t>
            </w:r>
          </w:p>
        </w:tc>
        <w:tc>
          <w:tcPr/>
          <w:p>
            <w:pPr>
              <w:pStyle w:val="TableText"/>
            </w:pPr>
            <w:r>
              <w:rPr>
                <w:rStyle w:val="VerbatimChar"/>
              </w:rPr>
              <w:t xml:space="preserve">Idempotency-Key</w:t>
            </w:r>
            <w:r>
              <w:t xml:space="preserve"> </w:t>
            </w:r>
            <w:r>
              <w:t xml:space="preserve">(UUID) REQUIRED for evidence ingest finalization, merge/unmerge, review/dissemination approval, export generation; SHOULD for creates; scope, 24 h retention and replay/conflict semantics per API Specification §11</w:t>
            </w:r>
            <w:r>
              <w:t xml:space="preserve"> </w:t>
            </w:r>
            <w:r>
              <w:rPr>
                <w:i/>
                <w:iCs/>
              </w:rPr>
              <w:t xml:space="preserve">[v0.1.1 · A11]</w:t>
            </w:r>
          </w:p>
        </w:tc>
      </w:tr>
      <w:tr>
        <w:tc>
          <w:tcPr/>
          <w:p>
            <w:pPr>
              <w:pStyle w:val="TableText"/>
            </w:pPr>
            <w:r>
              <w:t xml:space="preserve">Schema</w:t>
            </w:r>
          </w:p>
        </w:tc>
        <w:tc>
          <w:tcPr/>
          <w:p>
            <w:pPr>
              <w:pStyle w:val="TableText"/>
            </w:pPr>
            <w:r>
              <w:t xml:space="preserve">Generated OpenAPI 3.1 in</w:t>
            </w:r>
            <w:r>
              <w:t xml:space="preserve"> </w:t>
            </w:r>
            <w:r>
              <w:rPr>
                <w:rStyle w:val="VerbatimChar"/>
              </w:rPr>
              <w:t xml:space="preserve">contracts/openapi.yaml</w:t>
            </w:r>
            <w:r>
              <w:t xml:space="preserve">; lint and contract diff in CI</w:t>
            </w:r>
            <w:r>
              <w:t xml:space="preserve"> </w:t>
            </w:r>
            <w:r>
              <w:rPr>
                <w:i/>
                <w:iCs/>
              </w:rPr>
              <w:t xml:space="preserve">[v0.1.1 · A11]</w:t>
            </w:r>
          </w:p>
        </w:tc>
      </w:tr>
    </w:tbl>
    <w:p>
      <w:pPr>
        <w:pStyle w:val="BodyText"/>
      </w:pPr>
      <w:r>
        <w:t xml:space="preserve">High-impact actions SHOULD use command-style endpoints when a generic CRUD update would obscure required checks, for example</w:t>
      </w:r>
      <w:r>
        <w:t xml:space="preserve"> </w:t>
      </w:r>
      <w:r>
        <w:rPr>
          <w:rStyle w:val="VerbatimChar"/>
        </w:rPr>
        <w:t xml:space="preserve">/entities/merge</w:t>
      </w:r>
      <w:r>
        <w:t xml:space="preserve">,</w:t>
      </w:r>
      <w:r>
        <w:t xml:space="preserve"> </w:t>
      </w:r>
      <w:r>
        <w:rPr>
          <w:rStyle w:val="VerbatimChar"/>
        </w:rPr>
        <w:t xml:space="preserve">/reviews/{id}/approve</w:t>
      </w:r>
      <w:r>
        <w:t xml:space="preserve">,</w:t>
      </w:r>
      <w:r>
        <w:t xml:space="preserve"> </w:t>
      </w:r>
      <w:r>
        <w:rPr>
          <w:rStyle w:val="VerbatimChar"/>
        </w:rPr>
        <w:t xml:space="preserve">/disseminations/{id}/approve</w:t>
      </w:r>
      <w:r>
        <w:t xml:space="preserve">, and</w:t>
      </w:r>
      <w:r>
        <w:t xml:space="preserve"> </w:t>
      </w:r>
      <w:r>
        <w:rPr>
          <w:rStyle w:val="VerbatimChar"/>
        </w:rPr>
        <w:t xml:space="preserve">/cases/{id}/gates/{gate}/approve</w:t>
      </w:r>
      <w:r>
        <w:t xml:space="preserve"> </w:t>
      </w:r>
      <w:r>
        <w:t xml:space="preserve">(aligned with the API Specification v0.1.4 endpoint catalogue).</w:t>
      </w:r>
      <w:r>
        <w:t xml:space="preserve"> </w:t>
      </w:r>
      <w:r>
        <w:rPr>
          <w:i/>
          <w:iCs/>
        </w:rPr>
        <w:t xml:space="preserve">[v0.1.1 · A11]</w:t>
      </w:r>
    </w:p>
    <w:bookmarkEnd w:id="19"/>
    <w:bookmarkStart w:id="20" w:name="X5356950cd7ee1be539ab97ed1af9f1685395f5b"/>
    <w:p>
      <w:pPr>
        <w:pStyle w:val="Heading1"/>
      </w:pPr>
      <w:r>
        <w:t xml:space="preserve">12. Background Jobs and Idempotency</w:t>
      </w:r>
    </w:p>
    <w:tbl>
      <w:tblPr>
        <w:tblStyle w:val="Table"/>
        <w:tblW w:type="pct" w:w="5000"/>
        <w:tblLayout w:type="fixed"/>
        <w:tblLook w:firstRow="1" w:lastRow="0" w:firstColumn="0" w:lastColumn="0" w:noHBand="0" w:noVBand="0" w:val="0020"/>
      </w:tblPr>
      <w:tblGrid>
        <w:gridCol w:w="1361"/>
        <w:gridCol w:w="2413"/>
        <w:gridCol w:w="4144"/>
      </w:tblGrid>
      <w:tr>
        <w:trPr>
          <w:tblHeader w:val="on"/>
        </w:trPr>
        <w:tc>
          <w:tcPr/>
          <w:p>
            <w:pPr>
              <w:pStyle w:val="TableText"/>
              <w:jc w:val="center"/>
            </w:pPr>
            <w:r>
              <w:rPr>
                <w:b/>
                <w:bCs/>
              </w:rPr>
              <w:t xml:space="preserve">Job class</w:t>
            </w:r>
          </w:p>
        </w:tc>
        <w:tc>
          <w:tcPr/>
          <w:p>
            <w:pPr>
              <w:pStyle w:val="TableText"/>
            </w:pPr>
            <w:r>
              <w:rPr>
                <w:b/>
                <w:bCs/>
              </w:rPr>
              <w:t xml:space="preserve">Examples</w:t>
            </w:r>
          </w:p>
        </w:tc>
        <w:tc>
          <w:tcPr/>
          <w:p>
            <w:pPr>
              <w:pStyle w:val="TableText"/>
            </w:pPr>
            <w:r>
              <w:rPr>
                <w:b/>
                <w:bCs/>
              </w:rPr>
              <w:t xml:space="preserve">Rule</w:t>
            </w:r>
          </w:p>
        </w:tc>
      </w:tr>
      <w:tr>
        <w:tc>
          <w:tcPr/>
          <w:p>
            <w:pPr>
              <w:pStyle w:val="TableText"/>
              <w:jc w:val="center"/>
            </w:pPr>
            <w:r>
              <w:t xml:space="preserve">Evidence processing</w:t>
            </w:r>
          </w:p>
        </w:tc>
        <w:tc>
          <w:tcPr/>
          <w:p>
            <w:pPr>
              <w:pStyle w:val="TableText"/>
            </w:pPr>
            <w:r>
              <w:t xml:space="preserve">Hashing, metadata extraction, malware scan</w:t>
            </w:r>
          </w:p>
        </w:tc>
        <w:tc>
          <w:tcPr/>
          <w:p>
            <w:pPr>
              <w:pStyle w:val="TableText"/>
            </w:pPr>
            <w:r>
              <w:t xml:space="preserve">Job result links to evidence version; retry-safe</w:t>
            </w:r>
          </w:p>
        </w:tc>
      </w:tr>
      <w:tr>
        <w:tc>
          <w:tcPr/>
          <w:p>
            <w:pPr>
              <w:pStyle w:val="TableText"/>
              <w:jc w:val="center"/>
            </w:pPr>
            <w:r>
              <w:t xml:space="preserve">Exports</w:t>
            </w:r>
          </w:p>
        </w:tc>
        <w:tc>
          <w:tcPr/>
          <w:p>
            <w:pPr>
              <w:pStyle w:val="TableText"/>
            </w:pPr>
            <w:r>
              <w:t xml:space="preserve">Report package generation</w:t>
            </w:r>
          </w:p>
        </w:tc>
        <w:tc>
          <w:tcPr/>
          <w:p>
            <w:pPr>
              <w:pStyle w:val="TableText"/>
            </w:pPr>
            <w:r>
              <w:t xml:space="preserve">Generate immutable product/export version; no silent overwrite</w:t>
            </w:r>
          </w:p>
        </w:tc>
      </w:tr>
      <w:tr>
        <w:tc>
          <w:tcPr/>
          <w:p>
            <w:pPr>
              <w:pStyle w:val="TableText"/>
              <w:jc w:val="center"/>
            </w:pPr>
            <w:r>
              <w:t xml:space="preserve">Derived text</w:t>
            </w:r>
          </w:p>
        </w:tc>
        <w:tc>
          <w:tcPr/>
          <w:p>
            <w:pPr>
              <w:pStyle w:val="TableText"/>
            </w:pPr>
            <w:r>
              <w:t xml:space="preserve">OCR / text extraction, machine translation (jobs TEXT_EXTRACTION, MACHINE_TRANSLATION)</w:t>
            </w:r>
          </w:p>
        </w:tc>
        <w:tc>
          <w:tcPr/>
          <w:p>
            <w:pPr>
              <w:pStyle w:val="TableText"/>
            </w:pPr>
            <w:r>
              <w:t xml:space="preserve">Offline engines; worker re-checks the requester's rights; per-page timeout and page limit; output immutable once complete</w:t>
            </w:r>
            <w:r>
              <w:t xml:space="preserve"> </w:t>
            </w:r>
            <w:r>
              <w:rPr>
                <w:i/>
                <w:iCs/>
              </w:rPr>
              <w:t xml:space="preserve">[v0.1.4 · CR-N-09, CR-N-10, CR-N-12]</w:t>
            </w:r>
          </w:p>
        </w:tc>
      </w:tr>
      <w:tr>
        <w:tc>
          <w:tcPr/>
          <w:p>
            <w:pPr>
              <w:pStyle w:val="TableText"/>
              <w:jc w:val="center"/>
            </w:pPr>
            <w:r>
              <w:t xml:space="preserve">Projection</w:t>
            </w:r>
          </w:p>
        </w:tc>
        <w:tc>
          <w:tcPr/>
          <w:p>
            <w:pPr>
              <w:pStyle w:val="TableText"/>
            </w:pPr>
            <w:r>
              <w:t xml:space="preserve">Search document or graph projection refresh</w:t>
            </w:r>
          </w:p>
        </w:tc>
        <w:tc>
          <w:tcPr/>
          <w:p>
            <w:pPr>
              <w:pStyle w:val="TableText"/>
            </w:pPr>
            <w:r>
              <w:t xml:space="preserve">Rebuildable; canonical transaction commits first</w:t>
            </w:r>
          </w:p>
        </w:tc>
      </w:tr>
      <w:tr>
        <w:tc>
          <w:tcPr/>
          <w:p>
            <w:pPr>
              <w:pStyle w:val="TableText"/>
              <w:jc w:val="center"/>
            </w:pPr>
            <w:r>
              <w:t xml:space="preserve">Notifications</w:t>
            </w:r>
          </w:p>
        </w:tc>
        <w:tc>
          <w:tcPr/>
          <w:p>
            <w:pPr>
              <w:pStyle w:val="TableText"/>
            </w:pPr>
            <w:r>
              <w:t xml:space="preserve">Review/task notifications</w:t>
            </w:r>
          </w:p>
        </w:tc>
        <w:tc>
          <w:tcPr/>
          <w:p>
            <w:pPr>
              <w:pStyle w:val="TableText"/>
            </w:pPr>
            <w:r>
              <w:t xml:space="preserve">Never include sensitive case payload in external notification by default</w:t>
            </w:r>
          </w:p>
        </w:tc>
      </w:tr>
      <w:tr>
        <w:tc>
          <w:tcPr/>
          <w:p>
            <w:pPr>
              <w:pStyle w:val="TableText"/>
              <w:jc w:val="center"/>
            </w:pPr>
            <w:r>
              <w:t xml:space="preserve">Maintenance</w:t>
            </w:r>
          </w:p>
        </w:tc>
        <w:tc>
          <w:tcPr/>
          <w:p>
            <w:pPr>
              <w:pStyle w:val="TableText"/>
            </w:pPr>
            <w:r>
              <w:t xml:space="preserve">Retention preview, cleanup, integrity verification</w:t>
            </w:r>
          </w:p>
        </w:tc>
        <w:tc>
          <w:tcPr/>
          <w:p>
            <w:pPr>
              <w:pStyle w:val="TableText"/>
            </w:pPr>
            <w:r>
              <w:t xml:space="preserve">Dry-run and auditable for destructive operations</w:t>
            </w:r>
          </w:p>
        </w:tc>
      </w:tr>
    </w:tbl>
    <w:p>
      <w:pPr>
        <w:pStyle w:val="BodyText"/>
      </w:pPr>
      <w:r>
        <w:t xml:space="preserve">Celery tasks SHALL be idempotent or carry deduplication/idempotency keys. A failed projection task MUST NOT roll back a committed canonical analytical action.</w:t>
      </w:r>
    </w:p>
    <w:bookmarkEnd w:id="20"/>
    <w:bookmarkStart w:id="21" w:name="X533e494c19e083b2f36f0579e483184591ecfce"/>
    <w:p>
      <w:pPr>
        <w:pStyle w:val="Heading1"/>
      </w:pPr>
      <w:r>
        <w:t xml:space="preserve">13. Search Strategy for MVP</w:t>
      </w:r>
    </w:p>
    <w:p>
      <w:pPr>
        <w:pStyle w:val="FirstParagraph"/>
      </w:pPr>
      <w:r>
        <w:t xml:space="preserve">MVP search SHALL use PostgreSQL full-text search, trigram matching and purpose-built indexes. This avoids a second authorization/indexing system before search requirements stabilize. Search is permission-aware at query time and MUST NOT reveal counts, snippets or existence of inaccessible objects.</w:t>
      </w:r>
    </w:p>
    <w:p>
      <w:pPr>
        <w:numPr>
          <w:ilvl w:val="0"/>
          <w:numId w:val="1002"/>
        </w:numPr>
      </w:pPr>
      <w:r>
        <w:t xml:space="preserve">Index case title/metadata, source metadata, evidence extracted text when permitted, entity names/aliases/identifiers, relationships, assets, events and products.</w:t>
      </w:r>
    </w:p>
    <w:p>
      <w:pPr>
        <w:numPr>
          <w:ilvl w:val="0"/>
          <w:numId w:val="1002"/>
        </w:numPr>
      </w:pPr>
      <w:r>
        <w:t xml:space="preserve">MVP 0.1 index scope (decided): cases; entities (names, aliases, identifiers); sources; evidence</w:t>
      </w:r>
      <w:r>
        <w:t xml:space="preserve"> </w:t>
      </w:r>
      <w:r>
        <w:rPr>
          <w:b/>
          <w:bCs/>
        </w:rPr>
        <w:t xml:space="preserve">metadata</w:t>
      </w:r>
      <w:r>
        <w:t xml:space="preserve">; extracts (cited text); claims; facts; relationships (type and dates only — never endpoint names); assets; events; value flows; products. Evidence file content (OCR / full text) is not indexed in MVP 0.1 (Phase 2); since v0.1.4 completed DerivedText is indexed as</w:t>
      </w:r>
      <w:r>
        <w:t xml:space="preserve"> </w:t>
      </w:r>
      <w:r>
        <w:rPr>
          <w:rStyle w:val="VerbatimChar"/>
        </w:rPr>
        <w:t xml:space="preserve">DERIVED_TEXT</w:t>
      </w:r>
      <w:r>
        <w:t xml:space="preserve"> </w:t>
      </w:r>
      <w:r>
        <w:t xml:space="preserve">/</w:t>
      </w:r>
      <w:r>
        <w:t xml:space="preserve"> </w:t>
      </w:r>
      <w:r>
        <w:rPr>
          <w:rStyle w:val="VerbatimChar"/>
        </w:rPr>
        <w:t xml:space="preserve">DERIVED</w:t>
      </w:r>
      <w:r>
        <w:t xml:space="preserve"> </w:t>
      </w:r>
      <w:r>
        <w:t xml:space="preserve">and can be switched off</w:t>
      </w:r>
      <w:r>
        <w:t xml:space="preserve"> </w:t>
      </w:r>
      <w:r>
        <w:rPr>
          <w:i/>
          <w:iCs/>
        </w:rPr>
        <w:t xml:space="preserve">[v0.1.4 · CR-N-11]</w:t>
      </w:r>
      <w:r>
        <w:t xml:space="preserve">; hypotheses, assessments and indicators are not indexed yet. The projection (</w:t>
      </w:r>
      <w:r>
        <w:rPr>
          <w:rStyle w:val="VerbatimChar"/>
        </w:rPr>
        <w:t xml:space="preserve">search_documents</w:t>
      </w:r>
      <w:r>
        <w:t xml:space="preserve">) is rebuildable from canonical records; authorization is applied in SQL before results, counts, facets, snippets and ordering, and relevance uses per-document scores without corpus statistics. Limits: search 120 and graph 60 requests per minute per user, search statement timeout 5 s (API §17, §18, §25).</w:t>
      </w:r>
      <w:r>
        <w:t xml:space="preserve"> </w:t>
      </w:r>
      <w:r>
        <w:rPr>
          <w:i/>
          <w:iCs/>
        </w:rPr>
        <w:t xml:space="preserve">[v0.1.3 · CR-I5-01, CR-I5-07, CR-I5-08]</w:t>
      </w:r>
    </w:p>
    <w:p>
      <w:pPr>
        <w:numPr>
          <w:ilvl w:val="0"/>
          <w:numId w:val="1002"/>
        </w:numPr>
      </w:pPr>
      <w:r>
        <w:t xml:space="preserve">Search results MUST link to canonical object IDs and display object type, case context and provenance cues.</w:t>
      </w:r>
    </w:p>
    <w:p>
      <w:pPr>
        <w:numPr>
          <w:ilvl w:val="0"/>
          <w:numId w:val="1002"/>
        </w:numPr>
      </w:pPr>
      <w:r>
        <w:t xml:space="preserve">OpenSearch or equivalent is Phase 2 only when corpus size, faceting, highlighting or cross-language performance justifies it.</w:t>
      </w:r>
    </w:p>
    <w:p>
      <w:pPr>
        <w:numPr>
          <w:ilvl w:val="0"/>
          <w:numId w:val="1002"/>
        </w:numPr>
      </w:pPr>
      <w:r>
        <w:t xml:space="preserve">A search index is always rebuildable and never authoritative for object state or access policy.</w:t>
      </w:r>
    </w:p>
    <w:bookmarkEnd w:id="21"/>
    <w:bookmarkStart w:id="22" w:name="X8e3a153660711027b5fb960f642221a0de45475"/>
    <w:p>
      <w:pPr>
        <w:pStyle w:val="Heading1"/>
      </w:pPr>
      <w:r>
        <w:t xml:space="preserve">14. Graph Strategy for MVP</w:t>
      </w:r>
    </w:p>
    <w:p>
      <w:pPr>
        <w:pStyle w:val="FirstParagraph"/>
      </w:pPr>
      <w:r>
        <w:t xml:space="preserve">Canonical relationships remain relational first-class objects in PostgreSQL. The MVP investigation graph is a UI projection rendered with Cytoscape.js. The backend returns authorized nodes and relationship records with evidence/status/confidence metadata.</w:t>
      </w:r>
    </w:p>
    <w:p>
      <w:pPr>
        <w:pStyle w:val="BlockText"/>
      </w:pPr>
      <w:r>
        <w:rPr>
          <w:b/>
          <w:bCs/>
        </w:rPr>
        <w:t xml:space="preserve">Graph rule</w:t>
      </w:r>
      <w:r>
        <w:br/>
      </w:r>
      <w:r>
        <w:t xml:space="preserve">An edge shown on screen MUST correspond to an authorized canonical Relationship, OwnershipInterest, ControlAssertion or ValueFlow reference. Pure layout proximity or algorithmic suggestion MUST NOT be rendered as an established relationship.</w:t>
      </w:r>
    </w:p>
    <w:p>
      <w:pPr>
        <w:pStyle w:val="FirstParagraph"/>
      </w:pPr>
      <w:r>
        <w:t xml:space="preserve">Neo4j/Memgraph MAY be added as a derived projection in Phase 2 for path queries and network analytics. It SHALL be reconstructible from canonical records and SHALL NOT become the only copy of relationship provenance.</w:t>
      </w:r>
    </w:p>
    <w:bookmarkEnd w:id="22"/>
    <w:bookmarkStart w:id="23" w:name="X933442db23b2cac580191ac8c912aec0205af01"/>
    <w:p>
      <w:pPr>
        <w:pStyle w:val="Heading1"/>
      </w:pPr>
      <w:r>
        <w:t xml:space="preserve">15. Product Generation and Document Output</w:t>
      </w:r>
    </w:p>
    <w:p>
      <w:pPr>
        <w:pStyle w:val="FirstParagraph"/>
      </w:pPr>
      <w:r>
        <w:t xml:space="preserve">Intelligence products SHALL be generated from versioned assessments and evidence references. Server-side templates SHOULD produce DOCX/PDF or another controlled export format. Export generation is a high-impact operation and SHALL record product version, included objects, handling classification, author/reviewer, approval and recipient context where applicable.</w:t>
      </w:r>
    </w:p>
    <w:p>
      <w:pPr>
        <w:numPr>
          <w:ilvl w:val="0"/>
          <w:numId w:val="1003"/>
        </w:numPr>
      </w:pPr>
      <w:r>
        <w:t xml:space="preserve">Final product generation MUST NOT query unrestricted global data outside the authorized product scope.</w:t>
      </w:r>
    </w:p>
    <w:p>
      <w:pPr>
        <w:numPr>
          <w:ilvl w:val="0"/>
          <w:numId w:val="1003"/>
        </w:numPr>
      </w:pPr>
      <w:r>
        <w:t xml:space="preserve">Evidence indexes SHALL resolve to canonical EvidenceItem/EvidenceExtract records.</w:t>
      </w:r>
    </w:p>
    <w:p>
      <w:pPr>
        <w:numPr>
          <w:ilvl w:val="0"/>
          <w:numId w:val="1003"/>
        </w:numPr>
      </w:pPr>
      <w:r>
        <w:t xml:space="preserve">Corrections create a new product version and mark superseded versions; history remains accessible to authorized reviewers.</w:t>
      </w:r>
    </w:p>
    <w:p>
      <w:pPr>
        <w:numPr>
          <w:ilvl w:val="0"/>
          <w:numId w:val="1003"/>
        </w:numPr>
      </w:pPr>
      <w:r>
        <w:t xml:space="preserve">Export packages SHOULD support redaction/minimization without mutating canonical source objects.</w:t>
      </w:r>
    </w:p>
    <w:bookmarkEnd w:id="23"/>
    <w:bookmarkStart w:id="24" w:name="X8d731f09207c807f9efcab56010602785921060"/>
    <w:p>
      <w:pPr>
        <w:pStyle w:val="Heading1"/>
      </w:pPr>
      <w:r>
        <w:t xml:space="preserve">16. Configuration and Secrets</w:t>
      </w:r>
    </w:p>
    <w:tbl>
      <w:tblPr>
        <w:tblStyle w:val="Table"/>
        <w:tblW w:type="pct" w:w="5000"/>
        <w:tblLayout w:type="fixed"/>
        <w:tblLook w:firstRow="1" w:lastRow="0" w:firstColumn="0" w:lastColumn="0" w:noHBand="0" w:noVBand="0" w:val="0020"/>
      </w:tblPr>
      <w:tblGrid>
        <w:gridCol w:w="1078"/>
        <w:gridCol w:w="4016"/>
        <w:gridCol w:w="2825"/>
      </w:tblGrid>
      <w:tr>
        <w:trPr>
          <w:tblHeader w:val="on"/>
        </w:trPr>
        <w:tc>
          <w:tcPr/>
          <w:p>
            <w:pPr>
              <w:pStyle w:val="TableText"/>
              <w:jc w:val="center"/>
            </w:pPr>
            <w:r>
              <w:rPr>
                <w:b/>
                <w:bCs/>
              </w:rPr>
              <w:t xml:space="preserve">Class</w:t>
            </w:r>
          </w:p>
        </w:tc>
        <w:tc>
          <w:tcPr/>
          <w:p>
            <w:pPr>
              <w:pStyle w:val="TableText"/>
            </w:pPr>
            <w:r>
              <w:rPr>
                <w:b/>
                <w:bCs/>
              </w:rPr>
              <w:t xml:space="preserve">Examples</w:t>
            </w:r>
          </w:p>
        </w:tc>
        <w:tc>
          <w:tcPr/>
          <w:p>
            <w:pPr>
              <w:pStyle w:val="TableText"/>
            </w:pPr>
            <w:r>
              <w:rPr>
                <w:b/>
                <w:bCs/>
              </w:rPr>
              <w:t xml:space="preserve">Rule</w:t>
            </w:r>
          </w:p>
        </w:tc>
      </w:tr>
      <w:tr>
        <w:tc>
          <w:tcPr/>
          <w:p>
            <w:pPr>
              <w:pStyle w:val="TableText"/>
              <w:jc w:val="center"/>
            </w:pPr>
            <w:r>
              <w:t xml:space="preserve">Non-secret config</w:t>
            </w:r>
          </w:p>
        </w:tc>
        <w:tc>
          <w:tcPr/>
          <w:p>
            <w:pPr>
              <w:pStyle w:val="TableText"/>
            </w:pPr>
            <w:r>
              <w:t xml:space="preserve">public base URL, feature flags, limits</w:t>
            </w:r>
          </w:p>
        </w:tc>
        <w:tc>
          <w:tcPr/>
          <w:p>
            <w:pPr>
              <w:pStyle w:val="TableText"/>
            </w:pPr>
            <w:r>
              <w:t xml:space="preserve">Environment or config file; versionable defaults</w:t>
            </w:r>
          </w:p>
        </w:tc>
      </w:tr>
      <w:tr>
        <w:tc>
          <w:tcPr/>
          <w:p>
            <w:pPr>
              <w:pStyle w:val="TableText"/>
              <w:jc w:val="center"/>
            </w:pPr>
            <w:r>
              <w:t xml:space="preserve">Secret</w:t>
            </w:r>
          </w:p>
        </w:tc>
        <w:tc>
          <w:tcPr/>
          <w:p>
            <w:pPr>
              <w:pStyle w:val="TableText"/>
            </w:pPr>
            <w:r>
              <w:t xml:space="preserve">DB password, OIDC client secret, Django session/CSRF secret key, object-store (S3-compatible) access key, Valkey password</w:t>
            </w:r>
          </w:p>
        </w:tc>
        <w:tc>
          <w:tcPr/>
          <w:p>
            <w:pPr>
              <w:pStyle w:val="TableText"/>
            </w:pPr>
            <w:r>
              <w:t xml:space="preserve">Secret store/environment injection; never committed</w:t>
            </w:r>
            <w:r>
              <w:t xml:space="preserve"> </w:t>
            </w:r>
            <w:r>
              <w:rPr>
                <w:i/>
                <w:iCs/>
              </w:rPr>
              <w:t xml:space="preserve">[v0.1.1 · A02, A03, A11]</w:t>
            </w:r>
          </w:p>
        </w:tc>
      </w:tr>
      <w:tr>
        <w:tc>
          <w:tcPr/>
          <w:p>
            <w:pPr>
              <w:pStyle w:val="TableText"/>
              <w:jc w:val="center"/>
            </w:pPr>
            <w:r>
              <w:t xml:space="preserve">Security policy</w:t>
            </w:r>
          </w:p>
        </w:tc>
        <w:tc>
          <w:tcPr/>
          <w:p>
            <w:pPr>
              <w:pStyle w:val="TableText"/>
            </w:pPr>
            <w:r>
              <w:t xml:space="preserve">idle and absolute session timeout, export limits, protected-source policy</w:t>
            </w:r>
          </w:p>
        </w:tc>
        <w:tc>
          <w:tcPr/>
          <w:p>
            <w:pPr>
              <w:pStyle w:val="TableText"/>
            </w:pPr>
            <w:r>
              <w:t xml:space="preserve">Central server config; changes audited where material</w:t>
            </w:r>
          </w:p>
        </w:tc>
      </w:tr>
      <w:tr>
        <w:tc>
          <w:tcPr/>
          <w:p>
            <w:pPr>
              <w:pStyle w:val="TableText"/>
              <w:jc w:val="center"/>
            </w:pPr>
            <w:r>
              <w:t xml:space="preserve">Controlled vocabulary</w:t>
            </w:r>
          </w:p>
        </w:tc>
        <w:tc>
          <w:tcPr/>
          <w:p>
            <w:pPr>
              <w:pStyle w:val="TableText"/>
            </w:pPr>
            <w:r>
              <w:t xml:space="preserve">relationship types, classifications, statuses</w:t>
            </w:r>
          </w:p>
        </w:tc>
        <w:tc>
          <w:tcPr/>
          <w:p>
            <w:pPr>
              <w:pStyle w:val="TableText"/>
            </w:pPr>
            <w:r>
              <w:t xml:space="preserve">Canonical DB with versioning and admin audit</w:t>
            </w:r>
          </w:p>
        </w:tc>
      </w:tr>
    </w:tbl>
    <w:p>
      <w:pPr>
        <w:pStyle w:val="BodyText"/>
      </w:pPr>
      <w:r>
        <w:rPr>
          <w:rStyle w:val="VerbatimChar"/>
        </w:rPr>
        <w:t xml:space="preserve">.env.example</w:t>
      </w:r>
      <w:r>
        <w:t xml:space="preserve"> </w:t>
      </w:r>
      <w:r>
        <w:t xml:space="preserve">SHALL contain names and safe examples only. Production secrets SHALL be provisioned outside the repository. Secret rotation procedures SHALL not require rebuilding application source code.</w:t>
      </w:r>
    </w:p>
    <w:bookmarkEnd w:id="24"/>
    <w:bookmarkStart w:id="25" w:name="X289f5ed673d79ff420f4d6256b1efaa4c53c76d"/>
    <w:p>
      <w:pPr>
        <w:pStyle w:val="Heading1"/>
      </w:pPr>
      <w:r>
        <w:t xml:space="preserve">17. Environment Model</w:t>
      </w:r>
    </w:p>
    <w:tbl>
      <w:tblPr>
        <w:tblStyle w:val="Table"/>
        <w:tblW w:type="pct" w:w="5000"/>
        <w:tblLayout w:type="fixed"/>
        <w:tblLook w:firstRow="1" w:lastRow="0" w:firstColumn="0" w:lastColumn="0" w:noHBand="0" w:noVBand="0" w:val="0020"/>
      </w:tblPr>
      <w:tblGrid>
        <w:gridCol w:w="1172"/>
        <w:gridCol w:w="3498"/>
        <w:gridCol w:w="3248"/>
      </w:tblGrid>
      <w:tr>
        <w:trPr>
          <w:tblHeader w:val="on"/>
        </w:trPr>
        <w:tc>
          <w:tcPr/>
          <w:p>
            <w:pPr>
              <w:pStyle w:val="TableText"/>
              <w:jc w:val="center"/>
            </w:pPr>
            <w:r>
              <w:rPr>
                <w:b/>
                <w:bCs/>
              </w:rPr>
              <w:t xml:space="preserve">Environment</w:t>
            </w:r>
          </w:p>
        </w:tc>
        <w:tc>
          <w:tcPr/>
          <w:p>
            <w:pPr>
              <w:pStyle w:val="TableText"/>
            </w:pPr>
            <w:r>
              <w:rPr>
                <w:b/>
                <w:bCs/>
              </w:rPr>
              <w:t xml:space="preserve">Purpose</w:t>
            </w:r>
          </w:p>
        </w:tc>
        <w:tc>
          <w:tcPr/>
          <w:p>
            <w:pPr>
              <w:pStyle w:val="TableText"/>
            </w:pPr>
            <w:r>
              <w:rPr>
                <w:b/>
                <w:bCs/>
              </w:rPr>
              <w:t xml:space="preserve">Data rule</w:t>
            </w:r>
          </w:p>
        </w:tc>
      </w:tr>
      <w:tr>
        <w:tc>
          <w:tcPr/>
          <w:p>
            <w:pPr>
              <w:pStyle w:val="TableText"/>
              <w:jc w:val="center"/>
            </w:pPr>
            <w:r>
              <w:t xml:space="preserve">local</w:t>
            </w:r>
          </w:p>
        </w:tc>
        <w:tc>
          <w:tcPr/>
          <w:p>
            <w:pPr>
              <w:pStyle w:val="TableText"/>
            </w:pPr>
            <w:r>
              <w:t xml:space="preserve">Developer workstation and feature work</w:t>
            </w:r>
          </w:p>
        </w:tc>
        <w:tc>
          <w:tcPr/>
          <w:p>
            <w:pPr>
              <w:pStyle w:val="TableText"/>
            </w:pPr>
            <w:r>
              <w:t xml:space="preserve">Synthetic fixtures only</w:t>
            </w:r>
          </w:p>
        </w:tc>
      </w:tr>
      <w:tr>
        <w:tc>
          <w:tcPr/>
          <w:p>
            <w:pPr>
              <w:pStyle w:val="TableText"/>
              <w:jc w:val="center"/>
            </w:pPr>
            <w:r>
              <w:t xml:space="preserve">test/CI</w:t>
            </w:r>
          </w:p>
        </w:tc>
        <w:tc>
          <w:tcPr/>
          <w:p>
            <w:pPr>
              <w:pStyle w:val="TableText"/>
            </w:pPr>
            <w:r>
              <w:t xml:space="preserve">Automated unit/integration/security tests</w:t>
            </w:r>
          </w:p>
        </w:tc>
        <w:tc>
          <w:tcPr/>
          <w:p>
            <w:pPr>
              <w:pStyle w:val="TableText"/>
            </w:pPr>
            <w:r>
              <w:t xml:space="preserve">Ephemeral synthetic data</w:t>
            </w:r>
          </w:p>
        </w:tc>
      </w:tr>
      <w:tr>
        <w:tc>
          <w:tcPr/>
          <w:p>
            <w:pPr>
              <w:pStyle w:val="TableText"/>
              <w:jc w:val="center"/>
            </w:pPr>
            <w:r>
              <w:t xml:space="preserve">staging</w:t>
            </w:r>
          </w:p>
        </w:tc>
        <w:tc>
          <w:tcPr/>
          <w:p>
            <w:pPr>
              <w:pStyle w:val="TableText"/>
            </w:pPr>
            <w:r>
              <w:t xml:space="preserve">Release candidate, migration and E2E validation</w:t>
            </w:r>
          </w:p>
        </w:tc>
        <w:tc>
          <w:tcPr/>
          <w:p>
            <w:pPr>
              <w:pStyle w:val="TableText"/>
            </w:pPr>
            <w:r>
              <w:t xml:space="preserve">Synthetic or formally sanitized datasets only</w:t>
            </w:r>
          </w:p>
        </w:tc>
      </w:tr>
      <w:tr>
        <w:tc>
          <w:tcPr/>
          <w:p>
            <w:pPr>
              <w:pStyle w:val="TableText"/>
              <w:jc w:val="center"/>
            </w:pPr>
            <w:r>
              <w:t xml:space="preserve">production</w:t>
            </w:r>
          </w:p>
        </w:tc>
        <w:tc>
          <w:tcPr/>
          <w:p>
            <w:pPr>
              <w:pStyle w:val="TableText"/>
            </w:pPr>
            <w:r>
              <w:t xml:space="preserve">Operational investigations</w:t>
            </w:r>
          </w:p>
        </w:tc>
        <w:tc>
          <w:tcPr/>
          <w:p>
            <w:pPr>
              <w:pStyle w:val="TableText"/>
            </w:pPr>
            <w:r>
              <w:t xml:space="preserve">Real sensitive data under approved controls</w:t>
            </w:r>
          </w:p>
        </w:tc>
      </w:tr>
    </w:tbl>
    <w:p>
      <w:pPr>
        <w:pStyle w:val="BodyText"/>
      </w:pPr>
      <w:r>
        <w:t xml:space="preserve">Production data SHALL NOT be copied into developer or CI environments. Any diagnostic export from production requires minimization, authorization, and documented deletion.</w:t>
      </w:r>
    </w:p>
    <w:bookmarkEnd w:id="25"/>
    <w:bookmarkStart w:id="26" w:name="Xbea89ec81d33012009efd241181069387806d43"/>
    <w:p>
      <w:pPr>
        <w:pStyle w:val="Heading1"/>
      </w:pPr>
      <w:r>
        <w:t xml:space="preserve">18. Container and Runtime Topology</w:t>
      </w:r>
    </w:p>
    <w:p>
      <w:pPr>
        <w:pStyle w:val="SourceCode"/>
      </w:pPr>
      <w:r>
        <w:rPr>
          <w:rFonts w:ascii="Consolas" w:hAnsi="Consolas" w:cs="Consolas" w:eastAsia="Consolas"/>
          <w:sz w:val="18"/>
          <w:szCs w:val="18"/>
        </w:rPr>
        <w:t xml:space="preserve">compose project (reference deployment)</w:t>
      </w:r>
      <w:r>
        <w:rPr>
          <w:rFonts w:ascii="Consolas" w:hAnsi="Consolas" w:cs="Consolas" w:eastAsia="Consolas"/>
          <w:sz w:val="18"/>
          <w:szCs w:val="18"/>
        </w:rPr>
        <w:br/>
      </w:r>
      <w:r>
        <w:rPr>
          <w:rFonts w:ascii="Consolas" w:hAnsi="Consolas" w:cs="Consolas" w:eastAsia="Consolas"/>
          <w:sz w:val="18"/>
          <w:szCs w:val="18"/>
        </w:rPr>
        <w:t xml:space="preserve">├── nginx</w:t>
      </w:r>
      <w:r>
        <w:rPr>
          <w:rFonts w:ascii="Consolas" w:hAnsi="Consolas" w:cs="Consolas" w:eastAsia="Consolas"/>
          <w:sz w:val="18"/>
          <w:szCs w:val="18"/>
        </w:rPr>
        <w:br/>
      </w:r>
      <w:r>
        <w:rPr>
          <w:rFonts w:ascii="Consolas" w:hAnsi="Consolas" w:cs="Consolas" w:eastAsia="Consolas"/>
          <w:sz w:val="18"/>
          <w:szCs w:val="18"/>
        </w:rPr>
        <w:t xml:space="preserve">├── web          (Django/Gunicorn)</w:t>
      </w:r>
      <w:r>
        <w:rPr>
          <w:rFonts w:ascii="Consolas" w:hAnsi="Consolas" w:cs="Consolas" w:eastAsia="Consolas"/>
          <w:sz w:val="18"/>
          <w:szCs w:val="18"/>
        </w:rPr>
        <w:br/>
      </w:r>
      <w:r>
        <w:rPr>
          <w:rFonts w:ascii="Consolas" w:hAnsi="Consolas" w:cs="Consolas" w:eastAsia="Consolas"/>
          <w:sz w:val="18"/>
          <w:szCs w:val="18"/>
        </w:rPr>
        <w:t xml:space="preserve">├── worker       (Celery)</w:t>
      </w:r>
      <w:r>
        <w:rPr>
          <w:rFonts w:ascii="Consolas" w:hAnsi="Consolas" w:cs="Consolas" w:eastAsia="Consolas"/>
          <w:sz w:val="18"/>
          <w:szCs w:val="18"/>
        </w:rPr>
        <w:br/>
      </w:r>
      <w:r>
        <w:rPr>
          <w:rFonts w:ascii="Consolas" w:hAnsi="Consolas" w:cs="Consolas" w:eastAsia="Consolas"/>
          <w:sz w:val="18"/>
          <w:szCs w:val="18"/>
        </w:rPr>
        <w:t xml:space="preserve">├── scheduler    (Celery beat, only if required)</w:t>
      </w:r>
      <w:r>
        <w:rPr>
          <w:rFonts w:ascii="Consolas" w:hAnsi="Consolas" w:cs="Consolas" w:eastAsia="Consolas"/>
          <w:sz w:val="18"/>
          <w:szCs w:val="18"/>
        </w:rPr>
        <w:br/>
      </w:r>
      <w:r>
        <w:rPr>
          <w:rFonts w:ascii="Consolas" w:hAnsi="Consolas" w:cs="Consolas" w:eastAsia="Consolas"/>
          <w:sz w:val="18"/>
          <w:szCs w:val="18"/>
        </w:rPr>
        <w:t xml:space="preserve">├── postgres</w:t>
      </w:r>
      <w:r>
        <w:rPr>
          <w:rFonts w:ascii="Consolas" w:hAnsi="Consolas" w:cs="Consolas" w:eastAsia="Consolas"/>
          <w:sz w:val="18"/>
          <w:szCs w:val="18"/>
        </w:rPr>
        <w:br/>
      </w:r>
      <w:r>
        <w:rPr>
          <w:rFonts w:ascii="Consolas" w:hAnsi="Consolas" w:cs="Consolas" w:eastAsia="Consolas"/>
          <w:sz w:val="18"/>
          <w:szCs w:val="18"/>
        </w:rPr>
        <w:t xml:space="preserve">├── valkey       (Valkey 8.x, pinned digest; ADR-0006)</w:t>
      </w:r>
      <w:r>
        <w:rPr>
          <w:rFonts w:ascii="Consolas" w:hAnsi="Consolas" w:cs="Consolas" w:eastAsia="Consolas"/>
          <w:sz w:val="18"/>
          <w:szCs w:val="18"/>
        </w:rPr>
        <w:br/>
      </w:r>
      <w:r>
        <w:rPr>
          <w:rFonts w:ascii="Consolas" w:hAnsi="Consolas" w:cs="Consolas" w:eastAsia="Consolas"/>
          <w:sz w:val="18"/>
          <w:szCs w:val="18"/>
        </w:rPr>
        <w:t xml:space="preserve">├── object-store (S3-compatible; product per ADR-0005; external S3-compatible service supported)</w:t>
      </w:r>
      <w:r>
        <w:rPr>
          <w:rFonts w:ascii="Consolas" w:hAnsi="Consolas" w:cs="Consolas" w:eastAsia="Consolas"/>
          <w:sz w:val="18"/>
          <w:szCs w:val="18"/>
        </w:rPr>
        <w:br/>
      </w:r>
      <w:r>
        <w:rPr>
          <w:rFonts w:ascii="Consolas" w:hAnsi="Consolas" w:cs="Consolas" w:eastAsia="Consolas"/>
          <w:sz w:val="18"/>
          <w:szCs w:val="18"/>
        </w:rPr>
        <w:t xml:space="preserve">└── telemetry    (deployment-specific collectors)</w:t>
      </w:r>
      <w:r>
        <w:rPr>
          <w:rFonts w:ascii="Consolas" w:hAnsi="Consolas" w:cs="Consolas" w:eastAsia="Consolas"/>
          <w:sz w:val="18"/>
          <w:szCs w:val="18"/>
        </w:rPr>
        <w:br/>
      </w:r>
      <w:r>
        <w:rPr>
          <w:rFonts w:ascii="Consolas" w:hAnsi="Consolas" w:cs="Consolas" w:eastAsia="Consolas"/>
          <w:sz w:val="18"/>
          <w:szCs w:val="18"/>
        </w:rPr>
        <w:t xml:space="preserve"/>
      </w:r>
      <w:r>
        <w:rPr>
          <w:rFonts w:ascii="Consolas" w:hAnsi="Consolas" w:cs="Consolas" w:eastAsia="Consolas"/>
          <w:sz w:val="18"/>
          <w:szCs w:val="18"/>
        </w:rPr>
        <w:br/>
      </w:r>
      <w:r>
        <w:rPr>
          <w:rFonts w:ascii="Consolas" w:hAnsi="Consolas" w:cs="Consolas" w:eastAsia="Consolas"/>
          <w:sz w:val="18"/>
          <w:szCs w:val="18"/>
        </w:rPr>
        <w:t xml:space="preserve">External or separately managed:</w:t>
      </w:r>
      <w:r>
        <w:rPr>
          <w:rFonts w:ascii="Consolas" w:hAnsi="Consolas" w:cs="Consolas" w:eastAsia="Consolas"/>
          <w:sz w:val="18"/>
          <w:szCs w:val="18"/>
        </w:rPr>
        <w:br/>
      </w:r>
      <w:r>
        <w:rPr>
          <w:rFonts w:ascii="Consolas" w:hAnsi="Consolas" w:cs="Consolas" w:eastAsia="Consolas"/>
          <w:sz w:val="18"/>
          <w:szCs w:val="18"/>
        </w:rPr>
        <w:t xml:space="preserve">└── Keycloak / OIDC IdP</w:t>
      </w:r>
    </w:p>
    <w:p>
      <w:pPr>
        <w:pStyle w:val="FirstParagraph"/>
      </w:pPr>
      <w:r>
        <w:rPr>
          <w:i/>
          <w:iCs/>
        </w:rPr>
        <w:t xml:space="preserve">[v0.1.1 · A02, A03]</w:t>
      </w:r>
      <w:r>
        <w:t xml:space="preserve"> </w:t>
      </w:r>
      <w:r>
        <w:t xml:space="preserve">— MinIO is no longer the reference object store; Redis is replaced by Valkey.</w:t>
      </w:r>
    </w:p>
    <w:p>
      <w:pPr>
        <w:pStyle w:val="BodyText"/>
      </w:pPr>
      <w:r>
        <w:t xml:space="preserve">Database and object storage SHOULD be separately backed up and SHOULD use persistent volumes not coupled to application container lifecycle. Production deployments SHOULD pin container image digests after build/release approval.</w:t>
      </w:r>
    </w:p>
    <w:bookmarkEnd w:id="26"/>
    <w:bookmarkStart w:id="27" w:name="Xdb2ea62e5334926107dd773e2e7b96edcf8f6c0"/>
    <w:p>
      <w:pPr>
        <w:pStyle w:val="Heading1"/>
      </w:pPr>
      <w:r>
        <w:t xml:space="preserve">19. Docker Image and Supply-Chain Rules</w:t>
      </w:r>
    </w:p>
    <w:p>
      <w:pPr>
        <w:numPr>
          <w:ilvl w:val="0"/>
          <w:numId w:val="1004"/>
        </w:numPr>
      </w:pPr>
      <w:r>
        <w:t xml:space="preserve">Use multi-stage builds and non-root runtime users where practical.</w:t>
      </w:r>
    </w:p>
    <w:p>
      <w:pPr>
        <w:numPr>
          <w:ilvl w:val="0"/>
          <w:numId w:val="1004"/>
        </w:numPr>
      </w:pPr>
      <w:r>
        <w:t xml:space="preserve">Pin direct dependencies through lockfiles; container base images SHALL use supported minimal variants.</w:t>
      </w:r>
    </w:p>
    <w:p>
      <w:pPr>
        <w:numPr>
          <w:ilvl w:val="0"/>
          <w:numId w:val="1004"/>
        </w:numPr>
      </w:pPr>
      <w:r>
        <w:t xml:space="preserve">CI SHALL run dependency vulnerability scanning and container image scanning before release.</w:t>
      </w:r>
    </w:p>
    <w:p>
      <w:pPr>
        <w:numPr>
          <w:ilvl w:val="0"/>
          <w:numId w:val="1004"/>
        </w:numPr>
      </w:pPr>
      <w:r>
        <w:t xml:space="preserve">Generated SBOM SHOULD be attached to release artifacts and SHALL record the licence of each pinned infrastructure dependency (including the broker/cache and object store).</w:t>
      </w:r>
      <w:r>
        <w:t xml:space="preserve"> </w:t>
      </w:r>
      <w:r>
        <w:rPr>
          <w:i/>
          <w:iCs/>
        </w:rPr>
        <w:t xml:space="preserve">[v0.1.1 · A03]</w:t>
      </w:r>
    </w:p>
    <w:p>
      <w:pPr>
        <w:numPr>
          <w:ilvl w:val="0"/>
          <w:numId w:val="1004"/>
        </w:numPr>
      </w:pPr>
      <w:r>
        <w:t xml:space="preserve">Production images SHALL be built in CI, not on the production server.</w:t>
      </w:r>
    </w:p>
    <w:p>
      <w:pPr>
        <w:numPr>
          <w:ilvl w:val="0"/>
          <w:numId w:val="1004"/>
        </w:numPr>
      </w:pPr>
      <w:r>
        <w:t xml:space="preserve">Release tags SHALL map to immutable image digests and application build metadata.</w:t>
      </w:r>
    </w:p>
    <w:bookmarkEnd w:id="27"/>
    <w:bookmarkStart w:id="28" w:name="X54a388cc9cdabe8ef42fc0e204ede8d104506a4"/>
    <w:p>
      <w:pPr>
        <w:pStyle w:val="Heading1"/>
      </w:pPr>
      <w:r>
        <w:t xml:space="preserve">20. CI/CD Pipeline</w:t>
      </w:r>
    </w:p>
    <w:p>
      <w:pPr>
        <w:pStyle w:val="SourceCode"/>
      </w:pPr>
      <w:r>
        <w:rPr>
          <w:rFonts w:ascii="Consolas" w:hAnsi="Consolas" w:cs="Consolas" w:eastAsia="Consolas"/>
          <w:sz w:val="18"/>
          <w:szCs w:val="18"/>
        </w:rPr>
        <w:t xml:space="preserve">Pull Request</w:t>
      </w:r>
      <w:r>
        <w:rPr>
          <w:rFonts w:ascii="Consolas" w:hAnsi="Consolas" w:cs="Consolas" w:eastAsia="Consolas"/>
          <w:sz w:val="18"/>
          <w:szCs w:val="18"/>
        </w:rPr>
        <w:br/>
      </w:r>
      <w:r>
        <w:rPr>
          <w:rFonts w:ascii="Consolas" w:hAnsi="Consolas" w:cs="Consolas" w:eastAsia="Consolas"/>
          <w:sz w:val="18"/>
          <w:szCs w:val="18"/>
        </w:rPr>
        <w:t xml:space="preserve">  -&gt; formatting/lint</w:t>
      </w:r>
      <w:r>
        <w:rPr>
          <w:rFonts w:ascii="Consolas" w:hAnsi="Consolas" w:cs="Consolas" w:eastAsia="Consolas"/>
          <w:sz w:val="18"/>
          <w:szCs w:val="18"/>
        </w:rPr>
        <w:br/>
      </w:r>
      <w:r>
        <w:rPr>
          <w:rFonts w:ascii="Consolas" w:hAnsi="Consolas" w:cs="Consolas" w:eastAsia="Consolas"/>
          <w:sz w:val="18"/>
          <w:szCs w:val="18"/>
        </w:rPr>
        <w:t xml:space="preserve">  -&gt; unit tests</w:t>
      </w:r>
      <w:r>
        <w:rPr>
          <w:rFonts w:ascii="Consolas" w:hAnsi="Consolas" w:cs="Consolas" w:eastAsia="Consolas"/>
          <w:sz w:val="18"/>
          <w:szCs w:val="18"/>
        </w:rPr>
        <w:br/>
      </w:r>
      <w:r>
        <w:rPr>
          <w:rFonts w:ascii="Consolas" w:hAnsi="Consolas" w:cs="Consolas" w:eastAsia="Consolas"/>
          <w:sz w:val="18"/>
          <w:szCs w:val="18"/>
        </w:rPr>
        <w:t xml:space="preserve">  -&gt; policy/authorization tests</w:t>
      </w:r>
      <w:r>
        <w:rPr>
          <w:rFonts w:ascii="Consolas" w:hAnsi="Consolas" w:cs="Consolas" w:eastAsia="Consolas"/>
          <w:sz w:val="18"/>
          <w:szCs w:val="18"/>
        </w:rPr>
        <w:br/>
      </w:r>
      <w:r>
        <w:rPr>
          <w:rFonts w:ascii="Consolas" w:hAnsi="Consolas" w:cs="Consolas" w:eastAsia="Consolas"/>
          <w:sz w:val="18"/>
          <w:szCs w:val="18"/>
        </w:rPr>
        <w:t xml:space="preserve">  -&gt; migration checks</w:t>
      </w:r>
      <w:r>
        <w:rPr>
          <w:rFonts w:ascii="Consolas" w:hAnsi="Consolas" w:cs="Consolas" w:eastAsia="Consolas"/>
          <w:sz w:val="18"/>
          <w:szCs w:val="18"/>
        </w:rPr>
        <w:br/>
      </w:r>
      <w:r>
        <w:rPr>
          <w:rFonts w:ascii="Consolas" w:hAnsi="Consolas" w:cs="Consolas" w:eastAsia="Consolas"/>
          <w:sz w:val="18"/>
          <w:szCs w:val="18"/>
        </w:rPr>
        <w:t xml:space="preserve">  -&gt; frontend tests</w:t>
      </w:r>
      <w:r>
        <w:rPr>
          <w:rFonts w:ascii="Consolas" w:hAnsi="Consolas" w:cs="Consolas" w:eastAsia="Consolas"/>
          <w:sz w:val="18"/>
          <w:szCs w:val="18"/>
        </w:rPr>
        <w:br/>
      </w:r>
      <w:r>
        <w:rPr>
          <w:rFonts w:ascii="Consolas" w:hAnsi="Consolas" w:cs="Consolas" w:eastAsia="Consolas"/>
          <w:sz w:val="18"/>
          <w:szCs w:val="18"/>
        </w:rPr>
        <w:t xml:space="preserve">  -&gt; SAST/dependency scan</w:t>
      </w:r>
      <w:r>
        <w:rPr>
          <w:rFonts w:ascii="Consolas" w:hAnsi="Consolas" w:cs="Consolas" w:eastAsia="Consolas"/>
          <w:sz w:val="18"/>
          <w:szCs w:val="18"/>
        </w:rPr>
        <w:br/>
      </w:r>
      <w:r>
        <w:rPr>
          <w:rFonts w:ascii="Consolas" w:hAnsi="Consolas" w:cs="Consolas" w:eastAsia="Consolas"/>
          <w:sz w:val="18"/>
          <w:szCs w:val="18"/>
        </w:rPr>
        <w:t xml:space="preserve">  -&gt; build images</w:t>
      </w:r>
      <w:r>
        <w:rPr>
          <w:rFonts w:ascii="Consolas" w:hAnsi="Consolas" w:cs="Consolas" w:eastAsia="Consolas"/>
          <w:sz w:val="18"/>
          <w:szCs w:val="18"/>
        </w:rPr>
        <w:br/>
      </w:r>
      <w:r>
        <w:rPr>
          <w:rFonts w:ascii="Consolas" w:hAnsi="Consolas" w:cs="Consolas" w:eastAsia="Consolas"/>
          <w:sz w:val="18"/>
          <w:szCs w:val="18"/>
        </w:rPr>
        <w:t xml:space="preserve">  -&gt; integration tests</w:t>
      </w:r>
      <w:r>
        <w:rPr>
          <w:rFonts w:ascii="Consolas" w:hAnsi="Consolas" w:cs="Consolas" w:eastAsia="Consolas"/>
          <w:sz w:val="18"/>
          <w:szCs w:val="18"/>
        </w:rPr>
        <w:br/>
      </w:r>
      <w:r>
        <w:rPr>
          <w:rFonts w:ascii="Consolas" w:hAnsi="Consolas" w:cs="Consolas" w:eastAsia="Consolas"/>
          <w:sz w:val="18"/>
          <w:szCs w:val="18"/>
        </w:rPr>
        <w:t xml:space="preserve">  -&gt; review/merge</w:t>
      </w:r>
      <w:r>
        <w:rPr>
          <w:rFonts w:ascii="Consolas" w:hAnsi="Consolas" w:cs="Consolas" w:eastAsia="Consolas"/>
          <w:sz w:val="18"/>
          <w:szCs w:val="18"/>
        </w:rPr>
        <w:br/>
      </w:r>
      <w:r>
        <w:rPr>
          <w:rFonts w:ascii="Consolas" w:hAnsi="Consolas" w:cs="Consolas" w:eastAsia="Consolas"/>
          <w:sz w:val="18"/>
          <w:szCs w:val="18"/>
        </w:rPr>
        <w:t xml:space="preserve"/>
      </w:r>
      <w:r>
        <w:rPr>
          <w:rFonts w:ascii="Consolas" w:hAnsi="Consolas" w:cs="Consolas" w:eastAsia="Consolas"/>
          <w:sz w:val="18"/>
          <w:szCs w:val="18"/>
        </w:rPr>
        <w:br/>
      </w:r>
      <w:r>
        <w:rPr>
          <w:rFonts w:ascii="Consolas" w:hAnsi="Consolas" w:cs="Consolas" w:eastAsia="Consolas"/>
          <w:sz w:val="18"/>
          <w:szCs w:val="18"/>
        </w:rPr>
        <w:t xml:space="preserve">Release Candidate</w:t>
      </w:r>
      <w:r>
        <w:rPr>
          <w:rFonts w:ascii="Consolas" w:hAnsi="Consolas" w:cs="Consolas" w:eastAsia="Consolas"/>
          <w:sz w:val="18"/>
          <w:szCs w:val="18"/>
        </w:rPr>
        <w:br/>
      </w:r>
      <w:r>
        <w:rPr>
          <w:rFonts w:ascii="Consolas" w:hAnsi="Consolas" w:cs="Consolas" w:eastAsia="Consolas"/>
          <w:sz w:val="18"/>
          <w:szCs w:val="18"/>
        </w:rPr>
        <w:t xml:space="preserve">  -&gt; signed/tagged build</w:t>
      </w:r>
      <w:r>
        <w:rPr>
          <w:rFonts w:ascii="Consolas" w:hAnsi="Consolas" w:cs="Consolas" w:eastAsia="Consolas"/>
          <w:sz w:val="18"/>
          <w:szCs w:val="18"/>
        </w:rPr>
        <w:br/>
      </w:r>
      <w:r>
        <w:rPr>
          <w:rFonts w:ascii="Consolas" w:hAnsi="Consolas" w:cs="Consolas" w:eastAsia="Consolas"/>
          <w:sz w:val="18"/>
          <w:szCs w:val="18"/>
        </w:rPr>
        <w:t xml:space="preserve">  -&gt; deploy staging</w:t>
      </w:r>
      <w:r>
        <w:rPr>
          <w:rFonts w:ascii="Consolas" w:hAnsi="Consolas" w:cs="Consolas" w:eastAsia="Consolas"/>
          <w:sz w:val="18"/>
          <w:szCs w:val="18"/>
        </w:rPr>
        <w:br/>
      </w:r>
      <w:r>
        <w:rPr>
          <w:rFonts w:ascii="Consolas" w:hAnsi="Consolas" w:cs="Consolas" w:eastAsia="Consolas"/>
          <w:sz w:val="18"/>
          <w:szCs w:val="18"/>
        </w:rPr>
        <w:t xml:space="preserve">  -&gt; migrate + smoke test</w:t>
      </w:r>
      <w:r>
        <w:rPr>
          <w:rFonts w:ascii="Consolas" w:hAnsi="Consolas" w:cs="Consolas" w:eastAsia="Consolas"/>
          <w:sz w:val="18"/>
          <w:szCs w:val="18"/>
        </w:rPr>
        <w:br/>
      </w:r>
      <w:r>
        <w:rPr>
          <w:rFonts w:ascii="Consolas" w:hAnsi="Consolas" w:cs="Consolas" w:eastAsia="Consolas"/>
          <w:sz w:val="18"/>
          <w:szCs w:val="18"/>
        </w:rPr>
        <w:t xml:space="preserve">  -&gt; end-to-end regression</w:t>
      </w:r>
      <w:r>
        <w:rPr>
          <w:rFonts w:ascii="Consolas" w:hAnsi="Consolas" w:cs="Consolas" w:eastAsia="Consolas"/>
          <w:sz w:val="18"/>
          <w:szCs w:val="18"/>
        </w:rPr>
        <w:br/>
      </w:r>
      <w:r>
        <w:rPr>
          <w:rFonts w:ascii="Consolas" w:hAnsi="Consolas" w:cs="Consolas" w:eastAsia="Consolas"/>
          <w:sz w:val="18"/>
          <w:szCs w:val="18"/>
        </w:rPr>
        <w:t xml:space="preserve">  -&gt; backup/restore evidence where required</w:t>
      </w:r>
      <w:r>
        <w:rPr>
          <w:rFonts w:ascii="Consolas" w:hAnsi="Consolas" w:cs="Consolas" w:eastAsia="Consolas"/>
          <w:sz w:val="18"/>
          <w:szCs w:val="18"/>
        </w:rPr>
        <w:br/>
      </w:r>
      <w:r>
        <w:rPr>
          <w:rFonts w:ascii="Consolas" w:hAnsi="Consolas" w:cs="Consolas" w:eastAsia="Consolas"/>
          <w:sz w:val="18"/>
          <w:szCs w:val="18"/>
        </w:rPr>
        <w:t xml:space="preserve">  -&gt; approval</w:t>
      </w:r>
      <w:r>
        <w:rPr>
          <w:rFonts w:ascii="Consolas" w:hAnsi="Consolas" w:cs="Consolas" w:eastAsia="Consolas"/>
          <w:sz w:val="18"/>
          <w:szCs w:val="18"/>
        </w:rPr>
        <w:br/>
      </w:r>
      <w:r>
        <w:rPr>
          <w:rFonts w:ascii="Consolas" w:hAnsi="Consolas" w:cs="Consolas" w:eastAsia="Consolas"/>
          <w:sz w:val="18"/>
          <w:szCs w:val="18"/>
        </w:rPr>
        <w:t xml:space="preserve">  -&gt; production deploy</w:t>
      </w:r>
    </w:p>
    <w:tbl>
      <w:tblPr>
        <w:tblStyle w:val="Table"/>
        <w:tblW w:type="pct" w:w="5000"/>
        <w:tblLayout w:type="fixed"/>
        <w:tblLook w:firstRow="1" w:lastRow="0" w:firstColumn="0" w:lastColumn="0" w:noHBand="0" w:noVBand="0" w:val="0020"/>
      </w:tblPr>
      <w:tblGrid>
        <w:gridCol w:w="1078"/>
        <w:gridCol w:w="6841"/>
      </w:tblGrid>
      <w:tr>
        <w:trPr>
          <w:tblHeader w:val="on"/>
        </w:trPr>
        <w:tc>
          <w:tcPr/>
          <w:p>
            <w:pPr>
              <w:pStyle w:val="TableText"/>
            </w:pPr>
            <w:r>
              <w:rPr>
                <w:b/>
                <w:bCs/>
              </w:rPr>
              <w:t xml:space="preserve">Gate</w:t>
            </w:r>
          </w:p>
        </w:tc>
        <w:tc>
          <w:tcPr/>
          <w:p>
            <w:pPr>
              <w:pStyle w:val="TableText"/>
            </w:pPr>
            <w:r>
              <w:rPr>
                <w:b/>
                <w:bCs/>
              </w:rPr>
              <w:t xml:space="preserve">Minimum evidence</w:t>
            </w:r>
          </w:p>
        </w:tc>
      </w:tr>
      <w:tr>
        <w:tc>
          <w:tcPr/>
          <w:p>
            <w:pPr>
              <w:pStyle w:val="TableText"/>
            </w:pPr>
            <w:r>
              <w:t xml:space="preserve">Code quality</w:t>
            </w:r>
          </w:p>
        </w:tc>
        <w:tc>
          <w:tcPr/>
          <w:p>
            <w:pPr>
              <w:pStyle w:val="TableText"/>
            </w:pPr>
            <w:r>
              <w:t xml:space="preserve">Ruff/mypy or equivalent backend checks; ESLint/TypeScript frontend checks</w:t>
            </w:r>
          </w:p>
        </w:tc>
      </w:tr>
      <w:tr>
        <w:tc>
          <w:tcPr/>
          <w:p>
            <w:pPr>
              <w:pStyle w:val="TableText"/>
            </w:pPr>
            <w:r>
              <w:t xml:space="preserve">Tests</w:t>
            </w:r>
          </w:p>
        </w:tc>
        <w:tc>
          <w:tcPr/>
          <w:p>
            <w:pPr>
              <w:pStyle w:val="TableText"/>
            </w:pPr>
            <w:r>
              <w:t xml:space="preserve">Unit + integration + authorization tests pass</w:t>
            </w:r>
          </w:p>
        </w:tc>
      </w:tr>
      <w:tr>
        <w:tc>
          <w:tcPr/>
          <w:p>
            <w:pPr>
              <w:pStyle w:val="TableText"/>
            </w:pPr>
            <w:r>
              <w:t xml:space="preserve">Migrations</w:t>
            </w:r>
          </w:p>
        </w:tc>
        <w:tc>
          <w:tcPr/>
          <w:p>
            <w:pPr>
              <w:pStyle w:val="TableText"/>
            </w:pPr>
            <w:r>
              <w:t xml:space="preserve">No unapplied model drift; migration plan reviewed</w:t>
            </w:r>
          </w:p>
        </w:tc>
      </w:tr>
      <w:tr>
        <w:tc>
          <w:tcPr/>
          <w:p>
            <w:pPr>
              <w:pStyle w:val="TableText"/>
            </w:pPr>
            <w:r>
              <w:t xml:space="preserve">Security</w:t>
            </w:r>
          </w:p>
        </w:tc>
        <w:tc>
          <w:tcPr/>
          <w:p>
            <w:pPr>
              <w:pStyle w:val="TableText"/>
            </w:pPr>
            <w:r>
              <w:t xml:space="preserve">Dependency/SAST/image findings triaged; release blocker policy applied</w:t>
            </w:r>
          </w:p>
        </w:tc>
      </w:tr>
      <w:tr>
        <w:tc>
          <w:tcPr/>
          <w:p>
            <w:pPr>
              <w:pStyle w:val="TableText"/>
            </w:pPr>
            <w:r>
              <w:t xml:space="preserve">Contract</w:t>
            </w:r>
          </w:p>
        </w:tc>
        <w:tc>
          <w:tcPr/>
          <w:p>
            <w:pPr>
              <w:pStyle w:val="TableText"/>
            </w:pPr>
            <w:r>
              <w:rPr>
                <w:rStyle w:val="VerbatimChar"/>
              </w:rPr>
              <w:t xml:space="preserve">contracts/openapi.yaml</w:t>
            </w:r>
            <w:r>
              <w:t xml:space="preserve"> </w:t>
            </w:r>
            <w:r>
              <w:t xml:space="preserve">generation and lint succeed; contract tests pass; intentional breaking changes documented</w:t>
            </w:r>
            <w:r>
              <w:t xml:space="preserve"> </w:t>
            </w:r>
            <w:r>
              <w:rPr>
                <w:i/>
                <w:iCs/>
              </w:rPr>
              <w:t xml:space="preserve">[v0.1.1 · A11]</w:t>
            </w:r>
          </w:p>
        </w:tc>
      </w:tr>
      <w:tr>
        <w:tc>
          <w:tcPr/>
          <w:p>
            <w:pPr>
              <w:pStyle w:val="TableText"/>
            </w:pPr>
            <w:r>
              <w:t xml:space="preserve">Release</w:t>
            </w:r>
          </w:p>
        </w:tc>
        <w:tc>
          <w:tcPr/>
          <w:p>
            <w:pPr>
              <w:pStyle w:val="TableText"/>
            </w:pPr>
            <w:r>
              <w:t xml:space="preserve">Version, changelog, build metadata and rollback/migration notes available</w:t>
            </w:r>
          </w:p>
        </w:tc>
      </w:tr>
    </w:tbl>
    <w:bookmarkEnd w:id="28"/>
    <w:bookmarkStart w:id="29" w:name="Xdf548d198bcf7371a6cb5001d2cdaba65412725"/>
    <w:p>
      <w:pPr>
        <w:pStyle w:val="Heading1"/>
      </w:pPr>
      <w:r>
        <w:t xml:space="preserve">21. Testing Stack and Test Pyramid</w:t>
      </w:r>
    </w:p>
    <w:tbl>
      <w:tblPr>
        <w:tblStyle w:val="Table"/>
        <w:tblW w:type="pct" w:w="5000"/>
        <w:tblLayout w:type="fixed"/>
        <w:tblLook w:firstRow="1" w:lastRow="0" w:firstColumn="0" w:lastColumn="0" w:noHBand="0" w:noVBand="0" w:val="0020"/>
      </w:tblPr>
      <w:tblGrid>
        <w:gridCol w:w="1417"/>
        <w:gridCol w:w="2093"/>
        <w:gridCol w:w="4408"/>
      </w:tblGrid>
      <w:tr>
        <w:trPr>
          <w:tblHeader w:val="on"/>
        </w:trPr>
        <w:tc>
          <w:tcPr/>
          <w:p>
            <w:pPr>
              <w:pStyle w:val="TableText"/>
              <w:jc w:val="center"/>
            </w:pPr>
            <w:r>
              <w:rPr>
                <w:b/>
                <w:bCs/>
              </w:rPr>
              <w:t xml:space="preserve">Layer</w:t>
            </w:r>
          </w:p>
        </w:tc>
        <w:tc>
          <w:tcPr/>
          <w:p>
            <w:pPr>
              <w:pStyle w:val="TableText"/>
            </w:pPr>
            <w:r>
              <w:rPr>
                <w:b/>
                <w:bCs/>
              </w:rPr>
              <w:t xml:space="preserve">Reference tools</w:t>
            </w:r>
          </w:p>
        </w:tc>
        <w:tc>
          <w:tcPr/>
          <w:p>
            <w:pPr>
              <w:pStyle w:val="TableText"/>
            </w:pPr>
            <w:r>
              <w:rPr>
                <w:b/>
                <w:bCs/>
              </w:rPr>
              <w:t xml:space="preserve">Coverage target</w:t>
            </w:r>
          </w:p>
        </w:tc>
      </w:tr>
      <w:tr>
        <w:tc>
          <w:tcPr/>
          <w:p>
            <w:pPr>
              <w:pStyle w:val="TableText"/>
              <w:jc w:val="center"/>
            </w:pPr>
            <w:r>
              <w:t xml:space="preserve">Backend unit/service</w:t>
            </w:r>
          </w:p>
        </w:tc>
        <w:tc>
          <w:tcPr/>
          <w:p>
            <w:pPr>
              <w:pStyle w:val="TableText"/>
            </w:pPr>
            <w:r>
              <w:t xml:space="preserve">pytest + pytest-django</w:t>
            </w:r>
          </w:p>
        </w:tc>
        <w:tc>
          <w:tcPr/>
          <w:p>
            <w:pPr>
              <w:pStyle w:val="TableText"/>
            </w:pPr>
            <w:r>
              <w:t xml:space="preserve">Domain invariants, service logic, authorization policy</w:t>
            </w:r>
          </w:p>
        </w:tc>
      </w:tr>
      <w:tr>
        <w:tc>
          <w:tcPr/>
          <w:p>
            <w:pPr>
              <w:pStyle w:val="TableText"/>
              <w:jc w:val="center"/>
            </w:pPr>
            <w:r>
              <w:t xml:space="preserve">API integration</w:t>
            </w:r>
          </w:p>
        </w:tc>
        <w:tc>
          <w:tcPr/>
          <w:p>
            <w:pPr>
              <w:pStyle w:val="TableText"/>
            </w:pPr>
            <w:r>
              <w:t xml:space="preserve">pytest + DRF test client</w:t>
            </w:r>
          </w:p>
        </w:tc>
        <w:tc>
          <w:tcPr/>
          <w:p>
            <w:pPr>
              <w:pStyle w:val="TableText"/>
            </w:pPr>
            <w:r>
              <w:t xml:space="preserve">Request validation, permissions, audit, transactional effects</w:t>
            </w:r>
          </w:p>
        </w:tc>
      </w:tr>
      <w:tr>
        <w:tc>
          <w:tcPr/>
          <w:p>
            <w:pPr>
              <w:pStyle w:val="TableText"/>
              <w:jc w:val="center"/>
            </w:pPr>
            <w:r>
              <w:t xml:space="preserve">Frontend unit/component</w:t>
            </w:r>
          </w:p>
        </w:tc>
        <w:tc>
          <w:tcPr/>
          <w:p>
            <w:pPr>
              <w:pStyle w:val="TableText"/>
            </w:pPr>
            <w:r>
              <w:t xml:space="preserve">Vitest + Testing Library</w:t>
            </w:r>
          </w:p>
        </w:tc>
        <w:tc>
          <w:tcPr/>
          <w:p>
            <w:pPr>
              <w:pStyle w:val="TableText"/>
            </w:pPr>
            <w:r>
              <w:t xml:space="preserve">Critical forms, state, uncertainty labels, permission rendering</w:t>
            </w:r>
          </w:p>
        </w:tc>
      </w:tr>
      <w:tr>
        <w:tc>
          <w:tcPr/>
          <w:p>
            <w:pPr>
              <w:pStyle w:val="TableText"/>
              <w:jc w:val="center"/>
            </w:pPr>
            <w:r>
              <w:t xml:space="preserve">End-to-end</w:t>
            </w:r>
          </w:p>
        </w:tc>
        <w:tc>
          <w:tcPr/>
          <w:p>
            <w:pPr>
              <w:pStyle w:val="TableText"/>
            </w:pPr>
            <w:r>
              <w:t xml:space="preserve">Playwright</w:t>
            </w:r>
          </w:p>
        </w:tc>
        <w:tc>
          <w:tcPr/>
          <w:p>
            <w:pPr>
              <w:pStyle w:val="TableText"/>
            </w:pPr>
            <w:r>
              <w:t xml:space="preserve">MVP release path from case to approved product</w:t>
            </w:r>
          </w:p>
        </w:tc>
      </w:tr>
      <w:tr>
        <w:tc>
          <w:tcPr/>
          <w:p>
            <w:pPr>
              <w:pStyle w:val="TableText"/>
              <w:jc w:val="center"/>
            </w:pPr>
            <w:r>
              <w:t xml:space="preserve">Security regression</w:t>
            </w:r>
          </w:p>
        </w:tc>
        <w:tc>
          <w:tcPr/>
          <w:p>
            <w:pPr>
              <w:pStyle w:val="TableText"/>
            </w:pPr>
            <w:r>
              <w:t xml:space="preserve">pytest/Playwright + scanning tools</w:t>
            </w:r>
          </w:p>
        </w:tc>
        <w:tc>
          <w:tcPr/>
          <w:p>
            <w:pPr>
              <w:pStyle w:val="TableText"/>
            </w:pPr>
            <w:r>
              <w:t xml:space="preserve">Object access isolation, export gates, protected-source leakage</w:t>
            </w:r>
          </w:p>
        </w:tc>
      </w:tr>
      <w:tr>
        <w:tc>
          <w:tcPr/>
          <w:p>
            <w:pPr>
              <w:pStyle w:val="TableText"/>
              <w:jc w:val="center"/>
            </w:pPr>
            <w:r>
              <w:t xml:space="preserve">Migration tests</w:t>
            </w:r>
          </w:p>
        </w:tc>
        <w:tc>
          <w:tcPr/>
          <w:p>
            <w:pPr>
              <w:pStyle w:val="TableText"/>
            </w:pPr>
            <w:r>
              <w:t xml:space="preserve">Django migration test harness</w:t>
            </w:r>
          </w:p>
        </w:tc>
        <w:tc>
          <w:tcPr/>
          <w:p>
            <w:pPr>
              <w:pStyle w:val="TableText"/>
            </w:pPr>
            <w:r>
              <w:t xml:space="preserve">Forward migration, representative data evolution, rollback plan</w:t>
            </w:r>
          </w:p>
        </w:tc>
      </w:tr>
    </w:tbl>
    <w:p>
      <w:pPr>
        <w:pStyle w:val="BodyText"/>
      </w:pPr>
      <w:r>
        <w:t xml:space="preserve">Authorization and provenance tests are first-class product tests, not optional security extras. Every P0 high-impact operation SHOULD have at least one negative authorization test.</w:t>
      </w:r>
    </w:p>
    <w:bookmarkEnd w:id="29"/>
    <w:bookmarkStart w:id="30" w:name="X71d9eab15b0f04735db94e4e4669d7aa888f439"/>
    <w:p>
      <w:pPr>
        <w:pStyle w:val="Heading1"/>
      </w:pPr>
      <w:r>
        <w:t xml:space="preserve">22. Code Quality and Conventions</w:t>
      </w:r>
    </w:p>
    <w:tbl>
      <w:tblPr>
        <w:tblStyle w:val="Table"/>
        <w:tblW w:type="pct" w:w="5000"/>
        <w:tblLayout w:type="fixed"/>
        <w:tblLook w:firstRow="1" w:lastRow="0" w:firstColumn="0" w:lastColumn="0" w:noHBand="0" w:noVBand="0" w:val="0020"/>
      </w:tblPr>
      <w:tblGrid>
        <w:gridCol w:w="1517"/>
        <w:gridCol w:w="6402"/>
      </w:tblGrid>
      <w:tr>
        <w:trPr>
          <w:tblHeader w:val="on"/>
        </w:trPr>
        <w:tc>
          <w:tcPr/>
          <w:p>
            <w:pPr>
              <w:pStyle w:val="TableText"/>
            </w:pPr>
            <w:r>
              <w:rPr>
                <w:b/>
                <w:bCs/>
              </w:rPr>
              <w:t xml:space="preserve">Area</w:t>
            </w:r>
          </w:p>
        </w:tc>
        <w:tc>
          <w:tcPr/>
          <w:p>
            <w:pPr>
              <w:pStyle w:val="TableText"/>
            </w:pPr>
            <w:r>
              <w:rPr>
                <w:b/>
                <w:bCs/>
              </w:rPr>
              <w:t xml:space="preserve">Baseline</w:t>
            </w:r>
          </w:p>
        </w:tc>
      </w:tr>
      <w:tr>
        <w:tc>
          <w:tcPr/>
          <w:p>
            <w:pPr>
              <w:pStyle w:val="TableText"/>
            </w:pPr>
            <w:r>
              <w:t xml:space="preserve">Python formatting/lint</w:t>
            </w:r>
          </w:p>
        </w:tc>
        <w:tc>
          <w:tcPr/>
          <w:p>
            <w:pPr>
              <w:pStyle w:val="TableText"/>
            </w:pPr>
            <w:r>
              <w:t xml:space="preserve">Ruff; deterministic formatting/lint rules</w:t>
            </w:r>
          </w:p>
        </w:tc>
      </w:tr>
      <w:tr>
        <w:tc>
          <w:tcPr/>
          <w:p>
            <w:pPr>
              <w:pStyle w:val="TableText"/>
            </w:pPr>
            <w:r>
              <w:t xml:space="preserve">Python typing</w:t>
            </w:r>
          </w:p>
        </w:tc>
        <w:tc>
          <w:tcPr/>
          <w:p>
            <w:pPr>
              <w:pStyle w:val="TableText"/>
            </w:pPr>
            <w:r>
              <w:t xml:space="preserve">mypy or equivalent on service/API boundaries</w:t>
            </w:r>
          </w:p>
        </w:tc>
      </w:tr>
      <w:tr>
        <w:tc>
          <w:tcPr/>
          <w:p>
            <w:pPr>
              <w:pStyle w:val="TableText"/>
            </w:pPr>
            <w:r>
              <w:t xml:space="preserve">Frontend typing</w:t>
            </w:r>
          </w:p>
        </w:tc>
        <w:tc>
          <w:tcPr/>
          <w:p>
            <w:pPr>
              <w:pStyle w:val="TableText"/>
            </w:pPr>
            <w:r>
              <w:t xml:space="preserve">TypeScript strict mode for new code</w:t>
            </w:r>
          </w:p>
        </w:tc>
      </w:tr>
      <w:tr>
        <w:tc>
          <w:tcPr/>
          <w:p>
            <w:pPr>
              <w:pStyle w:val="TableText"/>
            </w:pPr>
            <w:r>
              <w:t xml:space="preserve">Frontend lint</w:t>
            </w:r>
          </w:p>
        </w:tc>
        <w:tc>
          <w:tcPr/>
          <w:p>
            <w:pPr>
              <w:pStyle w:val="TableText"/>
            </w:pPr>
            <w:r>
              <w:t xml:space="preserve">ESLint; consistent formatter</w:t>
            </w:r>
          </w:p>
        </w:tc>
      </w:tr>
      <w:tr>
        <w:tc>
          <w:tcPr/>
          <w:p>
            <w:pPr>
              <w:pStyle w:val="TableText"/>
            </w:pPr>
            <w:r>
              <w:t xml:space="preserve">Commit style</w:t>
            </w:r>
          </w:p>
        </w:tc>
        <w:tc>
          <w:tcPr/>
          <w:p>
            <w:pPr>
              <w:pStyle w:val="TableText"/>
            </w:pPr>
            <w:r>
              <w:t xml:space="preserve">Conventional or otherwise machine-readable change categories</w:t>
            </w:r>
          </w:p>
        </w:tc>
      </w:tr>
      <w:tr>
        <w:tc>
          <w:tcPr/>
          <w:p>
            <w:pPr>
              <w:pStyle w:val="TableText"/>
            </w:pPr>
            <w:r>
              <w:t xml:space="preserve">Branching</w:t>
            </w:r>
          </w:p>
        </w:tc>
        <w:tc>
          <w:tcPr/>
          <w:p>
            <w:pPr>
              <w:pStyle w:val="TableText"/>
            </w:pPr>
            <w:r>
              <w:t xml:space="preserve">Short-lived feature branches; protected main branch</w:t>
            </w:r>
          </w:p>
        </w:tc>
      </w:tr>
      <w:tr>
        <w:tc>
          <w:tcPr/>
          <w:p>
            <w:pPr>
              <w:pStyle w:val="TableText"/>
            </w:pPr>
            <w:r>
              <w:t xml:space="preserve">Reviews</w:t>
            </w:r>
          </w:p>
        </w:tc>
        <w:tc>
          <w:tcPr/>
          <w:p>
            <w:pPr>
              <w:pStyle w:val="TableText"/>
            </w:pPr>
            <w:r>
              <w:t xml:space="preserve">At least one reviewer for normal change; additional security/domain review for high-risk modules</w:t>
            </w:r>
          </w:p>
        </w:tc>
      </w:tr>
      <w:tr>
        <w:tc>
          <w:tcPr/>
          <w:p>
            <w:pPr>
              <w:pStyle w:val="TableText"/>
            </w:pPr>
            <w:r>
              <w:t xml:space="preserve">Generated files</w:t>
            </w:r>
          </w:p>
        </w:tc>
        <w:tc>
          <w:tcPr/>
          <w:p>
            <w:pPr>
              <w:pStyle w:val="TableText"/>
            </w:pPr>
            <w:r>
              <w:t xml:space="preserve">API clients/schema artifacts generated reproducibly; avoid hand-editing generated code</w:t>
            </w:r>
          </w:p>
        </w:tc>
      </w:tr>
    </w:tbl>
    <w:bookmarkEnd w:id="30"/>
    <w:bookmarkStart w:id="31" w:name="Xb803d13c5d2a0f96631aaebe79f9b4d268312c6"/>
    <w:p>
      <w:pPr>
        <w:pStyle w:val="Heading1"/>
      </w:pPr>
      <w:r>
        <w:t xml:space="preserve">23. Database Migration Policy</w:t>
      </w:r>
    </w:p>
    <w:p>
      <w:pPr>
        <w:numPr>
          <w:ilvl w:val="0"/>
          <w:numId w:val="1005"/>
        </w:numPr>
      </w:pPr>
      <w:r>
        <w:t xml:space="preserve">Every schema change is delivered through version-controlled Django migrations.</w:t>
      </w:r>
    </w:p>
    <w:p>
      <w:pPr>
        <w:numPr>
          <w:ilvl w:val="0"/>
          <w:numId w:val="1005"/>
        </w:numPr>
      </w:pPr>
      <w:r>
        <w:t xml:space="preserve">Destructive migrations use expand/migrate/contract patterns where data loss or downtime risk exists.</w:t>
      </w:r>
    </w:p>
    <w:p>
      <w:pPr>
        <w:numPr>
          <w:ilvl w:val="0"/>
          <w:numId w:val="1005"/>
        </w:numPr>
      </w:pPr>
      <w:r>
        <w:t xml:space="preserve">Data migrations are idempotent where feasible and MUST be reviewed for analytical-semantic changes.</w:t>
      </w:r>
    </w:p>
    <w:p>
      <w:pPr>
        <w:numPr>
          <w:ilvl w:val="0"/>
          <w:numId w:val="1005"/>
        </w:numPr>
      </w:pPr>
      <w:r>
        <w:t xml:space="preserve">Production migration commands are executed as an explicit release step with backup/rollback preparation.</w:t>
      </w:r>
    </w:p>
    <w:p>
      <w:pPr>
        <w:numPr>
          <w:ilvl w:val="0"/>
          <w:numId w:val="1005"/>
        </w:numPr>
      </w:pPr>
      <w:r>
        <w:t xml:space="preserve">Controlled vocabularies and typology catalogue versions are not silently rewritten by schema migrations.</w:t>
      </w:r>
    </w:p>
    <w:bookmarkEnd w:id="31"/>
    <w:bookmarkStart w:id="32" w:name="Xee9d94346cb831e85b727cbefb9d7dc3bba969c"/>
    <w:p>
      <w:pPr>
        <w:pStyle w:val="Heading1"/>
      </w:pPr>
      <w:r>
        <w:t xml:space="preserve">24. Audit Implementation Standard</w:t>
      </w:r>
    </w:p>
    <w:p>
      <w:pPr>
        <w:pStyle w:val="FirstParagraph"/>
      </w:pPr>
      <w:r>
        <w:t xml:space="preserve">AuditEvent is a canonical append-oriented record. Application services emit audit events for material operations. Audit payloads SHOULD record object IDs and semantic changes without copying sensitive evidence bodies or protected-source identities into general logs.</w:t>
      </w:r>
    </w:p>
    <w:tbl>
      <w:tblPr>
        <w:tblStyle w:val="Table"/>
        <w:tblW w:type="pct" w:w="5000"/>
        <w:tblLayout w:type="fixed"/>
        <w:tblLook w:firstRow="1" w:lastRow="0" w:firstColumn="0" w:lastColumn="0" w:noHBand="0" w:noVBand="0" w:val="0020"/>
      </w:tblPr>
      <w:tblGrid>
        <w:gridCol w:w="1595"/>
        <w:gridCol w:w="6324"/>
      </w:tblGrid>
      <w:tr>
        <w:trPr>
          <w:tblHeader w:val="on"/>
        </w:trPr>
        <w:tc>
          <w:tcPr/>
          <w:p>
            <w:pPr>
              <w:pStyle w:val="TableText"/>
            </w:pPr>
            <w:r>
              <w:rPr>
                <w:b/>
                <w:bCs/>
              </w:rPr>
              <w:t xml:space="preserve">Must audit</w:t>
            </w:r>
          </w:p>
        </w:tc>
        <w:tc>
          <w:tcPr/>
          <w:p>
            <w:pPr>
              <w:pStyle w:val="TableText"/>
            </w:pPr>
            <w:r>
              <w:rPr>
                <w:b/>
                <w:bCs/>
              </w:rPr>
              <w:t xml:space="preserve">Examples</w:t>
            </w:r>
          </w:p>
        </w:tc>
      </w:tr>
      <w:tr>
        <w:tc>
          <w:tcPr/>
          <w:p>
            <w:pPr>
              <w:pStyle w:val="TableText"/>
            </w:pPr>
            <w:r>
              <w:t xml:space="preserve">Identity/access</w:t>
            </w:r>
          </w:p>
        </w:tc>
        <w:tc>
          <w:tcPr/>
          <w:p>
            <w:pPr>
              <w:pStyle w:val="TableText"/>
            </w:pPr>
            <w:r>
              <w:t xml:space="preserve">login/session events where needed, membership/role changes</w:t>
            </w:r>
          </w:p>
        </w:tc>
      </w:tr>
      <w:tr>
        <w:tc>
          <w:tcPr/>
          <w:p>
            <w:pPr>
              <w:pStyle w:val="TableText"/>
            </w:pPr>
            <w:r>
              <w:t xml:space="preserve">Case governance</w:t>
            </w:r>
          </w:p>
        </w:tc>
        <w:tc>
          <w:tcPr/>
          <w:p>
            <w:pPr>
              <w:pStyle w:val="TableText"/>
            </w:pPr>
            <w:r>
              <w:t xml:space="preserve">charter/scope changes, gates, ownership changes</w:t>
            </w:r>
          </w:p>
        </w:tc>
      </w:tr>
      <w:tr>
        <w:tc>
          <w:tcPr/>
          <w:p>
            <w:pPr>
              <w:pStyle w:val="TableText"/>
            </w:pPr>
            <w:r>
              <w:t xml:space="preserve">Evidence</w:t>
            </w:r>
          </w:p>
        </w:tc>
        <w:tc>
          <w:tcPr/>
          <w:p>
            <w:pPr>
              <w:pStyle w:val="TableText"/>
            </w:pPr>
            <w:r>
              <w:t xml:space="preserve">upload, integrity verification, derivative creation, restricted download</w:t>
            </w:r>
          </w:p>
        </w:tc>
      </w:tr>
      <w:tr>
        <w:tc>
          <w:tcPr/>
          <w:p>
            <w:pPr>
              <w:pStyle w:val="TableText"/>
            </w:pPr>
            <w:r>
              <w:t xml:space="preserve">Entity analysis</w:t>
            </w:r>
          </w:p>
        </w:tc>
        <w:tc>
          <w:tcPr/>
          <w:p>
            <w:pPr>
              <w:pStyle w:val="TableText"/>
            </w:pPr>
            <w:r>
              <w:t xml:space="preserve">merge, unmerge, status/confidence change</w:t>
            </w:r>
          </w:p>
        </w:tc>
      </w:tr>
      <w:tr>
        <w:tc>
          <w:tcPr/>
          <w:p>
            <w:pPr>
              <w:pStyle w:val="TableText"/>
            </w:pPr>
            <w:r>
              <w:t xml:space="preserve">Reasoning</w:t>
            </w:r>
          </w:p>
        </w:tc>
        <w:tc>
          <w:tcPr/>
          <w:p>
            <w:pPr>
              <w:pStyle w:val="TableText"/>
            </w:pPr>
            <w:r>
              <w:t xml:space="preserve">hypothesis status, assessment approval/version</w:t>
            </w:r>
          </w:p>
        </w:tc>
      </w:tr>
      <w:tr>
        <w:tc>
          <w:tcPr/>
          <w:p>
            <w:pPr>
              <w:pStyle w:val="TableText"/>
            </w:pPr>
            <w:r>
              <w:t xml:space="preserve">Dissemination</w:t>
            </w:r>
          </w:p>
        </w:tc>
        <w:tc>
          <w:tcPr/>
          <w:p>
            <w:pPr>
              <w:pStyle w:val="TableText"/>
            </w:pPr>
            <w:r>
              <w:t xml:space="preserve">product approval, export, recipient/share record</w:t>
            </w:r>
          </w:p>
        </w:tc>
      </w:tr>
      <w:tr>
        <w:tc>
          <w:tcPr/>
          <w:p>
            <w:pPr>
              <w:pStyle w:val="TableText"/>
            </w:pPr>
            <w:r>
              <w:t xml:space="preserve">Administration</w:t>
            </w:r>
          </w:p>
        </w:tc>
        <w:tc>
          <w:tcPr/>
          <w:p>
            <w:pPr>
              <w:pStyle w:val="TableText"/>
            </w:pPr>
            <w:r>
              <w:t xml:space="preserve">vocabulary, retention, policy and feature-flag changes</w:t>
            </w:r>
          </w:p>
        </w:tc>
      </w:tr>
    </w:tbl>
    <w:bookmarkEnd w:id="32"/>
    <w:bookmarkStart w:id="33" w:name="X914f17a0c9bb2921b423ce0138b40653eb7a82f"/>
    <w:p>
      <w:pPr>
        <w:pStyle w:val="Heading1"/>
      </w:pPr>
      <w:r>
        <w:t xml:space="preserve">25. Observability and Logging</w:t>
      </w:r>
    </w:p>
    <w:p>
      <w:pPr>
        <w:pStyle w:val="FirstParagraph"/>
      </w:pPr>
      <w:r>
        <w:t xml:space="preserve">Operational telemetry SHALL help operate the platform without becoming a shadow copy of investigative data. Logs SHOULD use correlation IDs, route/action names, object IDs where safe, timings and error categories. Evidence text, secrets, tokens and protected-source identities SHALL NOT be included in routine logs.</w:t>
      </w:r>
    </w:p>
    <w:p>
      <w:pPr>
        <w:numPr>
          <w:ilvl w:val="0"/>
          <w:numId w:val="1006"/>
        </w:numPr>
      </w:pPr>
      <w:r>
        <w:t xml:space="preserve">Metrics: request latency/error rate, queue depth, job failures, DB pool health, storage capacity, backup status.</w:t>
      </w:r>
    </w:p>
    <w:p>
      <w:pPr>
        <w:numPr>
          <w:ilvl w:val="0"/>
          <w:numId w:val="1006"/>
        </w:numPr>
      </w:pPr>
      <w:r>
        <w:t xml:space="preserve">Health and metrics endpoints:</w:t>
      </w:r>
      <w:r>
        <w:t xml:space="preserve"> </w:t>
      </w:r>
      <w:r>
        <w:rPr>
          <w:rStyle w:val="VerbatimChar"/>
        </w:rPr>
        <w:t xml:space="preserve">GET /api/v1/health</w:t>
      </w:r>
      <w:r>
        <w:t xml:space="preserve"> </w:t>
      </w:r>
      <w:r>
        <w:t xml:space="preserve">is part of the API contract (unauthenticated readiness probe; dependency status and latency only, no case content). The Prometheus</w:t>
      </w:r>
      <w:r>
        <w:t xml:space="preserve"> </w:t>
      </w:r>
      <w:r>
        <w:rPr>
          <w:rStyle w:val="VerbatimChar"/>
        </w:rPr>
        <w:t xml:space="preserve">/metrics</w:t>
      </w:r>
      <w:r>
        <w:t xml:space="preserve"> </w:t>
      </w:r>
      <w:r>
        <w:t xml:space="preserve">endpoint is internal: scraped inside the deployment network, never routed by the reverse proxy, and not part of the API contract.</w:t>
      </w:r>
      <w:r>
        <w:t xml:space="preserve"> </w:t>
      </w:r>
      <w:r>
        <w:rPr>
          <w:i/>
          <w:iCs/>
        </w:rPr>
        <w:t xml:space="preserve">[v0.1.3 · CR-I7-08]</w:t>
      </w:r>
    </w:p>
    <w:p>
      <w:pPr>
        <w:numPr>
          <w:ilvl w:val="0"/>
          <w:numId w:val="1006"/>
        </w:numPr>
      </w:pPr>
      <w:r>
        <w:t xml:space="preserve">Traces: optional OpenTelemetry traces with sensitive attribute allowlist.</w:t>
      </w:r>
    </w:p>
    <w:p>
      <w:pPr>
        <w:numPr>
          <w:ilvl w:val="0"/>
          <w:numId w:val="1006"/>
        </w:numPr>
      </w:pPr>
      <w:r>
        <w:t xml:space="preserve">Application errors: structured logs with correlation IDs and user-safe error responses.</w:t>
      </w:r>
    </w:p>
    <w:p>
      <w:pPr>
        <w:numPr>
          <w:ilvl w:val="0"/>
          <w:numId w:val="1006"/>
        </w:numPr>
      </w:pPr>
      <w:r>
        <w:t xml:space="preserve">Audit trail: separate canonical domain/audit record, not inferred from operational logs.</w:t>
      </w:r>
    </w:p>
    <w:bookmarkEnd w:id="33"/>
    <w:bookmarkStart w:id="34" w:name="X4464f1e9d639300067d3f0ef7875bb471c5a412"/>
    <w:p>
      <w:pPr>
        <w:pStyle w:val="Heading1"/>
      </w:pPr>
      <w:r>
        <w:t xml:space="preserve">26. Backup, Restore and Disaster Recovery</w:t>
      </w:r>
    </w:p>
    <w:tbl>
      <w:tblPr>
        <w:tblStyle w:val="Table"/>
        <w:tblW w:type="pct" w:w="5000"/>
        <w:tblLayout w:type="fixed"/>
        <w:tblLook w:firstRow="1" w:lastRow="0" w:firstColumn="0" w:lastColumn="0" w:noHBand="0" w:noVBand="0" w:val="0020"/>
      </w:tblPr>
      <w:tblGrid>
        <w:gridCol w:w="1361"/>
        <w:gridCol w:w="3742"/>
        <w:gridCol w:w="2815"/>
      </w:tblGrid>
      <w:tr>
        <w:trPr>
          <w:tblHeader w:val="on"/>
        </w:trPr>
        <w:tc>
          <w:tcPr/>
          <w:p>
            <w:pPr>
              <w:pStyle w:val="TableText"/>
              <w:jc w:val="center"/>
            </w:pPr>
            <w:r>
              <w:rPr>
                <w:b/>
                <w:bCs/>
              </w:rPr>
              <w:t xml:space="preserve">Component</w:t>
            </w:r>
          </w:p>
        </w:tc>
        <w:tc>
          <w:tcPr/>
          <w:p>
            <w:pPr>
              <w:pStyle w:val="TableText"/>
            </w:pPr>
            <w:r>
              <w:rPr>
                <w:b/>
                <w:bCs/>
              </w:rPr>
              <w:t xml:space="preserve">Backup requirement</w:t>
            </w:r>
          </w:p>
        </w:tc>
        <w:tc>
          <w:tcPr/>
          <w:p>
            <w:pPr>
              <w:pStyle w:val="TableText"/>
            </w:pPr>
            <w:r>
              <w:rPr>
                <w:b/>
                <w:bCs/>
              </w:rPr>
              <w:t xml:space="preserve">Restore verification</w:t>
            </w:r>
          </w:p>
        </w:tc>
      </w:tr>
      <w:tr>
        <w:tc>
          <w:tcPr/>
          <w:p>
            <w:pPr>
              <w:pStyle w:val="TableText"/>
              <w:jc w:val="center"/>
            </w:pPr>
            <w:r>
              <w:t xml:space="preserve">PostgreSQL</w:t>
            </w:r>
          </w:p>
        </w:tc>
        <w:tc>
          <w:tcPr/>
          <w:p>
            <w:pPr>
              <w:pStyle w:val="TableText"/>
            </w:pPr>
            <w:r>
              <w:t xml:space="preserve">Automated full/incremental or WAL-aware strategy appropriate to deployment</w:t>
            </w:r>
          </w:p>
        </w:tc>
        <w:tc>
          <w:tcPr/>
          <w:p>
            <w:pPr>
              <w:pStyle w:val="TableText"/>
            </w:pPr>
            <w:r>
              <w:t xml:space="preserve">Periodic restore into isolated environment; integrity checks</w:t>
            </w:r>
          </w:p>
        </w:tc>
      </w:tr>
      <w:tr>
        <w:tc>
          <w:tcPr/>
          <w:p>
            <w:pPr>
              <w:pStyle w:val="TableText"/>
              <w:jc w:val="center"/>
            </w:pPr>
            <w:r>
              <w:t xml:space="preserve">Evidence object store</w:t>
            </w:r>
          </w:p>
        </w:tc>
        <w:tc>
          <w:tcPr/>
          <w:p>
            <w:pPr>
              <w:pStyle w:val="TableText"/>
            </w:pPr>
            <w:r>
              <w:t xml:space="preserve">Versioned backup/replication with hash preservation</w:t>
            </w:r>
          </w:p>
        </w:tc>
        <w:tc>
          <w:tcPr/>
          <w:p>
            <w:pPr>
              <w:pStyle w:val="TableText"/>
            </w:pPr>
            <w:r>
              <w:t xml:space="preserve">Sample object restore + hash comparison</w:t>
            </w:r>
          </w:p>
        </w:tc>
      </w:tr>
      <w:tr>
        <w:tc>
          <w:tcPr/>
          <w:p>
            <w:pPr>
              <w:pStyle w:val="TableText"/>
              <w:jc w:val="center"/>
            </w:pPr>
            <w:r>
              <w:t xml:space="preserve">Configuration</w:t>
            </w:r>
          </w:p>
        </w:tc>
        <w:tc>
          <w:tcPr/>
          <w:p>
            <w:pPr>
              <w:pStyle w:val="TableText"/>
            </w:pPr>
            <w:r>
              <w:t xml:space="preserve">Infrastructure/config templates and controlled secrets recovery procedure</w:t>
            </w:r>
          </w:p>
        </w:tc>
        <w:tc>
          <w:tcPr/>
          <w:p>
            <w:pPr>
              <w:pStyle w:val="TableText"/>
            </w:pPr>
            <w:r>
              <w:t xml:space="preserve">Recreate staging from documented baseline</w:t>
            </w:r>
          </w:p>
        </w:tc>
      </w:tr>
      <w:tr>
        <w:tc>
          <w:tcPr/>
          <w:p>
            <w:pPr>
              <w:pStyle w:val="TableText"/>
              <w:jc w:val="center"/>
            </w:pPr>
            <w:r>
              <w:t xml:space="preserve">Keycloak dependency</w:t>
            </w:r>
          </w:p>
        </w:tc>
        <w:tc>
          <w:tcPr/>
          <w:p>
            <w:pPr>
              <w:pStyle w:val="TableText"/>
            </w:pPr>
            <w:r>
              <w:t xml:space="preserve">IdP realm/client configuration backup where organisation owns it</w:t>
            </w:r>
          </w:p>
        </w:tc>
        <w:tc>
          <w:tcPr/>
          <w:p>
            <w:pPr>
              <w:pStyle w:val="TableText"/>
            </w:pPr>
            <w:r>
              <w:t xml:space="preserve">Test client/role recovery as applicable</w:t>
            </w:r>
          </w:p>
        </w:tc>
      </w:tr>
    </w:tbl>
    <w:p>
      <w:pPr>
        <w:pStyle w:val="BodyText"/>
      </w:pPr>
      <w:r>
        <w:t xml:space="preserve">RPO/RTO targets SHALL be set by the deployment owner in accordance with SRS availability requirements. A backup that has never been restored is not accepted as evidence of recoverability.</w:t>
      </w:r>
    </w:p>
    <w:bookmarkEnd w:id="34"/>
    <w:bookmarkStart w:id="35" w:name="Xf6adaeb781c8226716fc32212f3fd64dce85c2d"/>
    <w:p>
      <w:pPr>
        <w:pStyle w:val="Heading1"/>
      </w:pPr>
      <w:r>
        <w:t xml:space="preserve">27. External Integration Boundary</w:t>
      </w:r>
    </w:p>
    <w:p>
      <w:pPr>
        <w:pStyle w:val="FirstParagraph"/>
      </w:pPr>
      <w:r>
        <w:t xml:space="preserve">P0 does not require OpenAleph, OpenSanctions, Flowintel, GraphSense, OpenSearch or a graph database. Integration adapters belong under</w:t>
      </w:r>
      <w:r>
        <w:t xml:space="preserve"> </w:t>
      </w:r>
      <w:r>
        <w:rPr>
          <w:rStyle w:val="VerbatimChar"/>
        </w:rPr>
        <w:t xml:space="preserve">integrations/</w:t>
      </w:r>
      <w:r>
        <w:t xml:space="preserve"> </w:t>
      </w:r>
      <w:r>
        <w:t xml:space="preserve">and SHALL map external data into explicit candidate/reference objects with source/provider/time metadata. No connector may silently merge an external record into a canonical entity.</w:t>
      </w:r>
    </w:p>
    <w:tbl>
      <w:tblPr>
        <w:tblStyle w:val="Table"/>
        <w:tblW w:type="pct" w:w="5000"/>
        <w:tblLayout w:type="fixed"/>
        <w:tblLook w:firstRow="1" w:lastRow="0" w:firstColumn="0" w:lastColumn="0" w:noHBand="0" w:noVBand="0" w:val="0020"/>
      </w:tblPr>
      <w:tblGrid>
        <w:gridCol w:w="1455"/>
        <w:gridCol w:w="1468"/>
        <w:gridCol w:w="4995"/>
      </w:tblGrid>
      <w:tr>
        <w:trPr>
          <w:tblHeader w:val="on"/>
        </w:trPr>
        <w:tc>
          <w:tcPr/>
          <w:p>
            <w:pPr>
              <w:pStyle w:val="TableText"/>
              <w:jc w:val="center"/>
            </w:pPr>
            <w:r>
              <w:rPr>
                <w:b/>
                <w:bCs/>
              </w:rPr>
              <w:t xml:space="preserve">Integration</w:t>
            </w:r>
          </w:p>
        </w:tc>
        <w:tc>
          <w:tcPr/>
          <w:p>
            <w:pPr>
              <w:pStyle w:val="TableText"/>
            </w:pPr>
            <w:r>
              <w:rPr>
                <w:b/>
                <w:bCs/>
              </w:rPr>
              <w:t xml:space="preserve">MVP</w:t>
            </w:r>
          </w:p>
        </w:tc>
        <w:tc>
          <w:tcPr/>
          <w:p>
            <w:pPr>
              <w:pStyle w:val="TableText"/>
            </w:pPr>
            <w:r>
              <w:rPr>
                <w:b/>
                <w:bCs/>
              </w:rPr>
              <w:t xml:space="preserve">Phase 2+ approach</w:t>
            </w:r>
          </w:p>
        </w:tc>
      </w:tr>
      <w:tr>
        <w:tc>
          <w:tcPr/>
          <w:p>
            <w:pPr>
              <w:pStyle w:val="TableText"/>
              <w:jc w:val="center"/>
            </w:pPr>
            <w:r>
              <w:t xml:space="preserve">OpenAleph</w:t>
            </w:r>
          </w:p>
        </w:tc>
        <w:tc>
          <w:tcPr/>
          <w:p>
            <w:pPr>
              <w:pStyle w:val="TableText"/>
            </w:pPr>
            <w:r>
              <w:t xml:space="preserve">Not required</w:t>
            </w:r>
          </w:p>
        </w:tc>
        <w:tc>
          <w:tcPr/>
          <w:p>
            <w:pPr>
              <w:pStyle w:val="TableText"/>
            </w:pPr>
            <w:r>
              <w:t xml:space="preserve">Document/entity import with provenance and external IDs</w:t>
            </w:r>
          </w:p>
        </w:tc>
      </w:tr>
      <w:tr>
        <w:tc>
          <w:tcPr/>
          <w:p>
            <w:pPr>
              <w:pStyle w:val="TableText"/>
              <w:jc w:val="center"/>
            </w:pPr>
            <w:r>
              <w:t xml:space="preserve">OpenSanctions</w:t>
            </w:r>
          </w:p>
        </w:tc>
        <w:tc>
          <w:tcPr/>
          <w:p>
            <w:pPr>
              <w:pStyle w:val="TableText"/>
            </w:pPr>
            <w:r>
              <w:t xml:space="preserve">Not required</w:t>
            </w:r>
          </w:p>
        </w:tc>
        <w:tc>
          <w:tcPr/>
          <w:p>
            <w:pPr>
              <w:pStyle w:val="TableText"/>
            </w:pPr>
            <w:r>
              <w:t xml:space="preserve">Candidate screening result; analyst confirmation required</w:t>
            </w:r>
          </w:p>
        </w:tc>
      </w:tr>
      <w:tr>
        <w:tc>
          <w:tcPr/>
          <w:p>
            <w:pPr>
              <w:pStyle w:val="TableText"/>
              <w:jc w:val="center"/>
            </w:pPr>
            <w:r>
              <w:t xml:space="preserve">FollowTheMoney</w:t>
            </w:r>
          </w:p>
        </w:tc>
        <w:tc>
          <w:tcPr/>
          <w:p>
            <w:pPr>
              <w:pStyle w:val="TableText"/>
            </w:pPr>
            <w:r>
              <w:t xml:space="preserve">Mapping not required</w:t>
            </w:r>
          </w:p>
        </w:tc>
        <w:tc>
          <w:tcPr/>
          <w:p>
            <w:pPr>
              <w:pStyle w:val="TableText"/>
            </w:pPr>
            <w:r>
              <w:t xml:space="preserve">Versioned import/export mapping</w:t>
            </w:r>
          </w:p>
        </w:tc>
      </w:tr>
      <w:tr>
        <w:tc>
          <w:tcPr/>
          <w:p>
            <w:pPr>
              <w:pStyle w:val="TableText"/>
              <w:jc w:val="center"/>
            </w:pPr>
            <w:r>
              <w:t xml:space="preserve">Neo4j/Memgraph</w:t>
            </w:r>
          </w:p>
        </w:tc>
        <w:tc>
          <w:tcPr/>
          <w:p>
            <w:pPr>
              <w:pStyle w:val="TableText"/>
            </w:pPr>
            <w:r>
              <w:t xml:space="preserve">Not required</w:t>
            </w:r>
          </w:p>
        </w:tc>
        <w:tc>
          <w:tcPr/>
          <w:p>
            <w:pPr>
              <w:pStyle w:val="TableText"/>
            </w:pPr>
            <w:r>
              <w:t xml:space="preserve">Rebuildable graph projection</w:t>
            </w:r>
          </w:p>
        </w:tc>
      </w:tr>
      <w:tr>
        <w:tc>
          <w:tcPr/>
          <w:p>
            <w:pPr>
              <w:pStyle w:val="TableText"/>
              <w:jc w:val="center"/>
            </w:pPr>
            <w:r>
              <w:t xml:space="preserve">OpenSearch</w:t>
            </w:r>
          </w:p>
        </w:tc>
        <w:tc>
          <w:tcPr/>
          <w:p>
            <w:pPr>
              <w:pStyle w:val="TableText"/>
            </w:pPr>
            <w:r>
              <w:t xml:space="preserve">Not required</w:t>
            </w:r>
          </w:p>
        </w:tc>
        <w:tc>
          <w:tcPr/>
          <w:p>
            <w:pPr>
              <w:pStyle w:val="TableText"/>
            </w:pPr>
            <w:r>
              <w:t xml:space="preserve">Derived permission-aware search index</w:t>
            </w:r>
          </w:p>
        </w:tc>
      </w:tr>
      <w:tr>
        <w:tc>
          <w:tcPr/>
          <w:p>
            <w:pPr>
              <w:pStyle w:val="TableText"/>
              <w:jc w:val="center"/>
            </w:pPr>
            <w:r>
              <w:t xml:space="preserve">GraphSense</w:t>
            </w:r>
          </w:p>
        </w:tc>
        <w:tc>
          <w:tcPr/>
          <w:p>
            <w:pPr>
              <w:pStyle w:val="TableText"/>
            </w:pPr>
            <w:r>
              <w:t xml:space="preserve">Not required</w:t>
            </w:r>
          </w:p>
        </w:tc>
        <w:tc>
          <w:tcPr/>
          <w:p>
            <w:pPr>
              <w:pStyle w:val="TableText"/>
            </w:pPr>
            <w:r>
              <w:t xml:space="preserve">Attributed blockchain analytics connector</w:t>
            </w:r>
          </w:p>
        </w:tc>
      </w:tr>
      <w:tr>
        <w:tc>
          <w:tcPr/>
          <w:p>
            <w:pPr>
              <w:pStyle w:val="TableText"/>
              <w:jc w:val="center"/>
            </w:pPr>
            <w:r>
              <w:t xml:space="preserve">Flowintel</w:t>
            </w:r>
          </w:p>
        </w:tc>
        <w:tc>
          <w:tcPr/>
          <w:p>
            <w:pPr>
              <w:pStyle w:val="TableText"/>
            </w:pPr>
            <w:r>
              <w:t xml:space="preserve">Not required</w:t>
            </w:r>
          </w:p>
        </w:tc>
        <w:tc>
          <w:tcPr/>
          <w:p>
            <w:pPr>
              <w:pStyle w:val="TableText"/>
            </w:pPr>
            <w:r>
              <w:t xml:space="preserve">Workflow metadata interoperability only unless explicitly approved</w:t>
            </w:r>
          </w:p>
        </w:tc>
      </w:tr>
    </w:tbl>
    <w:bookmarkEnd w:id="35"/>
    <w:bookmarkStart w:id="36" w:name="X53a574faae6a423cde446d8d13f72a7bccc832e"/>
    <w:p>
      <w:pPr>
        <w:pStyle w:val="Heading1"/>
      </w:pPr>
      <w:r>
        <w:t xml:space="preserve">28. Security Hardening Baseline</w:t>
      </w:r>
    </w:p>
    <w:p>
      <w:pPr>
        <w:numPr>
          <w:ilvl w:val="0"/>
          <w:numId w:val="1007"/>
        </w:numPr>
      </w:pPr>
      <w:r>
        <w:t xml:space="preserve">TLS for all non-local traffic; session cookie</w:t>
      </w:r>
      <w:r>
        <w:t xml:space="preserve"> </w:t>
      </w:r>
      <w:r>
        <w:rPr>
          <w:rStyle w:val="VerbatimChar"/>
        </w:rPr>
        <w:t xml:space="preserve">__Host-csaml_session</w:t>
      </w:r>
      <w:r>
        <w:t xml:space="preserve"> </w:t>
      </w:r>
      <w:r>
        <w:t xml:space="preserve">with HttpOnly, Secure, SameSite=Lax, Path=/; HSTS where deployment permits.</w:t>
      </w:r>
      <w:r>
        <w:t xml:space="preserve"> </w:t>
      </w:r>
      <w:r>
        <w:rPr>
          <w:i/>
          <w:iCs/>
        </w:rPr>
        <w:t xml:space="preserve">[v0.1.1 · A11]</w:t>
      </w:r>
      <w:r>
        <w:t xml:space="preserve"> </w:t>
      </w:r>
      <w:r>
        <w:t xml:space="preserve">Production settings SHALL force the</w:t>
      </w:r>
      <w:r>
        <w:t xml:space="preserve"> </w:t>
      </w:r>
      <w:r>
        <w:rPr>
          <w:rStyle w:val="VerbatimChar"/>
        </w:rPr>
        <w:t xml:space="preserve">__Host-csaml_session</w:t>
      </w:r>
      <w:r>
        <w:t xml:space="preserve"> </w:t>
      </w:r>
      <w:r>
        <w:t xml:space="preserve">name and</w:t>
      </w:r>
      <w:r>
        <w:t xml:space="preserve"> </w:t>
      </w:r>
      <w:r>
        <w:rPr>
          <w:rStyle w:val="VerbatimChar"/>
        </w:rPr>
        <w:t xml:space="preserve">Secure</w:t>
      </w:r>
      <w:r>
        <w:t xml:space="preserve">; only an explicitly isolated local-development settings profile MAY override the cookie name and drop</w:t>
      </w:r>
      <w:r>
        <w:t xml:space="preserve"> </w:t>
      </w:r>
      <w:r>
        <w:rPr>
          <w:rStyle w:val="VerbatimChar"/>
        </w:rPr>
        <w:t xml:space="preserve">Secure</w:t>
      </w:r>
      <w:r>
        <w:t xml:space="preserve"> </w:t>
      </w:r>
      <w:r>
        <w:t xml:space="preserve">for plain-http</w:t>
      </w:r>
      <w:r>
        <w:t xml:space="preserve"> </w:t>
      </w:r>
      <w:r>
        <w:rPr>
          <w:rStyle w:val="VerbatimChar"/>
        </w:rPr>
        <w:t xml:space="preserve">localhost</w:t>
      </w:r>
      <w:r>
        <w:t xml:space="preserve"> </w:t>
      </w:r>
      <w:r>
        <w:t xml:space="preserve">(browsers refuse</w:t>
      </w:r>
      <w:r>
        <w:t xml:space="preserve"> </w:t>
      </w:r>
      <w:r>
        <w:rPr>
          <w:rStyle w:val="VerbatimChar"/>
        </w:rPr>
        <w:t xml:space="preserve">__Host-</w:t>
      </w:r>
      <w:r>
        <w:t xml:space="preserve">/Secure cookies there). That profile SHALL NOT be usable in any shared or production environment.</w:t>
      </w:r>
      <w:r>
        <w:t xml:space="preserve"> </w:t>
      </w:r>
      <w:r>
        <w:rPr>
          <w:i/>
          <w:iCs/>
        </w:rPr>
        <w:t xml:space="preserve">[v0.1.2 · CR-I1-06]</w:t>
      </w:r>
    </w:p>
    <w:p>
      <w:pPr>
        <w:numPr>
          <w:ilvl w:val="0"/>
          <w:numId w:val="1007"/>
        </w:numPr>
      </w:pPr>
      <w:r>
        <w:t xml:space="preserve">CSRF protection (</w:t>
      </w:r>
      <w:r>
        <w:rPr>
          <w:rStyle w:val="VerbatimChar"/>
        </w:rPr>
        <w:t xml:space="preserve">X-CSRFToken</w:t>
      </w:r>
      <w:r>
        <w:t xml:space="preserve">) for every unsafe method; API is same-origin and CORS is disabled by default.</w:t>
      </w:r>
      <w:r>
        <w:t xml:space="preserve"> </w:t>
      </w:r>
      <w:r>
        <w:rPr>
          <w:i/>
          <w:iCs/>
        </w:rPr>
        <w:t xml:space="preserve">[v0.1.1 · A11]</w:t>
      </w:r>
    </w:p>
    <w:p>
      <w:pPr>
        <w:numPr>
          <w:ilvl w:val="0"/>
          <w:numId w:val="1007"/>
        </w:numPr>
      </w:pPr>
      <w:r>
        <w:t xml:space="preserve">File upload size/type limits, quarantine path, safe content-disposition and no direct executable serving.</w:t>
      </w:r>
    </w:p>
    <w:p>
      <w:pPr>
        <w:numPr>
          <w:ilvl w:val="0"/>
          <w:numId w:val="1007"/>
        </w:numPr>
      </w:pPr>
      <w:r>
        <w:t xml:space="preserve">Server-side object-level authorization for every canonical object access.</w:t>
      </w:r>
    </w:p>
    <w:p>
      <w:pPr>
        <w:numPr>
          <w:ilvl w:val="0"/>
          <w:numId w:val="1007"/>
        </w:numPr>
      </w:pPr>
      <w:r>
        <w:t xml:space="preserve">Database user with least required privileges; separate operational/admin credentials.</w:t>
      </w:r>
    </w:p>
    <w:p>
      <w:pPr>
        <w:numPr>
          <w:ilvl w:val="0"/>
          <w:numId w:val="1007"/>
        </w:numPr>
      </w:pPr>
      <w:r>
        <w:t xml:space="preserve">Rate limits for login-adjacent, search-heavy and export-heavy operations as appropriate.</w:t>
      </w:r>
    </w:p>
    <w:p>
      <w:pPr>
        <w:numPr>
          <w:ilvl w:val="0"/>
          <w:numId w:val="1007"/>
        </w:numPr>
      </w:pPr>
      <w:r>
        <w:t xml:space="preserve">Security headers and frame/content controls suitable for analyst web application.</w:t>
      </w:r>
    </w:p>
    <w:p>
      <w:pPr>
        <w:numPr>
          <w:ilvl w:val="0"/>
          <w:numId w:val="1007"/>
        </w:numPr>
      </w:pPr>
      <w:r>
        <w:t xml:space="preserve">No secrets in logs, frontend bundles, error pages or repository.</w:t>
      </w:r>
    </w:p>
    <w:bookmarkEnd w:id="36"/>
    <w:bookmarkStart w:id="37" w:name="X569eaf8c6d01e372215b21beee282deae0d5797"/>
    <w:p>
      <w:pPr>
        <w:pStyle w:val="Heading1"/>
      </w:pPr>
      <w:r>
        <w:t xml:space="preserve">29. Performance and Capacity Baseline</w:t>
      </w:r>
    </w:p>
    <w:p>
      <w:pPr>
        <w:pStyle w:val="FirstParagraph"/>
      </w:pPr>
      <w:r>
        <w:t xml:space="preserve">MVP performance targets are designed for a small civil-society investigation team rather than hyperscale. Engineering SHOULD optimize predictable analyst interaction and evidence integrity before distributed scale.</w:t>
      </w:r>
    </w:p>
    <w:tbl>
      <w:tblPr>
        <w:tblStyle w:val="Table"/>
        <w:tblW w:type="pct" w:w="5000"/>
        <w:tblLayout w:type="fixed"/>
        <w:tblLook w:firstRow="1" w:lastRow="0" w:firstColumn="0" w:lastColumn="0" w:noHBand="0" w:noVBand="0" w:val="0020"/>
      </w:tblPr>
      <w:tblGrid>
        <w:gridCol w:w="1361"/>
        <w:gridCol w:w="6558"/>
      </w:tblGrid>
      <w:tr>
        <w:trPr>
          <w:tblHeader w:val="on"/>
        </w:trPr>
        <w:tc>
          <w:tcPr/>
          <w:p>
            <w:pPr>
              <w:pStyle w:val="TableText"/>
            </w:pPr>
            <w:r>
              <w:rPr>
                <w:b/>
                <w:bCs/>
              </w:rPr>
              <w:t xml:space="preserve">Workload</w:t>
            </w:r>
          </w:p>
        </w:tc>
        <w:tc>
          <w:tcPr/>
          <w:p>
            <w:pPr>
              <w:pStyle w:val="TableText"/>
            </w:pPr>
            <w:r>
              <w:rPr>
                <w:b/>
                <w:bCs/>
              </w:rPr>
              <w:t xml:space="preserve">Initial engineering target</w:t>
            </w:r>
          </w:p>
        </w:tc>
      </w:tr>
      <w:tr>
        <w:tc>
          <w:tcPr/>
          <w:p>
            <w:pPr>
              <w:pStyle w:val="TableText"/>
            </w:pPr>
            <w:r>
              <w:t xml:space="preserve">Typical authenticated API read</w:t>
            </w:r>
          </w:p>
        </w:tc>
        <w:tc>
          <w:tcPr/>
          <w:p>
            <w:pPr>
              <w:pStyle w:val="TableText"/>
            </w:pPr>
            <w:r>
              <w:t xml:space="preserve">p95 under 800 ms excluding large file transfer</w:t>
            </w:r>
          </w:p>
        </w:tc>
      </w:tr>
      <w:tr>
        <w:tc>
          <w:tcPr/>
          <w:p>
            <w:pPr>
              <w:pStyle w:val="TableText"/>
            </w:pPr>
            <w:r>
              <w:t xml:space="preserve">Typical write command</w:t>
            </w:r>
          </w:p>
        </w:tc>
        <w:tc>
          <w:tcPr/>
          <w:p>
            <w:pPr>
              <w:pStyle w:val="TableText"/>
            </w:pPr>
            <w:r>
              <w:t xml:space="preserve">p95 under 1.5 s excluding background processing</w:t>
            </w:r>
          </w:p>
        </w:tc>
      </w:tr>
      <w:tr>
        <w:tc>
          <w:tcPr/>
          <w:p>
            <w:pPr>
              <w:pStyle w:val="TableText"/>
            </w:pPr>
            <w:r>
              <w:t xml:space="preserve">Case-scoped search</w:t>
            </w:r>
          </w:p>
        </w:tc>
        <w:tc>
          <w:tcPr/>
          <w:p>
            <w:pPr>
              <w:pStyle w:val="TableText"/>
            </w:pPr>
            <w:r>
              <w:t xml:space="preserve">Interactive response for representative MVP corpus; target p95 under 2 s. Reconciled with SRS-NFR-PERF-002: both apply — global search first page ≤ 3 s and case-scoped search p95 &lt; 2 s, measured on the synthetic reference corpus (</w:t>
            </w:r>
            <w:r>
              <w:rPr>
                <w:rStyle w:val="VerbatimChar"/>
              </w:rPr>
              <w:t xml:space="preserve">backend/tests/synthetic_corpus.py</w:t>
            </w:r>
            <w:r>
              <w:t xml:space="preserve">, about 97,000 search rows; SRS-NFR-PERF-004); SHOULD-level targets, not guarantees.</w:t>
            </w:r>
            <w:r>
              <w:t xml:space="preserve"> </w:t>
            </w:r>
            <w:r>
              <w:rPr>
                <w:i/>
                <w:iCs/>
              </w:rPr>
              <w:t xml:space="preserve">[v0.1.3 · CR-I5-09]</w:t>
            </w:r>
          </w:p>
        </w:tc>
      </w:tr>
      <w:tr>
        <w:tc>
          <w:tcPr/>
          <w:p>
            <w:pPr>
              <w:pStyle w:val="TableText"/>
            </w:pPr>
            <w:r>
              <w:t xml:space="preserve">Graph view</w:t>
            </w:r>
          </w:p>
        </w:tc>
        <w:tc>
          <w:tcPr/>
          <w:p>
            <w:pPr>
              <w:pStyle w:val="TableText"/>
            </w:pPr>
            <w:r>
              <w:t xml:space="preserve">Initial authorized subgraph loads interactively; pagination/expansion prevents unbounded graphs. Graph query budgets: depth ≤ 3, 500 nodes, 1,500 edges, 4 s wall clock (partial result), 5 s statement timeout (503).</w:t>
            </w:r>
            <w:r>
              <w:t xml:space="preserve"> </w:t>
            </w:r>
            <w:r>
              <w:rPr>
                <w:i/>
                <w:iCs/>
              </w:rPr>
              <w:t xml:space="preserve">[v0.1.3 · CR-I5-02, CR-I5-06]</w:t>
            </w:r>
          </w:p>
        </w:tc>
      </w:tr>
      <w:tr>
        <w:tc>
          <w:tcPr/>
          <w:p>
            <w:pPr>
              <w:pStyle w:val="TableText"/>
            </w:pPr>
            <w:r>
              <w:t xml:space="preserve">Evidence upload</w:t>
            </w:r>
          </w:p>
        </w:tc>
        <w:tc>
          <w:tcPr/>
          <w:p>
            <w:pPr>
              <w:pStyle w:val="TableText"/>
            </w:pPr>
            <w:r>
              <w:t xml:space="preserve">Streaming upload; request memory does not scale with file size</w:t>
            </w:r>
          </w:p>
        </w:tc>
      </w:tr>
      <w:tr>
        <w:tc>
          <w:tcPr/>
          <w:p>
            <w:pPr>
              <w:pStyle w:val="TableText"/>
            </w:pPr>
            <w:r>
              <w:t xml:space="preserve">Background jobs</w:t>
            </w:r>
          </w:p>
        </w:tc>
        <w:tc>
          <w:tcPr/>
          <w:p>
            <w:pPr>
              <w:pStyle w:val="TableText"/>
            </w:pPr>
            <w:r>
              <w:t xml:space="preserve">Observable progress/failure; retries bounded and idempotent</w:t>
            </w:r>
          </w:p>
        </w:tc>
      </w:tr>
    </w:tbl>
    <w:bookmarkEnd w:id="37"/>
    <w:bookmarkStart w:id="38" w:name="X43b22989b2d04f1a0bc475ae10f15330d8aca29"/>
    <w:p>
      <w:pPr>
        <w:pStyle w:val="Heading1"/>
      </w:pPr>
      <w:r>
        <w:t xml:space="preserve">30. Accessibility and Analyst UX Engineering Rules</w:t>
      </w:r>
    </w:p>
    <w:p>
      <w:pPr>
        <w:numPr>
          <w:ilvl w:val="0"/>
          <w:numId w:val="1008"/>
        </w:numPr>
      </w:pPr>
      <w:r>
        <w:t xml:space="preserve">Keyboard-accessible core workflows and visible focus states.</w:t>
      </w:r>
    </w:p>
    <w:p>
      <w:pPr>
        <w:numPr>
          <w:ilvl w:val="0"/>
          <w:numId w:val="1008"/>
        </w:numPr>
      </w:pPr>
      <w:r>
        <w:t xml:space="preserve">Uncertainty classes SHALL not rely on color alone; labels/icons/text must survive monochrome export.</w:t>
      </w:r>
    </w:p>
    <w:p>
      <w:pPr>
        <w:numPr>
          <w:ilvl w:val="0"/>
          <w:numId w:val="1008"/>
        </w:numPr>
      </w:pPr>
      <w:r>
        <w:t xml:space="preserve">Graph and timeline SHALL provide non-visual/tabular alternatives for critical facts.</w:t>
      </w:r>
    </w:p>
    <w:p>
      <w:pPr>
        <w:numPr>
          <w:ilvl w:val="0"/>
          <w:numId w:val="1008"/>
        </w:numPr>
      </w:pPr>
      <w:r>
        <w:t xml:space="preserve">Forms SHOULD preserve unsaved-work protection for long analytical entries.</w:t>
      </w:r>
    </w:p>
    <w:p>
      <w:pPr>
        <w:numPr>
          <w:ilvl w:val="0"/>
          <w:numId w:val="1008"/>
        </w:numPr>
      </w:pPr>
      <w:r>
        <w:t xml:space="preserve">Server validation errors SHALL map to understandable field/global messages without exposing internals.</w:t>
      </w:r>
    </w:p>
    <w:bookmarkEnd w:id="38"/>
    <w:bookmarkStart w:id="39" w:name="X213037649dd93122639ca7cd8e735d3e2aec0dc"/>
    <w:p>
      <w:pPr>
        <w:pStyle w:val="Heading1"/>
      </w:pPr>
      <w:r>
        <w:t xml:space="preserve">31. Feature Flags</w:t>
      </w:r>
    </w:p>
    <w:p>
      <w:pPr>
        <w:pStyle w:val="FirstParagraph"/>
      </w:pPr>
      <w:r>
        <w:t xml:space="preserve">Feature flags MAY control incomplete or high-risk capabilities. Flags SHALL be evaluated server-side when they control authorization or sensitive processing. The MVP SHOULD reserve flags for external connectors, AI assist, advanced graph projection and experimental extraction—not for bypassing mandatory controls.</w:t>
      </w:r>
    </w:p>
    <w:bookmarkEnd w:id="39"/>
    <w:bookmarkStart w:id="40" w:name="X94d277372ca348fe50d717f05ba6ccf40562904"/>
    <w:p>
      <w:pPr>
        <w:pStyle w:val="Heading1"/>
      </w:pPr>
      <w:r>
        <w:t xml:space="preserve">32. Architecture Decision Records</w:t>
      </w:r>
    </w:p>
    <w:p>
      <w:pPr>
        <w:pStyle w:val="FirstParagraph"/>
      </w:pPr>
      <w:r>
        <w:t xml:space="preserve">Material deviations from this specification SHALL be documented under</w:t>
      </w:r>
      <w:r>
        <w:t xml:space="preserve"> </w:t>
      </w:r>
      <w:r>
        <w:rPr>
          <w:rStyle w:val="VerbatimChar"/>
        </w:rPr>
        <w:t xml:space="preserve">docs/adr/</w:t>
      </w:r>
      <w:r>
        <w:t xml:space="preserve"> </w:t>
      </w:r>
      <w:r>
        <w:t xml:space="preserve">using sequential ADRs. An ADR records context, decision, alternatives, security/data implications, migration impact and supersession status.</w:t>
      </w:r>
    </w:p>
    <w:p>
      <w:pPr>
        <w:pStyle w:val="SourceCode"/>
      </w:pPr>
      <w:r>
        <w:rPr>
          <w:rFonts w:ascii="Consolas" w:hAnsi="Consolas" w:cs="Consolas" w:eastAsia="Consolas"/>
          <w:sz w:val="18"/>
          <w:szCs w:val="18"/>
        </w:rPr>
        <w:t xml:space="preserve">docs/adr/</w:t>
      </w:r>
      <w:r>
        <w:rPr>
          <w:rFonts w:ascii="Consolas" w:hAnsi="Consolas" w:cs="Consolas" w:eastAsia="Consolas"/>
          <w:sz w:val="18"/>
          <w:szCs w:val="18"/>
        </w:rPr>
        <w:br/>
      </w:r>
      <w:r>
        <w:rPr>
          <w:rFonts w:ascii="Consolas" w:hAnsi="Consolas" w:cs="Consolas" w:eastAsia="Consolas"/>
          <w:sz w:val="18"/>
          <w:szCs w:val="18"/>
        </w:rPr>
        <w:t xml:space="preserve">├── 0001-modular-monolith.md</w:t>
      </w:r>
      <w:r>
        <w:rPr>
          <w:rFonts w:ascii="Consolas" w:hAnsi="Consolas" w:cs="Consolas" w:eastAsia="Consolas"/>
          <w:sz w:val="18"/>
          <w:szCs w:val="18"/>
        </w:rPr>
        <w:br/>
      </w:r>
      <w:r>
        <w:rPr>
          <w:rFonts w:ascii="Consolas" w:hAnsi="Consolas" w:cs="Consolas" w:eastAsia="Consolas"/>
          <w:sz w:val="18"/>
          <w:szCs w:val="18"/>
        </w:rPr>
        <w:t xml:space="preserve">├── 0002-postgresql-canonical-store.md</w:t>
      </w:r>
      <w:r>
        <w:rPr>
          <w:rFonts w:ascii="Consolas" w:hAnsi="Consolas" w:cs="Consolas" w:eastAsia="Consolas"/>
          <w:sz w:val="18"/>
          <w:szCs w:val="18"/>
        </w:rPr>
        <w:br/>
      </w:r>
      <w:r>
        <w:rPr>
          <w:rFonts w:ascii="Consolas" w:hAnsi="Consolas" w:cs="Consolas" w:eastAsia="Consolas"/>
          <w:sz w:val="18"/>
          <w:szCs w:val="18"/>
        </w:rPr>
        <w:t xml:space="preserve">├── 0003-s3-evidence-storage.md     # S3 capability and evidence storage layout (product-neutral)</w:t>
      </w:r>
      <w:r>
        <w:rPr>
          <w:rFonts w:ascii="Consolas" w:hAnsi="Consolas" w:cs="Consolas" w:eastAsia="Consolas"/>
          <w:sz w:val="18"/>
          <w:szCs w:val="18"/>
        </w:rPr>
        <w:br/>
      </w:r>
      <w:r>
        <w:rPr>
          <w:rFonts w:ascii="Consolas" w:hAnsi="Consolas" w:cs="Consolas" w:eastAsia="Consolas"/>
          <w:sz w:val="18"/>
          <w:szCs w:val="18"/>
        </w:rPr>
        <w:t xml:space="preserve">├── 0004-keycloak-oidc.md          # Keycloak OIDC with server-side BFF session</w:t>
      </w:r>
      <w:r>
        <w:rPr>
          <w:rFonts w:ascii="Consolas" w:hAnsi="Consolas" w:cs="Consolas" w:eastAsia="Consolas"/>
          <w:sz w:val="18"/>
          <w:szCs w:val="18"/>
        </w:rPr>
        <w:br/>
      </w:r>
      <w:r>
        <w:rPr>
          <w:rFonts w:ascii="Consolas" w:hAnsi="Consolas" w:cs="Consolas" w:eastAsia="Consolas"/>
          <w:sz w:val="18"/>
          <w:szCs w:val="18"/>
        </w:rPr>
        <w:t xml:space="preserve">├── 0005-object-storage.md         # S3-compatible product selection</w:t>
      </w:r>
      <w:r>
        <w:rPr>
          <w:rFonts w:ascii="Consolas" w:hAnsi="Consolas" w:cs="Consolas" w:eastAsia="Consolas"/>
          <w:sz w:val="18"/>
          <w:szCs w:val="18"/>
        </w:rPr>
        <w:br/>
      </w:r>
      <w:r>
        <w:rPr>
          <w:rFonts w:ascii="Consolas" w:hAnsi="Consolas" w:cs="Consolas" w:eastAsia="Consolas"/>
          <w:sz w:val="18"/>
          <w:szCs w:val="18"/>
        </w:rPr>
        <w:t xml:space="preserve">├── 0006-broker-cache-valkey.md    # Valkey 8.x pinned release and licence</w:t>
      </w:r>
      <w:r>
        <w:rPr>
          <w:rFonts w:ascii="Consolas" w:hAnsi="Consolas" w:cs="Consolas" w:eastAsia="Consolas"/>
          <w:sz w:val="18"/>
          <w:szCs w:val="18"/>
        </w:rPr>
        <w:br/>
      </w:r>
      <w:r>
        <w:rPr>
          <w:rFonts w:ascii="Consolas" w:hAnsi="Consolas" w:cs="Consolas" w:eastAsia="Consolas"/>
          <w:sz w:val="18"/>
          <w:szCs w:val="18"/>
        </w:rPr>
        <w:t xml:space="preserve">└── ...</w:t>
      </w:r>
    </w:p>
    <w:p>
      <w:pPr>
        <w:pStyle w:val="BodyText"/>
      </w:pPr>
      <w:r>
        <w:rPr>
          <w:i/>
          <w:iCs/>
        </w:rPr>
        <w:t xml:space="preserve">[v0.1.1 · A02, A03, A11]</w:t>
      </w:r>
      <w:r>
        <w:t xml:space="preserve"> </w:t>
      </w:r>
      <w:r>
        <w:t xml:space="preserve">— ADR-0004 records the BFF session decision (confidential client, Authorization Code + PKCE, session cookie, CSRF). ADR-0005 records the chosen object-store product and release line, maintenance status, licence, patch path, S3 compatibility test evidence and backup/restore test evidence. ADR-0006 records the pinned Valkey release, its licence (BSD-3-Clause) and the matching SBOM entry.</w:t>
      </w:r>
    </w:p>
    <w:p>
      <w:pPr>
        <w:pStyle w:val="BodyText"/>
      </w:pPr>
      <w:r>
        <w:rPr>
          <w:i/>
          <w:iCs/>
        </w:rPr>
        <w:t xml:space="preserve">[v0.1.1 · C19]</w:t>
      </w:r>
      <w:r>
        <w:t xml:space="preserve"> </w:t>
      </w:r>
      <w:r>
        <w:t xml:space="preserve">ADR-0003 and ADR-0005 do not overlap: ADR-0003 records the S3-API capability and the evidence storage layout (bucket and object-key scheme, versioning, immutability/retention, encryption, original/derivative separation) and is product-neutral; ADR-0005 records only the selection of the object-store product and release line that implements that capability. A change of product is an ADR-0005 change and does not reopen ADR-0003.</w:t>
      </w:r>
    </w:p>
    <w:bookmarkEnd w:id="40"/>
    <w:bookmarkStart w:id="41" w:name="Xc7d7e35e7371c6d4152877b1e4a873525dd77d7"/>
    <w:p>
      <w:pPr>
        <w:pStyle w:val="Heading1"/>
      </w:pPr>
      <w:r>
        <w:t xml:space="preserve">33. Repository Documentation Set</w:t>
      </w:r>
    </w:p>
    <w:tbl>
      <w:tblPr>
        <w:tblStyle w:val="Table"/>
        <w:tblW w:type="pct" w:w="5000"/>
        <w:tblLayout w:type="fixed"/>
        <w:tblLook w:firstRow="1" w:lastRow="0" w:firstColumn="0" w:lastColumn="0" w:noHBand="0" w:noVBand="0" w:val="0020"/>
      </w:tblPr>
      <w:tblGrid>
        <w:gridCol w:w="1799"/>
        <w:gridCol w:w="6120"/>
      </w:tblGrid>
      <w:tr>
        <w:trPr>
          <w:tblHeader w:val="on"/>
        </w:trPr>
        <w:tc>
          <w:tcPr/>
          <w:p>
            <w:pPr>
              <w:pStyle w:val="TableText"/>
            </w:pPr>
            <w:r>
              <w:rPr>
                <w:b/>
                <w:bCs/>
              </w:rPr>
              <w:t xml:space="preserve">File/path</w:t>
            </w:r>
          </w:p>
        </w:tc>
        <w:tc>
          <w:tcPr/>
          <w:p>
            <w:pPr>
              <w:pStyle w:val="TableText"/>
            </w:pPr>
            <w:r>
              <w:rPr>
                <w:b/>
                <w:bCs/>
              </w:rPr>
              <w:t xml:space="preserve">Purpose</w:t>
            </w:r>
          </w:p>
        </w:tc>
      </w:tr>
      <w:tr>
        <w:tc>
          <w:tcPr/>
          <w:p>
            <w:pPr>
              <w:pStyle w:val="TableText"/>
            </w:pPr>
            <w:r>
              <w:t xml:space="preserve">README.md</w:t>
            </w:r>
          </w:p>
        </w:tc>
        <w:tc>
          <w:tcPr/>
          <w:p>
            <w:pPr>
              <w:pStyle w:val="TableText"/>
            </w:pPr>
            <w:r>
              <w:t xml:space="preserve">Developer quick start, architecture summary, local run commands</w:t>
            </w:r>
          </w:p>
        </w:tc>
      </w:tr>
      <w:tr>
        <w:tc>
          <w:tcPr/>
          <w:p>
            <w:pPr>
              <w:pStyle w:val="TableText"/>
            </w:pPr>
            <w:r>
              <w:t xml:space="preserve">CONTRIBUTING.md</w:t>
            </w:r>
          </w:p>
        </w:tc>
        <w:tc>
          <w:tcPr/>
          <w:p>
            <w:pPr>
              <w:pStyle w:val="TableText"/>
            </w:pPr>
            <w:r>
              <w:t xml:space="preserve">Branching, review, tests, commit and coding conventions</w:t>
            </w:r>
          </w:p>
        </w:tc>
      </w:tr>
      <w:tr>
        <w:tc>
          <w:tcPr/>
          <w:p>
            <w:pPr>
              <w:pStyle w:val="TableText"/>
            </w:pPr>
            <w:r>
              <w:t xml:space="preserve">SECURITY.md</w:t>
            </w:r>
          </w:p>
        </w:tc>
        <w:tc>
          <w:tcPr/>
          <w:p>
            <w:pPr>
              <w:pStyle w:val="TableText"/>
            </w:pPr>
            <w:r>
              <w:t xml:space="preserve">Security reporting, supported versions, handling of vulnerabilities</w:t>
            </w:r>
          </w:p>
        </w:tc>
      </w:tr>
      <w:tr>
        <w:tc>
          <w:tcPr/>
          <w:p>
            <w:pPr>
              <w:pStyle w:val="TableText"/>
            </w:pPr>
            <w:r>
              <w:t xml:space="preserve">docs/architecture/</w:t>
            </w:r>
          </w:p>
        </w:tc>
        <w:tc>
          <w:tcPr/>
          <w:p>
            <w:pPr>
              <w:pStyle w:val="TableText"/>
            </w:pPr>
            <w:r>
              <w:t xml:space="preserve">Logical/domain diagrams and runtime topology</w:t>
            </w:r>
          </w:p>
        </w:tc>
      </w:tr>
      <w:tr>
        <w:tc>
          <w:tcPr/>
          <w:p>
            <w:pPr>
              <w:pStyle w:val="TableText"/>
            </w:pPr>
            <w:r>
              <w:t xml:space="preserve">docs/adr/</w:t>
            </w:r>
          </w:p>
        </w:tc>
        <w:tc>
          <w:tcPr/>
          <w:p>
            <w:pPr>
              <w:pStyle w:val="TableText"/>
            </w:pPr>
            <w:r>
              <w:t xml:space="preserve">Architecture decisions</w:t>
            </w:r>
          </w:p>
        </w:tc>
      </w:tr>
      <w:tr>
        <w:tc>
          <w:tcPr/>
          <w:p>
            <w:pPr>
              <w:pStyle w:val="TableText"/>
            </w:pPr>
            <w:r>
              <w:t xml:space="preserve">docs/api/</w:t>
            </w:r>
          </w:p>
        </w:tc>
        <w:tc>
          <w:tcPr/>
          <w:p>
            <w:pPr>
              <w:pStyle w:val="TableText"/>
            </w:pPr>
            <w:r>
              <w:t xml:space="preserve">API usage and generated contract notes</w:t>
            </w:r>
          </w:p>
        </w:tc>
      </w:tr>
      <w:tr>
        <w:tc>
          <w:tcPr/>
          <w:p>
            <w:pPr>
              <w:pStyle w:val="TableText"/>
            </w:pPr>
            <w:r>
              <w:t xml:space="preserve">docs/runbooks/</w:t>
            </w:r>
          </w:p>
        </w:tc>
        <w:tc>
          <w:tcPr/>
          <w:p>
            <w:pPr>
              <w:pStyle w:val="TableText"/>
            </w:pPr>
            <w:r>
              <w:t xml:space="preserve">Deploy, rollback, backup/restore, incident procedures</w:t>
            </w:r>
          </w:p>
        </w:tc>
      </w:tr>
      <w:tr>
        <w:tc>
          <w:tcPr/>
          <w:p>
            <w:pPr>
              <w:pStyle w:val="TableText"/>
            </w:pPr>
            <w:r>
              <w:t xml:space="preserve">docs/data/</w:t>
            </w:r>
          </w:p>
        </w:tc>
        <w:tc>
          <w:tcPr/>
          <w:p>
            <w:pPr>
              <w:pStyle w:val="TableText"/>
            </w:pPr>
            <w:r>
              <w:t xml:space="preserve">Data dictionary and migration semantics</w:t>
            </w:r>
          </w:p>
        </w:tc>
      </w:tr>
      <w:tr>
        <w:tc>
          <w:tcPr/>
          <w:p>
            <w:pPr>
              <w:pStyle w:val="TableText"/>
            </w:pPr>
            <w:r>
              <w:t xml:space="preserve">fixtures/</w:t>
            </w:r>
          </w:p>
        </w:tc>
        <w:tc>
          <w:tcPr/>
          <w:p>
            <w:pPr>
              <w:pStyle w:val="TableText"/>
            </w:pPr>
            <w:r>
              <w:t xml:space="preserve">Synthetic reproducible datasets only</w:t>
            </w:r>
          </w:p>
        </w:tc>
      </w:tr>
    </w:tbl>
    <w:bookmarkEnd w:id="41"/>
    <w:bookmarkStart w:id="42" w:name="Xd6e87f050fba4072c4f5b29b47fff473f2602d6"/>
    <w:p>
      <w:pPr>
        <w:pStyle w:val="Heading1"/>
      </w:pPr>
      <w:r>
        <w:t xml:space="preserve">34. MVP Module-to-Epic Mapping</w:t>
      </w:r>
    </w:p>
    <w:tbl>
      <w:tblPr>
        <w:tblStyle w:val="Table"/>
        <w:tblW w:type="pct" w:w="5000"/>
        <w:tblLayout w:type="fixed"/>
        <w:tblLook w:firstRow="1" w:lastRow="0" w:firstColumn="0" w:lastColumn="0" w:noHBand="0" w:noVBand="0" w:val="0020"/>
      </w:tblPr>
      <w:tblGrid>
        <w:gridCol w:w="512"/>
        <w:gridCol w:w="2719"/>
        <w:gridCol w:w="4688"/>
      </w:tblGrid>
      <w:tr>
        <w:trPr>
          <w:tblHeader w:val="on"/>
        </w:trPr>
        <w:tc>
          <w:tcPr/>
          <w:p>
            <w:pPr>
              <w:pStyle w:val="TableText"/>
              <w:jc w:val="center"/>
            </w:pPr>
            <w:r>
              <w:rPr>
                <w:b/>
                <w:bCs/>
              </w:rPr>
              <w:t xml:space="preserve">Epic</w:t>
            </w:r>
          </w:p>
        </w:tc>
        <w:tc>
          <w:tcPr/>
          <w:p>
            <w:pPr>
              <w:pStyle w:val="TableText"/>
            </w:pPr>
            <w:r>
              <w:rPr>
                <w:b/>
                <w:bCs/>
              </w:rPr>
              <w:t xml:space="preserve">Primary modules</w:t>
            </w:r>
          </w:p>
        </w:tc>
        <w:tc>
          <w:tcPr/>
          <w:p>
            <w:pPr>
              <w:pStyle w:val="TableText"/>
            </w:pPr>
            <w:r>
              <w:rPr>
                <w:b/>
                <w:bCs/>
              </w:rPr>
              <w:t xml:space="preserve">Implementation focus</w:t>
            </w:r>
          </w:p>
        </w:tc>
      </w:tr>
      <w:tr>
        <w:tc>
          <w:tcPr/>
          <w:p>
            <w:pPr>
              <w:pStyle w:val="TableText"/>
              <w:jc w:val="center"/>
            </w:pPr>
            <w:r>
              <w:t xml:space="preserve">E0</w:t>
            </w:r>
          </w:p>
        </w:tc>
        <w:tc>
          <w:tcPr/>
          <w:p>
            <w:pPr>
              <w:pStyle w:val="TableText"/>
            </w:pPr>
            <w:r>
              <w:t xml:space="preserve">common, audit, config, infra</w:t>
            </w:r>
          </w:p>
        </w:tc>
        <w:tc>
          <w:tcPr/>
          <w:p>
            <w:pPr>
              <w:pStyle w:val="TableText"/>
            </w:pPr>
            <w:r>
              <w:t xml:space="preserve">Foundation, canonical envelope, storage, CI/CD</w:t>
            </w:r>
          </w:p>
        </w:tc>
      </w:tr>
      <w:tr>
        <w:tc>
          <w:tcPr/>
          <w:p>
            <w:pPr>
              <w:pStyle w:val="TableText"/>
              <w:jc w:val="center"/>
            </w:pPr>
            <w:r>
              <w:t xml:space="preserve">E1</w:t>
            </w:r>
          </w:p>
        </w:tc>
        <w:tc>
          <w:tcPr/>
          <w:p>
            <w:pPr>
              <w:pStyle w:val="TableText"/>
            </w:pPr>
            <w:r>
              <w:t xml:space="preserve">iam, governance</w:t>
            </w:r>
          </w:p>
        </w:tc>
        <w:tc>
          <w:tcPr/>
          <w:p>
            <w:pPr>
              <w:pStyle w:val="TableText"/>
            </w:pPr>
            <w:r>
              <w:t xml:space="preserve">OIDC, case membership, protected sources, policy</w:t>
            </w:r>
          </w:p>
        </w:tc>
      </w:tr>
      <w:tr>
        <w:tc>
          <w:tcPr/>
          <w:p>
            <w:pPr>
              <w:pStyle w:val="TableText"/>
              <w:jc w:val="center"/>
            </w:pPr>
            <w:r>
              <w:t xml:space="preserve">E2</w:t>
            </w:r>
          </w:p>
        </w:tc>
        <w:tc>
          <w:tcPr/>
          <w:p>
            <w:pPr>
              <w:pStyle w:val="TableText"/>
            </w:pPr>
            <w:r>
              <w:t xml:space="preserve">cases</w:t>
            </w:r>
          </w:p>
        </w:tc>
        <w:tc>
          <w:tcPr/>
          <w:p>
            <w:pPr>
              <w:pStyle w:val="TableText"/>
            </w:pPr>
            <w:r>
              <w:t xml:space="preserve">Case, charter, gates, tasks, activity</w:t>
            </w:r>
          </w:p>
        </w:tc>
      </w:tr>
      <w:tr>
        <w:tc>
          <w:tcPr/>
          <w:p>
            <w:pPr>
              <w:pStyle w:val="TableText"/>
              <w:jc w:val="center"/>
            </w:pPr>
            <w:r>
              <w:t xml:space="preserve">E3</w:t>
            </w:r>
          </w:p>
        </w:tc>
        <w:tc>
          <w:tcPr/>
          <w:p>
            <w:pPr>
              <w:pStyle w:val="TableText"/>
            </w:pPr>
            <w:r>
              <w:t xml:space="preserve">sources, evidence</w:t>
            </w:r>
          </w:p>
        </w:tc>
        <w:tc>
          <w:tcPr/>
          <w:p>
            <w:pPr>
              <w:pStyle w:val="TableText"/>
            </w:pPr>
            <w:r>
              <w:t xml:space="preserve">Provenance, original/derivative, hashes, extracts</w:t>
            </w:r>
          </w:p>
        </w:tc>
      </w:tr>
      <w:tr>
        <w:tc>
          <w:tcPr/>
          <w:p>
            <w:pPr>
              <w:pStyle w:val="TableText"/>
              <w:jc w:val="center"/>
            </w:pPr>
            <w:r>
              <w:t xml:space="preserve">E4</w:t>
            </w:r>
          </w:p>
        </w:tc>
        <w:tc>
          <w:tcPr/>
          <w:p>
            <w:pPr>
              <w:pStyle w:val="TableText"/>
            </w:pPr>
            <w:r>
              <w:t xml:space="preserve">entities, relationships, assets</w:t>
            </w:r>
          </w:p>
        </w:tc>
        <w:tc>
          <w:tcPr/>
          <w:p>
            <w:pPr>
              <w:pStyle w:val="TableText"/>
            </w:pPr>
            <w:r>
              <w:t xml:space="preserve">Resolution, merge/unmerge, ownership/control</w:t>
            </w:r>
          </w:p>
        </w:tc>
      </w:tr>
      <w:tr>
        <w:tc>
          <w:tcPr/>
          <w:p>
            <w:pPr>
              <w:pStyle w:val="TableText"/>
              <w:jc w:val="center"/>
            </w:pPr>
            <w:r>
              <w:t xml:space="preserve">E5</w:t>
            </w:r>
          </w:p>
        </w:tc>
        <w:tc>
          <w:tcPr/>
          <w:p>
            <w:pPr>
              <w:pStyle w:val="TableText"/>
            </w:pPr>
            <w:r>
              <w:t xml:space="preserve">timeline, valueflows</w:t>
            </w:r>
          </w:p>
        </w:tc>
        <w:tc>
          <w:tcPr/>
          <w:p>
            <w:pPr>
              <w:pStyle w:val="TableText"/>
            </w:pPr>
            <w:r>
              <w:t xml:space="preserve">Events, temporal view, value-flow model</w:t>
            </w:r>
          </w:p>
        </w:tc>
      </w:tr>
      <w:tr>
        <w:tc>
          <w:tcPr/>
          <w:p>
            <w:pPr>
              <w:pStyle w:val="TableText"/>
              <w:jc w:val="center"/>
            </w:pPr>
            <w:r>
              <w:t xml:space="preserve">E6</w:t>
            </w:r>
          </w:p>
        </w:tc>
        <w:tc>
          <w:tcPr/>
          <w:p>
            <w:pPr>
              <w:pStyle w:val="TableText"/>
            </w:pPr>
            <w:r>
              <w:t xml:space="preserve">typologies, hypotheses, assessments</w:t>
            </w:r>
          </w:p>
        </w:tc>
        <w:tc>
          <w:tcPr/>
          <w:p>
            <w:pPr>
              <w:pStyle w:val="TableText"/>
            </w:pPr>
            <w:r>
              <w:t xml:space="preserve">Structured reasoning, gaps and confidence</w:t>
            </w:r>
          </w:p>
        </w:tc>
      </w:tr>
      <w:tr>
        <w:tc>
          <w:tcPr/>
          <w:p>
            <w:pPr>
              <w:pStyle w:val="TableText"/>
              <w:jc w:val="center"/>
            </w:pPr>
            <w:r>
              <w:t xml:space="preserve">E7</w:t>
            </w:r>
          </w:p>
        </w:tc>
        <w:tc>
          <w:tcPr/>
          <w:p>
            <w:pPr>
              <w:pStyle w:val="TableText"/>
            </w:pPr>
            <w:r>
              <w:t xml:space="preserve">search, graph</w:t>
            </w:r>
          </w:p>
        </w:tc>
        <w:tc>
          <w:tcPr/>
          <w:p>
            <w:pPr>
              <w:pStyle w:val="TableText"/>
            </w:pPr>
            <w:r>
              <w:t xml:space="preserve">Permission-aware discovery and browser projection</w:t>
            </w:r>
          </w:p>
        </w:tc>
      </w:tr>
      <w:tr>
        <w:tc>
          <w:tcPr/>
          <w:p>
            <w:pPr>
              <w:pStyle w:val="TableText"/>
              <w:jc w:val="center"/>
            </w:pPr>
            <w:r>
              <w:t xml:space="preserve">E8</w:t>
            </w:r>
          </w:p>
        </w:tc>
        <w:tc>
          <w:tcPr/>
          <w:p>
            <w:pPr>
              <w:pStyle w:val="TableText"/>
            </w:pPr>
            <w:r>
              <w:t xml:space="preserve">products, reviews, dissemination</w:t>
            </w:r>
          </w:p>
        </w:tc>
        <w:tc>
          <w:tcPr/>
          <w:p>
            <w:pPr>
              <w:pStyle w:val="TableText"/>
            </w:pPr>
            <w:r>
              <w:t xml:space="preserve">Intelligence product, review, export/referral</w:t>
            </w:r>
          </w:p>
        </w:tc>
      </w:tr>
      <w:tr>
        <w:tc>
          <w:tcPr/>
          <w:p>
            <w:pPr>
              <w:pStyle w:val="TableText"/>
              <w:jc w:val="center"/>
            </w:pPr>
            <w:r>
              <w:t xml:space="preserve">E9</w:t>
            </w:r>
          </w:p>
        </w:tc>
        <w:tc>
          <w:tcPr/>
          <w:p>
            <w:pPr>
              <w:pStyle w:val="TableText"/>
            </w:pPr>
            <w:r>
              <w:t xml:space="preserve">governance, common, infra</w:t>
            </w:r>
          </w:p>
        </w:tc>
        <w:tc>
          <w:tcPr/>
          <w:p>
            <w:pPr>
              <w:pStyle w:val="TableText"/>
            </w:pPr>
            <w:r>
              <w:t xml:space="preserve">Vocabulary, retention, restore, hardening, release</w:t>
            </w:r>
          </w:p>
        </w:tc>
      </w:tr>
    </w:tbl>
    <w:bookmarkEnd w:id="42"/>
    <w:bookmarkStart w:id="43" w:name="Xcffd00d750910cece69ce47ed6760ff3b8fdf3c"/>
    <w:p>
      <w:pPr>
        <w:pStyle w:val="Heading1"/>
      </w:pPr>
      <w:r>
        <w:t xml:space="preserve">35. Initial Delivery Sequence</w:t>
      </w:r>
    </w:p>
    <w:tbl>
      <w:tblPr>
        <w:tblStyle w:val="Table"/>
        <w:tblW w:type="pct" w:w="5000"/>
        <w:tblLayout w:type="fixed"/>
        <w:tblLook w:firstRow="1" w:lastRow="0" w:firstColumn="0" w:lastColumn="0" w:noHBand="0" w:noVBand="0" w:val="0020"/>
      </w:tblPr>
      <w:tblGrid>
        <w:gridCol w:w="984"/>
        <w:gridCol w:w="3785"/>
        <w:gridCol w:w="3150"/>
      </w:tblGrid>
      <w:tr>
        <w:trPr>
          <w:tblHeader w:val="on"/>
        </w:trPr>
        <w:tc>
          <w:tcPr/>
          <w:p>
            <w:pPr>
              <w:pStyle w:val="TableText"/>
              <w:jc w:val="center"/>
            </w:pPr>
            <w:r>
              <w:rPr>
                <w:b/>
                <w:bCs/>
              </w:rPr>
              <w:t xml:space="preserve">Increment</w:t>
            </w:r>
          </w:p>
        </w:tc>
        <w:tc>
          <w:tcPr/>
          <w:p>
            <w:pPr>
              <w:pStyle w:val="TableText"/>
            </w:pPr>
            <w:r>
              <w:rPr>
                <w:b/>
                <w:bCs/>
              </w:rPr>
              <w:t xml:space="preserve">Technical milestone</w:t>
            </w:r>
          </w:p>
        </w:tc>
        <w:tc>
          <w:tcPr/>
          <w:p>
            <w:pPr>
              <w:pStyle w:val="TableText"/>
            </w:pPr>
            <w:r>
              <w:rPr>
                <w:b/>
                <w:bCs/>
              </w:rPr>
              <w:t xml:space="preserve">Exit evidence</w:t>
            </w:r>
          </w:p>
        </w:tc>
      </w:tr>
      <w:tr>
        <w:tc>
          <w:tcPr/>
          <w:p>
            <w:pPr>
              <w:pStyle w:val="TableText"/>
              <w:jc w:val="center"/>
            </w:pPr>
            <w:r>
              <w:t xml:space="preserve">I0</w:t>
            </w:r>
          </w:p>
        </w:tc>
        <w:tc>
          <w:tcPr/>
          <w:p>
            <w:pPr>
              <w:pStyle w:val="TableText"/>
            </w:pPr>
            <w:r>
              <w:t xml:space="preserve">Repository + Compose + PostgreSQL + S3-compatible object store (ADR-0005) + Valkey + CI + audit skeleton</w:t>
            </w:r>
            <w:r>
              <w:t xml:space="preserve"> </w:t>
            </w:r>
            <w:r>
              <w:rPr>
                <w:i/>
                <w:iCs/>
              </w:rPr>
              <w:t xml:space="preserve">[v0.1.1 · A02, A03]</w:t>
            </w:r>
          </w:p>
        </w:tc>
        <w:tc>
          <w:tcPr/>
          <w:p>
            <w:pPr>
              <w:pStyle w:val="TableText"/>
            </w:pPr>
            <w:r>
              <w:t xml:space="preserve">Fresh checkout boots; migrations/tests pass; evidence round-trip works</w:t>
            </w:r>
          </w:p>
        </w:tc>
      </w:tr>
      <w:tr>
        <w:tc>
          <w:tcPr/>
          <w:p>
            <w:pPr>
              <w:pStyle w:val="TableText"/>
              <w:jc w:val="center"/>
            </w:pPr>
            <w:r>
              <w:t xml:space="preserve">I1</w:t>
            </w:r>
          </w:p>
        </w:tc>
        <w:tc>
          <w:tcPr/>
          <w:p>
            <w:pPr>
              <w:pStyle w:val="TableText"/>
            </w:pPr>
            <w:r>
              <w:t xml:space="preserve">OIDC BFF session + policy + case workspace</w:t>
            </w:r>
            <w:r>
              <w:t xml:space="preserve"> </w:t>
            </w:r>
            <w:r>
              <w:rPr>
                <w:i/>
                <w:iCs/>
              </w:rPr>
              <w:t xml:space="preserve">[v0.1.1 · A11]</w:t>
            </w:r>
          </w:p>
        </w:tc>
        <w:tc>
          <w:tcPr/>
          <w:p>
            <w:pPr>
              <w:pStyle w:val="TableText"/>
            </w:pPr>
            <w:r>
              <w:t xml:space="preserve">Two users with different permissions demonstrate isolation</w:t>
            </w:r>
          </w:p>
        </w:tc>
      </w:tr>
      <w:tr>
        <w:tc>
          <w:tcPr/>
          <w:p>
            <w:pPr>
              <w:pStyle w:val="TableText"/>
              <w:jc w:val="center"/>
            </w:pPr>
            <w:r>
              <w:t xml:space="preserve">I2</w:t>
            </w:r>
          </w:p>
        </w:tc>
        <w:tc>
          <w:tcPr/>
          <w:p>
            <w:pPr>
              <w:pStyle w:val="TableText"/>
            </w:pPr>
            <w:r>
              <w:t xml:space="preserve">Evidence + entity chain</w:t>
            </w:r>
          </w:p>
        </w:tc>
        <w:tc>
          <w:tcPr/>
          <w:p>
            <w:pPr>
              <w:pStyle w:val="TableText"/>
            </w:pPr>
            <w:r>
              <w:t xml:space="preserve">Evidence-to-entity provenance trace demonstrated</w:t>
            </w:r>
          </w:p>
        </w:tc>
      </w:tr>
      <w:tr>
        <w:tc>
          <w:tcPr/>
          <w:p>
            <w:pPr>
              <w:pStyle w:val="TableText"/>
              <w:jc w:val="center"/>
            </w:pPr>
            <w:r>
              <w:t xml:space="preserve">I3</w:t>
            </w:r>
          </w:p>
        </w:tc>
        <w:tc>
          <w:tcPr/>
          <w:p>
            <w:pPr>
              <w:pStyle w:val="TableText"/>
            </w:pPr>
            <w:r>
              <w:t xml:space="preserve">Relationships/assets/timeline/value flow</w:t>
            </w:r>
          </w:p>
        </w:tc>
        <w:tc>
          <w:tcPr/>
          <w:p>
            <w:pPr>
              <w:pStyle w:val="TableText"/>
            </w:pPr>
            <w:r>
              <w:t xml:space="preserve">Case graph and flow preserve evidence and uncertainty class</w:t>
            </w:r>
          </w:p>
        </w:tc>
      </w:tr>
      <w:tr>
        <w:tc>
          <w:tcPr/>
          <w:p>
            <w:pPr>
              <w:pStyle w:val="TableText"/>
              <w:jc w:val="center"/>
            </w:pPr>
            <w:r>
              <w:t xml:space="preserve">I4</w:t>
            </w:r>
          </w:p>
        </w:tc>
        <w:tc>
          <w:tcPr/>
          <w:p>
            <w:pPr>
              <w:pStyle w:val="TableText"/>
            </w:pPr>
            <w:r>
              <w:t xml:space="preserve">Typology/hypothesis/assessment</w:t>
            </w:r>
          </w:p>
        </w:tc>
        <w:tc>
          <w:tcPr/>
          <w:p>
            <w:pPr>
              <w:pStyle w:val="TableText"/>
            </w:pPr>
            <w:r>
              <w:t xml:space="preserve">Competing hypotheses and confidence assessment complete</w:t>
            </w:r>
          </w:p>
        </w:tc>
      </w:tr>
      <w:tr>
        <w:tc>
          <w:tcPr/>
          <w:p>
            <w:pPr>
              <w:pStyle w:val="TableText"/>
              <w:jc w:val="center"/>
            </w:pPr>
            <w:r>
              <w:t xml:space="preserve">I5</w:t>
            </w:r>
          </w:p>
        </w:tc>
        <w:tc>
          <w:tcPr/>
          <w:p>
            <w:pPr>
              <w:pStyle w:val="TableText"/>
            </w:pPr>
            <w:r>
              <w:t xml:space="preserve">Search + graph exploration</w:t>
            </w:r>
          </w:p>
        </w:tc>
        <w:tc>
          <w:tcPr/>
          <w:p>
            <w:pPr>
              <w:pStyle w:val="TableText"/>
            </w:pPr>
            <w:r>
              <w:t xml:space="preserve">Permission-aware discovery with canonical back-links</w:t>
            </w:r>
          </w:p>
        </w:tc>
      </w:tr>
      <w:tr>
        <w:tc>
          <w:tcPr/>
          <w:p>
            <w:pPr>
              <w:pStyle w:val="TableText"/>
              <w:jc w:val="center"/>
            </w:pPr>
            <w:r>
              <w:t xml:space="preserve">I6</w:t>
            </w:r>
          </w:p>
        </w:tc>
        <w:tc>
          <w:tcPr/>
          <w:p>
            <w:pPr>
              <w:pStyle w:val="TableText"/>
            </w:pPr>
            <w:r>
              <w:t xml:space="preserve">Product/review/dissemination</w:t>
            </w:r>
          </w:p>
        </w:tc>
        <w:tc>
          <w:tcPr/>
          <w:p>
            <w:pPr>
              <w:pStyle w:val="TableText"/>
            </w:pPr>
            <w:r>
              <w:t xml:space="preserve">Independent review + approved export package</w:t>
            </w:r>
          </w:p>
        </w:tc>
      </w:tr>
      <w:tr>
        <w:tc>
          <w:tcPr/>
          <w:p>
            <w:pPr>
              <w:pStyle w:val="TableText"/>
              <w:jc w:val="center"/>
            </w:pPr>
            <w:r>
              <w:t xml:space="preserve">I7</w:t>
            </w:r>
          </w:p>
        </w:tc>
        <w:tc>
          <w:tcPr/>
          <w:p>
            <w:pPr>
              <w:pStyle w:val="TableText"/>
            </w:pPr>
            <w:r>
              <w:t xml:space="preserve">Retention/backup/hardening/release</w:t>
            </w:r>
          </w:p>
        </w:tc>
        <w:tc>
          <w:tcPr/>
          <w:p>
            <w:pPr>
              <w:pStyle w:val="TableText"/>
            </w:pPr>
            <w:r>
              <w:t xml:space="preserve">Full SRS end-to-end gate plus restore evidence</w:t>
            </w:r>
          </w:p>
        </w:tc>
      </w:tr>
    </w:tbl>
    <w:bookmarkEnd w:id="43"/>
    <w:bookmarkStart w:id="44" w:name="X4d71f1da2d11b43c1c19f656bbba763c8333ccf"/>
    <w:p>
      <w:pPr>
        <w:pStyle w:val="Heading1"/>
      </w:pPr>
      <w:r>
        <w:t xml:space="preserve">36. Technical Definition of Done</w:t>
      </w:r>
    </w:p>
    <w:p>
      <w:pPr>
        <w:numPr>
          <w:ilvl w:val="0"/>
          <w:numId w:val="1009"/>
        </w:numPr>
      </w:pPr>
      <w:r>
        <w:t xml:space="preserve">Implementation traces to an SRS/engineering story ID.</w:t>
      </w:r>
    </w:p>
    <w:p>
      <w:pPr>
        <w:numPr>
          <w:ilvl w:val="0"/>
          <w:numId w:val="1009"/>
        </w:numPr>
      </w:pPr>
      <w:r>
        <w:t xml:space="preserve">Domain logic resides in service/policy boundaries rather than incidental view code.</w:t>
      </w:r>
    </w:p>
    <w:p>
      <w:pPr>
        <w:numPr>
          <w:ilvl w:val="0"/>
          <w:numId w:val="1009"/>
        </w:numPr>
      </w:pPr>
      <w:r>
        <w:t xml:space="preserve">Positive and negative authorization tests pass.</w:t>
      </w:r>
    </w:p>
    <w:p>
      <w:pPr>
        <w:numPr>
          <w:ilvl w:val="0"/>
          <w:numId w:val="1009"/>
        </w:numPr>
      </w:pPr>
      <w:r>
        <w:t xml:space="preserve">Material state change emits required audit event.</w:t>
      </w:r>
    </w:p>
    <w:p>
      <w:pPr>
        <w:numPr>
          <w:ilvl w:val="0"/>
          <w:numId w:val="1009"/>
        </w:numPr>
      </w:pPr>
      <w:r>
        <w:t xml:space="preserve">API schema and user-visible uncertainty/provenance semantics remain correct.</w:t>
      </w:r>
    </w:p>
    <w:p>
      <w:pPr>
        <w:numPr>
          <w:ilvl w:val="0"/>
          <w:numId w:val="1009"/>
        </w:numPr>
      </w:pPr>
      <w:r>
        <w:t xml:space="preserve">Migration exists and has been exercised for schema changes.</w:t>
      </w:r>
    </w:p>
    <w:p>
      <w:pPr>
        <w:numPr>
          <w:ilvl w:val="0"/>
          <w:numId w:val="1009"/>
        </w:numPr>
      </w:pPr>
      <w:r>
        <w:t xml:space="preserve">Unit/integration/E2E tests appropriate to risk pass in CI.</w:t>
      </w:r>
    </w:p>
    <w:p>
      <w:pPr>
        <w:numPr>
          <w:ilvl w:val="0"/>
          <w:numId w:val="1009"/>
        </w:numPr>
      </w:pPr>
      <w:r>
        <w:t xml:space="preserve">No release-blocking security finding remains unowned/unaccepted.</w:t>
      </w:r>
    </w:p>
    <w:p>
      <w:pPr>
        <w:numPr>
          <w:ilvl w:val="0"/>
          <w:numId w:val="1009"/>
        </w:numPr>
      </w:pPr>
      <w:r>
        <w:t xml:space="preserve">Operational/runbook impact is documented where applicable.</w:t>
      </w:r>
    </w:p>
    <w:bookmarkEnd w:id="44"/>
    <w:bookmarkStart w:id="45" w:name="X0fe5782f978372ad00e7e80c9d478c4ecc182e7"/>
    <w:p>
      <w:pPr>
        <w:pStyle w:val="Heading1"/>
      </w:pPr>
      <w:r>
        <w:t xml:space="preserve">37. Technical Release Gate for MVP 0.1</w:t>
      </w:r>
    </w:p>
    <w:p>
      <w:pPr>
        <w:pStyle w:val="FirstParagraph"/>
      </w:pPr>
      <w:r>
        <w:t xml:space="preserve">MVP 0.1 SHALL NOT be considered technically releasable merely because all containers are healthy. The following system behavior must pass in one integrated environment:</w:t>
      </w:r>
    </w:p>
    <w:p>
      <w:pPr>
        <w:numPr>
          <w:ilvl w:val="0"/>
          <w:numId w:val="1010"/>
        </w:numPr>
      </w:pPr>
      <w:r>
        <w:t xml:space="preserve">Two analysts authenticate through OIDC and receive distinct role/case permissions.</w:t>
      </w:r>
    </w:p>
    <w:p>
      <w:pPr>
        <w:numPr>
          <w:ilvl w:val="0"/>
          <w:numId w:val="1010"/>
        </w:numPr>
      </w:pPr>
      <w:r>
        <w:t xml:space="preserve">A case is created, chartered and moved through required gate controls.</w:t>
      </w:r>
    </w:p>
    <w:p>
      <w:pPr>
        <w:numPr>
          <w:ilvl w:val="0"/>
          <w:numId w:val="1010"/>
        </w:numPr>
      </w:pPr>
      <w:r>
        <w:t xml:space="preserve">Original evidence is uploaded, hashed, preserved and cited through an EvidenceExtract.</w:t>
      </w:r>
    </w:p>
    <w:p>
      <w:pPr>
        <w:numPr>
          <w:ilvl w:val="0"/>
          <w:numId w:val="1010"/>
        </w:numPr>
      </w:pPr>
      <w:r>
        <w:t xml:space="preserve">Entities and relationships are created; a candidate merge is reviewed and remains reversible.</w:t>
      </w:r>
    </w:p>
    <w:p>
      <w:pPr>
        <w:numPr>
          <w:ilvl w:val="0"/>
          <w:numId w:val="1010"/>
        </w:numPr>
      </w:pPr>
      <w:r>
        <w:t xml:space="preserve">An asset, event timeline and mixed-class ValueFlow are built with evidence links.</w:t>
      </w:r>
    </w:p>
    <w:p>
      <w:pPr>
        <w:numPr>
          <w:ilvl w:val="0"/>
          <w:numId w:val="1010"/>
        </w:numPr>
      </w:pPr>
      <w:r>
        <w:t xml:space="preserve">Typology indicators and at least two competing hypotheses are recorded, including disconfirming evidence or gaps.</w:t>
      </w:r>
    </w:p>
    <w:p>
      <w:pPr>
        <w:numPr>
          <w:ilvl w:val="0"/>
          <w:numId w:val="1010"/>
        </w:numPr>
      </w:pPr>
      <w:r>
        <w:t xml:space="preserve">An assessment with confidence is created and independently reviewed.</w:t>
      </w:r>
    </w:p>
    <w:p>
      <w:pPr>
        <w:numPr>
          <w:ilvl w:val="0"/>
          <w:numId w:val="1010"/>
        </w:numPr>
      </w:pPr>
      <w:r>
        <w:t xml:space="preserve">An intelligence product is generated with evidence index and version metadata.</w:t>
      </w:r>
    </w:p>
    <w:p>
      <w:pPr>
        <w:numPr>
          <w:ilvl w:val="0"/>
          <w:numId w:val="1010"/>
        </w:numPr>
      </w:pPr>
      <w:r>
        <w:t xml:space="preserve">External dissemination is blocked before approval and logged after approval.</w:t>
      </w:r>
    </w:p>
    <w:p>
      <w:pPr>
        <w:numPr>
          <w:ilvl w:val="0"/>
          <w:numId w:val="1010"/>
        </w:numPr>
      </w:pPr>
      <w:r>
        <w:t xml:space="preserve">Unauthorized users cannot access the case through UI, API, search, graph or object download.</w:t>
      </w:r>
    </w:p>
    <w:p>
      <w:pPr>
        <w:numPr>
          <w:ilvl w:val="0"/>
          <w:numId w:val="1010"/>
        </w:numPr>
      </w:pPr>
      <w:r>
        <w:t xml:space="preserve">Backup/restore recovers canonical records and evidence while hashes remain valid.</w:t>
      </w:r>
    </w:p>
    <w:p>
      <w:pPr>
        <w:numPr>
          <w:ilvl w:val="0"/>
          <w:numId w:val="1010"/>
        </w:numPr>
      </w:pPr>
      <w:r>
        <w:t xml:space="preserve">A reviewer can reconstruct the material analytical chain from product back to sources.</w:t>
      </w:r>
    </w:p>
    <w:bookmarkEnd w:id="45"/>
    <w:bookmarkStart w:id="46" w:name="X35c116328ab02221899f802ec8d27603ec9aa98"/>
    <w:p>
      <w:pPr>
        <w:pStyle w:val="Heading1"/>
      </w:pPr>
      <w:r>
        <w:t xml:space="preserve">38. Deferred Technical Decisions</w:t>
      </w:r>
    </w:p>
    <w:tbl>
      <w:tblPr>
        <w:tblStyle w:val="Table"/>
        <w:tblW w:type="pct" w:w="5000"/>
        <w:tblLayout w:type="fixed"/>
        <w:tblLook w:firstRow="1" w:lastRow="0" w:firstColumn="0" w:lastColumn="0" w:noHBand="0" w:noVBand="0" w:val="0020"/>
      </w:tblPr>
      <w:tblGrid>
        <w:gridCol w:w="2762"/>
        <w:gridCol w:w="2329"/>
        <w:gridCol w:w="2827"/>
      </w:tblGrid>
      <w:tr>
        <w:trPr>
          <w:tblHeader w:val="on"/>
        </w:trPr>
        <w:tc>
          <w:tcPr/>
          <w:p>
            <w:pPr>
              <w:pStyle w:val="TableText"/>
              <w:jc w:val="center"/>
            </w:pPr>
            <w:r>
              <w:rPr>
                <w:b/>
                <w:bCs/>
              </w:rPr>
              <w:t xml:space="preserve">Decision</w:t>
            </w:r>
          </w:p>
        </w:tc>
        <w:tc>
          <w:tcPr/>
          <w:p>
            <w:pPr>
              <w:pStyle w:val="TableText"/>
            </w:pPr>
            <w:r>
              <w:rPr>
                <w:b/>
                <w:bCs/>
              </w:rPr>
              <w:t xml:space="preserve">Why deferred</w:t>
            </w:r>
          </w:p>
        </w:tc>
        <w:tc>
          <w:tcPr/>
          <w:p>
            <w:pPr>
              <w:pStyle w:val="TableText"/>
            </w:pPr>
            <w:r>
              <w:rPr>
                <w:b/>
                <w:bCs/>
              </w:rPr>
              <w:t xml:space="preserve">Trigger</w:t>
            </w:r>
          </w:p>
        </w:tc>
      </w:tr>
      <w:tr>
        <w:tc>
          <w:tcPr/>
          <w:p>
            <w:pPr>
              <w:pStyle w:val="TableText"/>
              <w:jc w:val="center"/>
            </w:pPr>
            <w:r>
              <w:t xml:space="preserve">Dedicated OpenSearch cluster</w:t>
            </w:r>
          </w:p>
        </w:tc>
        <w:tc>
          <w:tcPr/>
          <w:p>
            <w:pPr>
              <w:pStyle w:val="TableText"/>
            </w:pPr>
            <w:r>
              <w:t xml:space="preserve">PostgreSQL search sufficient for MVP</w:t>
            </w:r>
          </w:p>
        </w:tc>
        <w:tc>
          <w:tcPr/>
          <w:p>
            <w:pPr>
              <w:pStyle w:val="TableText"/>
            </w:pPr>
            <w:r>
              <w:t xml:space="preserve">Representative corpus exceeds search/UX target</w:t>
            </w:r>
          </w:p>
        </w:tc>
      </w:tr>
      <w:tr>
        <w:tc>
          <w:tcPr/>
          <w:p>
            <w:pPr>
              <w:pStyle w:val="TableText"/>
              <w:jc w:val="center"/>
            </w:pPr>
            <w:r>
              <w:t xml:space="preserve">Neo4j/Memgraph</w:t>
            </w:r>
          </w:p>
        </w:tc>
        <w:tc>
          <w:tcPr/>
          <w:p>
            <w:pPr>
              <w:pStyle w:val="TableText"/>
            </w:pPr>
            <w:r>
              <w:t xml:space="preserve">Canonical relational graph adequate initially</w:t>
            </w:r>
          </w:p>
        </w:tc>
        <w:tc>
          <w:tcPr/>
          <w:p>
            <w:pPr>
              <w:pStyle w:val="TableText"/>
            </w:pPr>
            <w:r>
              <w:t xml:space="preserve">Path/network analytics become P1 priority</w:t>
            </w:r>
          </w:p>
        </w:tc>
      </w:tr>
      <w:tr>
        <w:tc>
          <w:tcPr/>
          <w:p>
            <w:pPr>
              <w:pStyle w:val="TableText"/>
              <w:jc w:val="center"/>
            </w:pPr>
            <w:r>
              <w:t xml:space="preserve">Kubernetes</w:t>
            </w:r>
          </w:p>
        </w:tc>
        <w:tc>
          <w:tcPr/>
          <w:p>
            <w:pPr>
              <w:pStyle w:val="TableText"/>
            </w:pPr>
            <w:r>
              <w:t xml:space="preserve">Operational complexity not justified</w:t>
            </w:r>
          </w:p>
        </w:tc>
        <w:tc>
          <w:tcPr/>
          <w:p>
            <w:pPr>
              <w:pStyle w:val="TableText"/>
            </w:pPr>
            <w:r>
              <w:t xml:space="preserve">Multi-node HA/managed platform requirements</w:t>
            </w:r>
          </w:p>
        </w:tc>
      </w:tr>
      <w:tr>
        <w:tc>
          <w:tcPr/>
          <w:p>
            <w:pPr>
              <w:pStyle w:val="TableText"/>
              <w:jc w:val="center"/>
            </w:pPr>
            <w:r>
              <w:t xml:space="preserve">Event bus</w:t>
            </w:r>
          </w:p>
        </w:tc>
        <w:tc>
          <w:tcPr/>
          <w:p>
            <w:pPr>
              <w:pStyle w:val="TableText"/>
            </w:pPr>
            <w:r>
              <w:t xml:space="preserve">Celery/application events sufficient</w:t>
            </w:r>
          </w:p>
        </w:tc>
        <w:tc>
          <w:tcPr/>
          <w:p>
            <w:pPr>
              <w:pStyle w:val="TableText"/>
            </w:pPr>
            <w:r>
              <w:t xml:space="preserve">Multiple independently deployed consumers emerge</w:t>
            </w:r>
          </w:p>
        </w:tc>
      </w:tr>
      <w:tr>
        <w:tc>
          <w:tcPr/>
          <w:p>
            <w:pPr>
              <w:pStyle w:val="TableText"/>
              <w:jc w:val="center"/>
            </w:pPr>
            <w:r>
              <w:t xml:space="preserve">Microservices</w:t>
            </w:r>
          </w:p>
        </w:tc>
        <w:tc>
          <w:tcPr/>
          <w:p>
            <w:pPr>
              <w:pStyle w:val="TableText"/>
            </w:pPr>
            <w:r>
              <w:t xml:space="preserve">Domain boundaries still evolving</w:t>
            </w:r>
          </w:p>
        </w:tc>
        <w:tc>
          <w:tcPr/>
          <w:p>
            <w:pPr>
              <w:pStyle w:val="TableText"/>
            </w:pPr>
            <w:r>
              <w:t xml:space="preserve">Scale/security/ownership evidence supports extraction</w:t>
            </w:r>
          </w:p>
        </w:tc>
      </w:tr>
      <w:tr>
        <w:tc>
          <w:tcPr/>
          <w:p>
            <w:pPr>
              <w:pStyle w:val="TableText"/>
              <w:jc w:val="center"/>
            </w:pPr>
            <w:r>
              <w:t xml:space="preserve">AI model gateway</w:t>
            </w:r>
          </w:p>
        </w:tc>
        <w:tc>
          <w:tcPr/>
          <w:p>
            <w:pPr>
              <w:pStyle w:val="TableText"/>
            </w:pPr>
            <w:r>
              <w:t xml:space="preserve">AI is not P0</w:t>
            </w:r>
          </w:p>
        </w:tc>
        <w:tc>
          <w:tcPr/>
          <w:p>
            <w:pPr>
              <w:pStyle w:val="TableText"/>
            </w:pPr>
            <w:r>
              <w:t xml:space="preserve">P1 AI assist approved with privacy/model controls</w:t>
            </w:r>
          </w:p>
        </w:tc>
      </w:tr>
      <w:tr>
        <w:tc>
          <w:tcPr/>
          <w:p>
            <w:pPr>
              <w:pStyle w:val="TableText"/>
              <w:jc w:val="center"/>
            </w:pPr>
            <w:r>
              <w:t xml:space="preserve">Phishing-resistant step-up (WebAuthn / passkeys), per-deployment step-up action list</w:t>
            </w:r>
          </w:p>
        </w:tc>
        <w:tc>
          <w:tcPr/>
          <w:p>
            <w:pPr>
              <w:pStyle w:val="TableText"/>
            </w:pPr>
            <w:r>
              <w:t xml:space="preserve">TOTP step-up is the v0.1.4 baseline</w:t>
            </w:r>
          </w:p>
        </w:tc>
        <w:tc>
          <w:tcPr/>
          <w:p>
            <w:pPr>
              <w:pStyle w:val="TableText"/>
            </w:pPr>
            <w:r>
              <w:t xml:space="preserve">v0.2</w:t>
            </w:r>
            <w:r>
              <w:t xml:space="preserve"> </w:t>
            </w:r>
            <w:r>
              <w:rPr>
                <w:i/>
                <w:iCs/>
              </w:rPr>
              <w:t xml:space="preserve">[v0.1.4 · CR-N-13]</w:t>
            </w:r>
          </w:p>
        </w:tc>
      </w:tr>
      <w:tr>
        <w:tc>
          <w:tcPr/>
          <w:p>
            <w:pPr>
              <w:pStyle w:val="TableText"/>
              <w:jc w:val="center"/>
            </w:pPr>
            <w:r>
              <w:t xml:space="preserve">Office-format (DOCX / XLSX) text extraction</w:t>
            </w:r>
          </w:p>
        </w:tc>
        <w:tc>
          <w:tcPr/>
          <w:p>
            <w:pPr>
              <w:pStyle w:val="TableText"/>
            </w:pPr>
            <w:r>
              <w:t xml:space="preserve">No offline engine chosen</w:t>
            </w:r>
          </w:p>
        </w:tc>
        <w:tc>
          <w:tcPr/>
          <w:p>
            <w:pPr>
              <w:pStyle w:val="TableText"/>
            </w:pPr>
            <w:r>
              <w:t xml:space="preserve">v0.2</w:t>
            </w:r>
            <w:r>
              <w:t xml:space="preserve"> </w:t>
            </w:r>
            <w:r>
              <w:rPr>
                <w:i/>
                <w:iCs/>
              </w:rPr>
              <w:t xml:space="preserve">[v0.1.4 · CR-N-09]</w:t>
            </w:r>
          </w:p>
        </w:tc>
      </w:tr>
    </w:tbl>
    <w:bookmarkEnd w:id="46"/>
    <w:bookmarkStart w:id="47" w:name="X1e884a54b41a0c169e496669f21746f48e5e0c7"/>
    <w:p>
      <w:pPr>
        <w:pStyle w:val="Heading1"/>
      </w:pPr>
      <w:r>
        <w:t xml:space="preserve">39. Conformance Checklist</w:t>
      </w:r>
    </w:p>
    <w:tbl>
      <w:tblPr>
        <w:tblStyle w:val="Table"/>
        <w:tblW w:type="pct" w:w="5000"/>
        <w:tblLayout w:type="fixed"/>
        <w:tblLook w:firstRow="1" w:lastRow="0" w:firstColumn="0" w:lastColumn="0" w:noHBand="0" w:noVBand="0" w:val="0020"/>
      </w:tblPr>
      <w:tblGrid>
        <w:gridCol w:w="1267"/>
        <w:gridCol w:w="6652"/>
      </w:tblGrid>
      <w:tr>
        <w:trPr>
          <w:tblHeader w:val="on"/>
        </w:trPr>
        <w:tc>
          <w:tcPr/>
          <w:p>
            <w:pPr>
              <w:pStyle w:val="TableText"/>
            </w:pPr>
            <w:r>
              <w:rPr>
                <w:b/>
                <w:bCs/>
              </w:rPr>
              <w:t xml:space="preserve">Area</w:t>
            </w:r>
          </w:p>
        </w:tc>
        <w:tc>
          <w:tcPr/>
          <w:p>
            <w:pPr>
              <w:pStyle w:val="TableText"/>
            </w:pPr>
            <w:r>
              <w:rPr>
                <w:b/>
                <w:bCs/>
              </w:rPr>
              <w:t xml:space="preserve">Minimum conformance evidence</w:t>
            </w:r>
          </w:p>
        </w:tc>
      </w:tr>
      <w:tr>
        <w:tc>
          <w:tcPr/>
          <w:p>
            <w:pPr>
              <w:pStyle w:val="TableText"/>
            </w:pPr>
            <w:r>
              <w:t xml:space="preserve">Architecture</w:t>
            </w:r>
          </w:p>
        </w:tc>
        <w:tc>
          <w:tcPr/>
          <w:p>
            <w:pPr>
              <w:pStyle w:val="TableText"/>
            </w:pPr>
            <w:r>
              <w:t xml:space="preserve">Modular monolith; canonical PostgreSQL; evidence object storage; derived projections rebuildable</w:t>
            </w:r>
          </w:p>
        </w:tc>
      </w:tr>
      <w:tr>
        <w:tc>
          <w:tcPr/>
          <w:p>
            <w:pPr>
              <w:pStyle w:val="TableText"/>
            </w:pPr>
            <w:r>
              <w:t xml:space="preserve">Repository</w:t>
            </w:r>
          </w:p>
        </w:tc>
        <w:tc>
          <w:tcPr/>
          <w:p>
            <w:pPr>
              <w:pStyle w:val="TableText"/>
            </w:pPr>
            <w:r>
              <w:t xml:space="preserve">Monorepo with backend/frontend/infra/docs/tests and documented ownership</w:t>
            </w:r>
          </w:p>
        </w:tc>
      </w:tr>
      <w:tr>
        <w:tc>
          <w:tcPr/>
          <w:p>
            <w:pPr>
              <w:pStyle w:val="TableText"/>
            </w:pPr>
            <w:r>
              <w:t xml:space="preserve">Identity</w:t>
            </w:r>
          </w:p>
        </w:tc>
        <w:tc>
          <w:tcPr/>
          <w:p>
            <w:pPr>
              <w:pStyle w:val="TableText"/>
            </w:pPr>
            <w:r>
              <w:t xml:space="preserve">OIDC with server-side BFF session plus local object/case authorization; protected-source compartment</w:t>
            </w:r>
            <w:r>
              <w:t xml:space="preserve"> </w:t>
            </w:r>
            <w:r>
              <w:rPr>
                <w:i/>
                <w:iCs/>
              </w:rPr>
              <w:t xml:space="preserve">[v0.1.1 · A11]</w:t>
            </w:r>
          </w:p>
        </w:tc>
      </w:tr>
      <w:tr>
        <w:tc>
          <w:tcPr/>
          <w:p>
            <w:pPr>
              <w:pStyle w:val="TableText"/>
            </w:pPr>
            <w:r>
              <w:t xml:space="preserve">Data</w:t>
            </w:r>
          </w:p>
        </w:tc>
        <w:tc>
          <w:tcPr/>
          <w:p>
            <w:pPr>
              <w:pStyle w:val="TableText"/>
            </w:pPr>
            <w:r>
              <w:t xml:space="preserve">Stable IDs, provenance, uncertainty classes, reversible entity merges</w:t>
            </w:r>
          </w:p>
        </w:tc>
      </w:tr>
      <w:tr>
        <w:tc>
          <w:tcPr/>
          <w:p>
            <w:pPr>
              <w:pStyle w:val="TableText"/>
            </w:pPr>
            <w:r>
              <w:t xml:space="preserve">Security</w:t>
            </w:r>
          </w:p>
        </w:tc>
        <w:tc>
          <w:tcPr/>
          <w:p>
            <w:pPr>
              <w:pStyle w:val="TableText"/>
            </w:pPr>
            <w:r>
              <w:t xml:space="preserve">Server-side authorization, TLS, secret isolation, safe uploads, negative tests</w:t>
            </w:r>
          </w:p>
        </w:tc>
      </w:tr>
      <w:tr>
        <w:tc>
          <w:tcPr/>
          <w:p>
            <w:pPr>
              <w:pStyle w:val="TableText"/>
            </w:pPr>
            <w:r>
              <w:t xml:space="preserve">Audit</w:t>
            </w:r>
          </w:p>
        </w:tc>
        <w:tc>
          <w:tcPr/>
          <w:p>
            <w:pPr>
              <w:pStyle w:val="TableText"/>
            </w:pPr>
            <w:r>
              <w:t xml:space="preserve">Material actions append auditable canonical events</w:t>
            </w:r>
          </w:p>
        </w:tc>
      </w:tr>
      <w:tr>
        <w:tc>
          <w:tcPr/>
          <w:p>
            <w:pPr>
              <w:pStyle w:val="TableText"/>
            </w:pPr>
            <w:r>
              <w:t xml:space="preserve">Quality</w:t>
            </w:r>
          </w:p>
        </w:tc>
        <w:tc>
          <w:tcPr/>
          <w:p>
            <w:pPr>
              <w:pStyle w:val="TableText"/>
            </w:pPr>
            <w:r>
              <w:t xml:space="preserve">CI lint/type/test/security gates and migration checks</w:t>
            </w:r>
          </w:p>
        </w:tc>
      </w:tr>
      <w:tr>
        <w:tc>
          <w:tcPr/>
          <w:p>
            <w:pPr>
              <w:pStyle w:val="TableText"/>
            </w:pPr>
            <w:r>
              <w:t xml:space="preserve">Operations</w:t>
            </w:r>
          </w:p>
        </w:tc>
        <w:tc>
          <w:tcPr/>
          <w:p>
            <w:pPr>
              <w:pStyle w:val="TableText"/>
            </w:pPr>
            <w:r>
              <w:t xml:space="preserve">Containerized reproducible deploy; backups; tested restore; observability</w:t>
            </w:r>
          </w:p>
        </w:tc>
      </w:tr>
      <w:tr>
        <w:tc>
          <w:tcPr/>
          <w:p>
            <w:pPr>
              <w:pStyle w:val="TableText"/>
            </w:pPr>
            <w:r>
              <w:t xml:space="preserve">Release</w:t>
            </w:r>
          </w:p>
        </w:tc>
        <w:tc>
          <w:tcPr/>
          <w:p>
            <w:pPr>
              <w:pStyle w:val="TableText"/>
            </w:pPr>
            <w:r>
              <w:t xml:space="preserve">Integrated SRS/MVP acceptance path passes</w:t>
            </w:r>
          </w:p>
        </w:tc>
      </w:tr>
    </w:tbl>
    <w:bookmarkEnd w:id="47"/>
    <w:bookmarkStart w:id="48" w:name="Xa9e8aa0ff9e426cf935f4a9c5d637c98c8676d0"/>
    <w:p>
      <w:pPr>
        <w:pStyle w:val="Heading1"/>
      </w:pPr>
      <w:r>
        <w:t xml:space="preserve">40. Reference Repository Tree (Expanded)</w:t>
      </w:r>
    </w:p>
    <w:p>
      <w:pPr>
        <w:pStyle w:val="SourceCode"/>
      </w:pPr>
      <w:r>
        <w:rPr>
          <w:rFonts w:ascii="Consolas" w:hAnsi="Consolas" w:cs="Consolas" w:eastAsia="Consolas"/>
          <w:sz w:val="18"/>
          <w:szCs w:val="18"/>
        </w:rPr>
        <w:t xml:space="preserve">cs-aml/</w:t>
      </w:r>
      <w:r>
        <w:rPr>
          <w:rFonts w:ascii="Consolas" w:hAnsi="Consolas" w:cs="Consolas" w:eastAsia="Consolas"/>
          <w:sz w:val="18"/>
          <w:szCs w:val="18"/>
        </w:rPr>
        <w:br/>
      </w:r>
      <w:r>
        <w:rPr>
          <w:rFonts w:ascii="Consolas" w:hAnsi="Consolas" w:cs="Consolas" w:eastAsia="Consolas"/>
          <w:sz w:val="18"/>
          <w:szCs w:val="18"/>
        </w:rPr>
        <w:t xml:space="preserve">├── backend/</w:t>
      </w:r>
      <w:r>
        <w:rPr>
          <w:rFonts w:ascii="Consolas" w:hAnsi="Consolas" w:cs="Consolas" w:eastAsia="Consolas"/>
          <w:sz w:val="18"/>
          <w:szCs w:val="18"/>
        </w:rPr>
        <w:br/>
      </w:r>
      <w:r>
        <w:rPr>
          <w:rFonts w:ascii="Consolas" w:hAnsi="Consolas" w:cs="Consolas" w:eastAsia="Consolas"/>
          <w:sz w:val="18"/>
          <w:szCs w:val="18"/>
        </w:rPr>
        <w:t xml:space="preserve">│   ├── config/</w:t>
      </w:r>
      <w:r>
        <w:rPr>
          <w:rFonts w:ascii="Consolas" w:hAnsi="Consolas" w:cs="Consolas" w:eastAsia="Consolas"/>
          <w:sz w:val="18"/>
          <w:szCs w:val="18"/>
        </w:rPr>
        <w:br/>
      </w:r>
      <w:r>
        <w:rPr>
          <w:rFonts w:ascii="Consolas" w:hAnsi="Consolas" w:cs="Consolas" w:eastAsia="Consolas"/>
          <w:sz w:val="18"/>
          <w:szCs w:val="18"/>
        </w:rPr>
        <w:t xml:space="preserve">│   ├── csaml/</w:t>
      </w:r>
      <w:r>
        <w:rPr>
          <w:rFonts w:ascii="Consolas" w:hAnsi="Consolas" w:cs="Consolas" w:eastAsia="Consolas"/>
          <w:sz w:val="18"/>
          <w:szCs w:val="18"/>
        </w:rPr>
        <w:br/>
      </w:r>
      <w:r>
        <w:rPr>
          <w:rFonts w:ascii="Consolas" w:hAnsi="Consolas" w:cs="Consolas" w:eastAsia="Consolas"/>
          <w:sz w:val="18"/>
          <w:szCs w:val="18"/>
        </w:rPr>
        <w:t xml:space="preserve">│   │   ├── common/</w:t>
      </w:r>
      <w:r>
        <w:rPr>
          <w:rFonts w:ascii="Consolas" w:hAnsi="Consolas" w:cs="Consolas" w:eastAsia="Consolas"/>
          <w:sz w:val="18"/>
          <w:szCs w:val="18"/>
        </w:rPr>
        <w:br/>
      </w:r>
      <w:r>
        <w:rPr>
          <w:rFonts w:ascii="Consolas" w:hAnsi="Consolas" w:cs="Consolas" w:eastAsia="Consolas"/>
          <w:sz w:val="18"/>
          <w:szCs w:val="18"/>
        </w:rPr>
        <w:t xml:space="preserve">│   │   ├── iam/</w:t>
      </w:r>
      <w:r>
        <w:rPr>
          <w:rFonts w:ascii="Consolas" w:hAnsi="Consolas" w:cs="Consolas" w:eastAsia="Consolas"/>
          <w:sz w:val="18"/>
          <w:szCs w:val="18"/>
        </w:rPr>
        <w:br/>
      </w:r>
      <w:r>
        <w:rPr>
          <w:rFonts w:ascii="Consolas" w:hAnsi="Consolas" w:cs="Consolas" w:eastAsia="Consolas"/>
          <w:sz w:val="18"/>
          <w:szCs w:val="18"/>
        </w:rPr>
        <w:t xml:space="preserve">│   │   ├── cases/</w:t>
      </w:r>
      <w:r>
        <w:rPr>
          <w:rFonts w:ascii="Consolas" w:hAnsi="Consolas" w:cs="Consolas" w:eastAsia="Consolas"/>
          <w:sz w:val="18"/>
          <w:szCs w:val="18"/>
        </w:rPr>
        <w:br/>
      </w:r>
      <w:r>
        <w:rPr>
          <w:rFonts w:ascii="Consolas" w:hAnsi="Consolas" w:cs="Consolas" w:eastAsia="Consolas"/>
          <w:sz w:val="18"/>
          <w:szCs w:val="18"/>
        </w:rPr>
        <w:t xml:space="preserve">│   │   ├── sources/</w:t>
      </w:r>
      <w:r>
        <w:rPr>
          <w:rFonts w:ascii="Consolas" w:hAnsi="Consolas" w:cs="Consolas" w:eastAsia="Consolas"/>
          <w:sz w:val="18"/>
          <w:szCs w:val="18"/>
        </w:rPr>
        <w:br/>
      </w:r>
      <w:r>
        <w:rPr>
          <w:rFonts w:ascii="Consolas" w:hAnsi="Consolas" w:cs="Consolas" w:eastAsia="Consolas"/>
          <w:sz w:val="18"/>
          <w:szCs w:val="18"/>
        </w:rPr>
        <w:t xml:space="preserve">│   │   ├── evidence/</w:t>
      </w:r>
      <w:r>
        <w:rPr>
          <w:rFonts w:ascii="Consolas" w:hAnsi="Consolas" w:cs="Consolas" w:eastAsia="Consolas"/>
          <w:sz w:val="18"/>
          <w:szCs w:val="18"/>
        </w:rPr>
        <w:br/>
      </w:r>
      <w:r>
        <w:rPr>
          <w:rFonts w:ascii="Consolas" w:hAnsi="Consolas" w:cs="Consolas" w:eastAsia="Consolas"/>
          <w:sz w:val="18"/>
          <w:szCs w:val="18"/>
        </w:rPr>
        <w:t xml:space="preserve">│   │   ├── entities/</w:t>
      </w:r>
      <w:r>
        <w:rPr>
          <w:rFonts w:ascii="Consolas" w:hAnsi="Consolas" w:cs="Consolas" w:eastAsia="Consolas"/>
          <w:sz w:val="18"/>
          <w:szCs w:val="18"/>
        </w:rPr>
        <w:br/>
      </w:r>
      <w:r>
        <w:rPr>
          <w:rFonts w:ascii="Consolas" w:hAnsi="Consolas" w:cs="Consolas" w:eastAsia="Consolas"/>
          <w:sz w:val="18"/>
          <w:szCs w:val="18"/>
        </w:rPr>
        <w:t xml:space="preserve">│   │   ├── relationships/</w:t>
      </w:r>
      <w:r>
        <w:rPr>
          <w:rFonts w:ascii="Consolas" w:hAnsi="Consolas" w:cs="Consolas" w:eastAsia="Consolas"/>
          <w:sz w:val="18"/>
          <w:szCs w:val="18"/>
        </w:rPr>
        <w:br/>
      </w:r>
      <w:r>
        <w:rPr>
          <w:rFonts w:ascii="Consolas" w:hAnsi="Consolas" w:cs="Consolas" w:eastAsia="Consolas"/>
          <w:sz w:val="18"/>
          <w:szCs w:val="18"/>
        </w:rPr>
        <w:t xml:space="preserve">│   │   ├── assets/</w:t>
      </w:r>
      <w:r>
        <w:rPr>
          <w:rFonts w:ascii="Consolas" w:hAnsi="Consolas" w:cs="Consolas" w:eastAsia="Consolas"/>
          <w:sz w:val="18"/>
          <w:szCs w:val="18"/>
        </w:rPr>
        <w:br/>
      </w:r>
      <w:r>
        <w:rPr>
          <w:rFonts w:ascii="Consolas" w:hAnsi="Consolas" w:cs="Consolas" w:eastAsia="Consolas"/>
          <w:sz w:val="18"/>
          <w:szCs w:val="18"/>
        </w:rPr>
        <w:t xml:space="preserve">│   │   ├── timeline/</w:t>
      </w:r>
      <w:r>
        <w:rPr>
          <w:rFonts w:ascii="Consolas" w:hAnsi="Consolas" w:cs="Consolas" w:eastAsia="Consolas"/>
          <w:sz w:val="18"/>
          <w:szCs w:val="18"/>
        </w:rPr>
        <w:br/>
      </w:r>
      <w:r>
        <w:rPr>
          <w:rFonts w:ascii="Consolas" w:hAnsi="Consolas" w:cs="Consolas" w:eastAsia="Consolas"/>
          <w:sz w:val="18"/>
          <w:szCs w:val="18"/>
        </w:rPr>
        <w:t xml:space="preserve">│   │   ├── valueflows/</w:t>
      </w:r>
      <w:r>
        <w:rPr>
          <w:rFonts w:ascii="Consolas" w:hAnsi="Consolas" w:cs="Consolas" w:eastAsia="Consolas"/>
          <w:sz w:val="18"/>
          <w:szCs w:val="18"/>
        </w:rPr>
        <w:br/>
      </w:r>
      <w:r>
        <w:rPr>
          <w:rFonts w:ascii="Consolas" w:hAnsi="Consolas" w:cs="Consolas" w:eastAsia="Consolas"/>
          <w:sz w:val="18"/>
          <w:szCs w:val="18"/>
        </w:rPr>
        <w:t xml:space="preserve">│   │   ├── typologies/</w:t>
      </w:r>
      <w:r>
        <w:rPr>
          <w:rFonts w:ascii="Consolas" w:hAnsi="Consolas" w:cs="Consolas" w:eastAsia="Consolas"/>
          <w:sz w:val="18"/>
          <w:szCs w:val="18"/>
        </w:rPr>
        <w:br/>
      </w:r>
      <w:r>
        <w:rPr>
          <w:rFonts w:ascii="Consolas" w:hAnsi="Consolas" w:cs="Consolas" w:eastAsia="Consolas"/>
          <w:sz w:val="18"/>
          <w:szCs w:val="18"/>
        </w:rPr>
        <w:t xml:space="preserve">│   │   ├── hypotheses/</w:t>
      </w:r>
      <w:r>
        <w:rPr>
          <w:rFonts w:ascii="Consolas" w:hAnsi="Consolas" w:cs="Consolas" w:eastAsia="Consolas"/>
          <w:sz w:val="18"/>
          <w:szCs w:val="18"/>
        </w:rPr>
        <w:br/>
      </w:r>
      <w:r>
        <w:rPr>
          <w:rFonts w:ascii="Consolas" w:hAnsi="Consolas" w:cs="Consolas" w:eastAsia="Consolas"/>
          <w:sz w:val="18"/>
          <w:szCs w:val="18"/>
        </w:rPr>
        <w:t xml:space="preserve">│   │   ├── assessments/</w:t>
      </w:r>
      <w:r>
        <w:rPr>
          <w:rFonts w:ascii="Consolas" w:hAnsi="Consolas" w:cs="Consolas" w:eastAsia="Consolas"/>
          <w:sz w:val="18"/>
          <w:szCs w:val="18"/>
        </w:rPr>
        <w:br/>
      </w:r>
      <w:r>
        <w:rPr>
          <w:rFonts w:ascii="Consolas" w:hAnsi="Consolas" w:cs="Consolas" w:eastAsia="Consolas"/>
          <w:sz w:val="18"/>
          <w:szCs w:val="18"/>
        </w:rPr>
        <w:t xml:space="preserve">│   │   ├── search/</w:t>
      </w:r>
      <w:r>
        <w:rPr>
          <w:rFonts w:ascii="Consolas" w:hAnsi="Consolas" w:cs="Consolas" w:eastAsia="Consolas"/>
          <w:sz w:val="18"/>
          <w:szCs w:val="18"/>
        </w:rPr>
        <w:br/>
      </w:r>
      <w:r>
        <w:rPr>
          <w:rFonts w:ascii="Consolas" w:hAnsi="Consolas" w:cs="Consolas" w:eastAsia="Consolas"/>
          <w:sz w:val="18"/>
          <w:szCs w:val="18"/>
        </w:rPr>
        <w:t xml:space="preserve">│   │   ├── graph/</w:t>
      </w:r>
      <w:r>
        <w:rPr>
          <w:rFonts w:ascii="Consolas" w:hAnsi="Consolas" w:cs="Consolas" w:eastAsia="Consolas"/>
          <w:sz w:val="18"/>
          <w:szCs w:val="18"/>
        </w:rPr>
        <w:br/>
      </w:r>
      <w:r>
        <w:rPr>
          <w:rFonts w:ascii="Consolas" w:hAnsi="Consolas" w:cs="Consolas" w:eastAsia="Consolas"/>
          <w:sz w:val="18"/>
          <w:szCs w:val="18"/>
        </w:rPr>
        <w:t xml:space="preserve">│   │   ├── products/</w:t>
      </w:r>
      <w:r>
        <w:rPr>
          <w:rFonts w:ascii="Consolas" w:hAnsi="Consolas" w:cs="Consolas" w:eastAsia="Consolas"/>
          <w:sz w:val="18"/>
          <w:szCs w:val="18"/>
        </w:rPr>
        <w:br/>
      </w:r>
      <w:r>
        <w:rPr>
          <w:rFonts w:ascii="Consolas" w:hAnsi="Consolas" w:cs="Consolas" w:eastAsia="Consolas"/>
          <w:sz w:val="18"/>
          <w:szCs w:val="18"/>
        </w:rPr>
        <w:t xml:space="preserve">│   │   ├── reviews/</w:t>
      </w:r>
      <w:r>
        <w:rPr>
          <w:rFonts w:ascii="Consolas" w:hAnsi="Consolas" w:cs="Consolas" w:eastAsia="Consolas"/>
          <w:sz w:val="18"/>
          <w:szCs w:val="18"/>
        </w:rPr>
        <w:br/>
      </w:r>
      <w:r>
        <w:rPr>
          <w:rFonts w:ascii="Consolas" w:hAnsi="Consolas" w:cs="Consolas" w:eastAsia="Consolas"/>
          <w:sz w:val="18"/>
          <w:szCs w:val="18"/>
        </w:rPr>
        <w:t xml:space="preserve">│   │   ├── dissemination/</w:t>
      </w:r>
      <w:r>
        <w:rPr>
          <w:rFonts w:ascii="Consolas" w:hAnsi="Consolas" w:cs="Consolas" w:eastAsia="Consolas"/>
          <w:sz w:val="18"/>
          <w:szCs w:val="18"/>
        </w:rPr>
        <w:br/>
      </w:r>
      <w:r>
        <w:rPr>
          <w:rFonts w:ascii="Consolas" w:hAnsi="Consolas" w:cs="Consolas" w:eastAsia="Consolas"/>
          <w:sz w:val="18"/>
          <w:szCs w:val="18"/>
        </w:rPr>
        <w:t xml:space="preserve">│   │   ├── governance/</w:t>
      </w:r>
      <w:r>
        <w:rPr>
          <w:rFonts w:ascii="Consolas" w:hAnsi="Consolas" w:cs="Consolas" w:eastAsia="Consolas"/>
          <w:sz w:val="18"/>
          <w:szCs w:val="18"/>
        </w:rPr>
        <w:br/>
      </w:r>
      <w:r>
        <w:rPr>
          <w:rFonts w:ascii="Consolas" w:hAnsi="Consolas" w:cs="Consolas" w:eastAsia="Consolas"/>
          <w:sz w:val="18"/>
          <w:szCs w:val="18"/>
        </w:rPr>
        <w:t xml:space="preserve">│   │   ├── audit/</w:t>
      </w:r>
      <w:r>
        <w:rPr>
          <w:rFonts w:ascii="Consolas" w:hAnsi="Consolas" w:cs="Consolas" w:eastAsia="Consolas"/>
          <w:sz w:val="18"/>
          <w:szCs w:val="18"/>
        </w:rPr>
        <w:br/>
      </w:r>
      <w:r>
        <w:rPr>
          <w:rFonts w:ascii="Consolas" w:hAnsi="Consolas" w:cs="Consolas" w:eastAsia="Consolas"/>
          <w:sz w:val="18"/>
          <w:szCs w:val="18"/>
        </w:rPr>
        <w:t xml:space="preserve">│   │   └── integrations/</w:t>
      </w:r>
      <w:r>
        <w:rPr>
          <w:rFonts w:ascii="Consolas" w:hAnsi="Consolas" w:cs="Consolas" w:eastAsia="Consolas"/>
          <w:sz w:val="18"/>
          <w:szCs w:val="18"/>
        </w:rPr>
        <w:br/>
      </w:r>
      <w:r>
        <w:rPr>
          <w:rFonts w:ascii="Consolas" w:hAnsi="Consolas" w:cs="Consolas" w:eastAsia="Consolas"/>
          <w:sz w:val="18"/>
          <w:szCs w:val="18"/>
        </w:rPr>
        <w:t xml:space="preserve">│   └── tests/</w:t>
      </w:r>
      <w:r>
        <w:rPr>
          <w:rFonts w:ascii="Consolas" w:hAnsi="Consolas" w:cs="Consolas" w:eastAsia="Consolas"/>
          <w:sz w:val="18"/>
          <w:szCs w:val="18"/>
        </w:rPr>
        <w:br/>
      </w:r>
      <w:r>
        <w:rPr>
          <w:rFonts w:ascii="Consolas" w:hAnsi="Consolas" w:cs="Consolas" w:eastAsia="Consolas"/>
          <w:sz w:val="18"/>
          <w:szCs w:val="18"/>
        </w:rPr>
        <w:t xml:space="preserve">├── frontend/</w:t>
      </w:r>
      <w:r>
        <w:rPr>
          <w:rFonts w:ascii="Consolas" w:hAnsi="Consolas" w:cs="Consolas" w:eastAsia="Consolas"/>
          <w:sz w:val="18"/>
          <w:szCs w:val="18"/>
        </w:rPr>
        <w:br/>
      </w:r>
      <w:r>
        <w:rPr>
          <w:rFonts w:ascii="Consolas" w:hAnsi="Consolas" w:cs="Consolas" w:eastAsia="Consolas"/>
          <w:sz w:val="18"/>
          <w:szCs w:val="18"/>
        </w:rPr>
        <w:t xml:space="preserve">│   ├── src/</w:t>
      </w:r>
      <w:r>
        <w:rPr>
          <w:rFonts w:ascii="Consolas" w:hAnsi="Consolas" w:cs="Consolas" w:eastAsia="Consolas"/>
          <w:sz w:val="18"/>
          <w:szCs w:val="18"/>
        </w:rPr>
        <w:br/>
      </w:r>
      <w:r>
        <w:rPr>
          <w:rFonts w:ascii="Consolas" w:hAnsi="Consolas" w:cs="Consolas" w:eastAsia="Consolas"/>
          <w:sz w:val="18"/>
          <w:szCs w:val="18"/>
        </w:rPr>
        <w:t xml:space="preserve">│   └── e2e/</w:t>
      </w:r>
      <w:r>
        <w:rPr>
          <w:rFonts w:ascii="Consolas" w:hAnsi="Consolas" w:cs="Consolas" w:eastAsia="Consolas"/>
          <w:sz w:val="18"/>
          <w:szCs w:val="18"/>
        </w:rPr>
        <w:br/>
      </w:r>
      <w:r>
        <w:rPr>
          <w:rFonts w:ascii="Consolas" w:hAnsi="Consolas" w:cs="Consolas" w:eastAsia="Consolas"/>
          <w:sz w:val="18"/>
          <w:szCs w:val="18"/>
        </w:rPr>
        <w:t xml:space="preserve">├── infra/</w:t>
      </w:r>
      <w:r>
        <w:rPr>
          <w:rFonts w:ascii="Consolas" w:hAnsi="Consolas" w:cs="Consolas" w:eastAsia="Consolas"/>
          <w:sz w:val="18"/>
          <w:szCs w:val="18"/>
        </w:rPr>
        <w:br/>
      </w:r>
      <w:r>
        <w:rPr>
          <w:rFonts w:ascii="Consolas" w:hAnsi="Consolas" w:cs="Consolas" w:eastAsia="Consolas"/>
          <w:sz w:val="18"/>
          <w:szCs w:val="18"/>
        </w:rPr>
        <w:t xml:space="preserve">│   ├── compose/</w:t>
      </w:r>
      <w:r>
        <w:rPr>
          <w:rFonts w:ascii="Consolas" w:hAnsi="Consolas" w:cs="Consolas" w:eastAsia="Consolas"/>
          <w:sz w:val="18"/>
          <w:szCs w:val="18"/>
        </w:rPr>
        <w:br/>
      </w:r>
      <w:r>
        <w:rPr>
          <w:rFonts w:ascii="Consolas" w:hAnsi="Consolas" w:cs="Consolas" w:eastAsia="Consolas"/>
          <w:sz w:val="18"/>
          <w:szCs w:val="18"/>
        </w:rPr>
        <w:t xml:space="preserve">│   ├── nginx/</w:t>
      </w:r>
      <w:r>
        <w:rPr>
          <w:rFonts w:ascii="Consolas" w:hAnsi="Consolas" w:cs="Consolas" w:eastAsia="Consolas"/>
          <w:sz w:val="18"/>
          <w:szCs w:val="18"/>
        </w:rPr>
        <w:br/>
      </w:r>
      <w:r>
        <w:rPr>
          <w:rFonts w:ascii="Consolas" w:hAnsi="Consolas" w:cs="Consolas" w:eastAsia="Consolas"/>
          <w:sz w:val="18"/>
          <w:szCs w:val="18"/>
        </w:rPr>
        <w:t xml:space="preserve">│   ├── monitoring/</w:t>
      </w:r>
      <w:r>
        <w:rPr>
          <w:rFonts w:ascii="Consolas" w:hAnsi="Consolas" w:cs="Consolas" w:eastAsia="Consolas"/>
          <w:sz w:val="18"/>
          <w:szCs w:val="18"/>
        </w:rPr>
        <w:br/>
      </w:r>
      <w:r>
        <w:rPr>
          <w:rFonts w:ascii="Consolas" w:hAnsi="Consolas" w:cs="Consolas" w:eastAsia="Consolas"/>
          <w:sz w:val="18"/>
          <w:szCs w:val="18"/>
        </w:rPr>
        <w:t xml:space="preserve">│   └── backup/</w:t>
      </w:r>
      <w:r>
        <w:rPr>
          <w:rFonts w:ascii="Consolas" w:hAnsi="Consolas" w:cs="Consolas" w:eastAsia="Consolas"/>
          <w:sz w:val="18"/>
          <w:szCs w:val="18"/>
        </w:rPr>
        <w:br/>
      </w:r>
      <w:r>
        <w:rPr>
          <w:rFonts w:ascii="Consolas" w:hAnsi="Consolas" w:cs="Consolas" w:eastAsia="Consolas"/>
          <w:sz w:val="18"/>
          <w:szCs w:val="18"/>
        </w:rPr>
        <w:t xml:space="preserve">├── docs/</w:t>
      </w:r>
      <w:r>
        <w:rPr>
          <w:rFonts w:ascii="Consolas" w:hAnsi="Consolas" w:cs="Consolas" w:eastAsia="Consolas"/>
          <w:sz w:val="18"/>
          <w:szCs w:val="18"/>
        </w:rPr>
        <w:br/>
      </w:r>
      <w:r>
        <w:rPr>
          <w:rFonts w:ascii="Consolas" w:hAnsi="Consolas" w:cs="Consolas" w:eastAsia="Consolas"/>
          <w:sz w:val="18"/>
          <w:szCs w:val="18"/>
        </w:rPr>
        <w:t xml:space="preserve">│   ├── architecture/</w:t>
      </w:r>
      <w:r>
        <w:rPr>
          <w:rFonts w:ascii="Consolas" w:hAnsi="Consolas" w:cs="Consolas" w:eastAsia="Consolas"/>
          <w:sz w:val="18"/>
          <w:szCs w:val="18"/>
        </w:rPr>
        <w:br/>
      </w:r>
      <w:r>
        <w:rPr>
          <w:rFonts w:ascii="Consolas" w:hAnsi="Consolas" w:cs="Consolas" w:eastAsia="Consolas"/>
          <w:sz w:val="18"/>
          <w:szCs w:val="18"/>
        </w:rPr>
        <w:t xml:space="preserve">│   ├── adr/</w:t>
      </w:r>
      <w:r>
        <w:rPr>
          <w:rFonts w:ascii="Consolas" w:hAnsi="Consolas" w:cs="Consolas" w:eastAsia="Consolas"/>
          <w:sz w:val="18"/>
          <w:szCs w:val="18"/>
        </w:rPr>
        <w:br/>
      </w:r>
      <w:r>
        <w:rPr>
          <w:rFonts w:ascii="Consolas" w:hAnsi="Consolas" w:cs="Consolas" w:eastAsia="Consolas"/>
          <w:sz w:val="18"/>
          <w:szCs w:val="18"/>
        </w:rPr>
        <w:t xml:space="preserve">│   ├── api/</w:t>
      </w:r>
      <w:r>
        <w:rPr>
          <w:rFonts w:ascii="Consolas" w:hAnsi="Consolas" w:cs="Consolas" w:eastAsia="Consolas"/>
          <w:sz w:val="18"/>
          <w:szCs w:val="18"/>
        </w:rPr>
        <w:br/>
      </w:r>
      <w:r>
        <w:rPr>
          <w:rFonts w:ascii="Consolas" w:hAnsi="Consolas" w:cs="Consolas" w:eastAsia="Consolas"/>
          <w:sz w:val="18"/>
          <w:szCs w:val="18"/>
        </w:rPr>
        <w:t xml:space="preserve">│   ├── data/</w:t>
      </w:r>
      <w:r>
        <w:rPr>
          <w:rFonts w:ascii="Consolas" w:hAnsi="Consolas" w:cs="Consolas" w:eastAsia="Consolas"/>
          <w:sz w:val="18"/>
          <w:szCs w:val="18"/>
        </w:rPr>
        <w:br/>
      </w:r>
      <w:r>
        <w:rPr>
          <w:rFonts w:ascii="Consolas" w:hAnsi="Consolas" w:cs="Consolas" w:eastAsia="Consolas"/>
          <w:sz w:val="18"/>
          <w:szCs w:val="18"/>
        </w:rPr>
        <w:t xml:space="preserve">│   └── runbooks/</w:t>
      </w:r>
      <w:r>
        <w:rPr>
          <w:rFonts w:ascii="Consolas" w:hAnsi="Consolas" w:cs="Consolas" w:eastAsia="Consolas"/>
          <w:sz w:val="18"/>
          <w:szCs w:val="18"/>
        </w:rPr>
        <w:br/>
      </w:r>
      <w:r>
        <w:rPr>
          <w:rFonts w:ascii="Consolas" w:hAnsi="Consolas" w:cs="Consolas" w:eastAsia="Consolas"/>
          <w:sz w:val="18"/>
          <w:szCs w:val="18"/>
        </w:rPr>
        <w:t xml:space="preserve">├── fixtures/</w:t>
      </w:r>
      <w:r>
        <w:rPr>
          <w:rFonts w:ascii="Consolas" w:hAnsi="Consolas" w:cs="Consolas" w:eastAsia="Consolas"/>
          <w:sz w:val="18"/>
          <w:szCs w:val="18"/>
        </w:rPr>
        <w:br/>
      </w:r>
      <w:r>
        <w:rPr>
          <w:rFonts w:ascii="Consolas" w:hAnsi="Consolas" w:cs="Consolas" w:eastAsia="Consolas"/>
          <w:sz w:val="18"/>
          <w:szCs w:val="18"/>
        </w:rPr>
        <w:t xml:space="preserve">├── scripts/</w:t>
      </w:r>
      <w:r>
        <w:rPr>
          <w:rFonts w:ascii="Consolas" w:hAnsi="Consolas" w:cs="Consolas" w:eastAsia="Consolas"/>
          <w:sz w:val="18"/>
          <w:szCs w:val="18"/>
        </w:rPr>
        <w:br/>
      </w:r>
      <w:r>
        <w:rPr>
          <w:rFonts w:ascii="Consolas" w:hAnsi="Consolas" w:cs="Consolas" w:eastAsia="Consolas"/>
          <w:sz w:val="18"/>
          <w:szCs w:val="18"/>
        </w:rPr>
        <w:t xml:space="preserve">├── tests/</w:t>
      </w:r>
      <w:r>
        <w:rPr>
          <w:rFonts w:ascii="Consolas" w:hAnsi="Consolas" w:cs="Consolas" w:eastAsia="Consolas"/>
          <w:sz w:val="18"/>
          <w:szCs w:val="18"/>
        </w:rPr>
        <w:br/>
      </w:r>
      <w:r>
        <w:rPr>
          <w:rFonts w:ascii="Consolas" w:hAnsi="Consolas" w:cs="Consolas" w:eastAsia="Consolas"/>
          <w:sz w:val="18"/>
          <w:szCs w:val="18"/>
        </w:rPr>
        <w:t xml:space="preserve">│   ├── integration/</w:t>
      </w:r>
      <w:r>
        <w:rPr>
          <w:rFonts w:ascii="Consolas" w:hAnsi="Consolas" w:cs="Consolas" w:eastAsia="Consolas"/>
          <w:sz w:val="18"/>
          <w:szCs w:val="18"/>
        </w:rPr>
        <w:br/>
      </w:r>
      <w:r>
        <w:rPr>
          <w:rFonts w:ascii="Consolas" w:hAnsi="Consolas" w:cs="Consolas" w:eastAsia="Consolas"/>
          <w:sz w:val="18"/>
          <w:szCs w:val="18"/>
        </w:rPr>
        <w:t xml:space="preserve">│   ├── security/</w:t>
      </w:r>
      <w:r>
        <w:rPr>
          <w:rFonts w:ascii="Consolas" w:hAnsi="Consolas" w:cs="Consolas" w:eastAsia="Consolas"/>
          <w:sz w:val="18"/>
          <w:szCs w:val="18"/>
        </w:rPr>
        <w:br/>
      </w:r>
      <w:r>
        <w:rPr>
          <w:rFonts w:ascii="Consolas" w:hAnsi="Consolas" w:cs="Consolas" w:eastAsia="Consolas"/>
          <w:sz w:val="18"/>
          <w:szCs w:val="18"/>
        </w:rPr>
        <w:t xml:space="preserve">│   └── release/</w:t>
      </w:r>
      <w:r>
        <w:rPr>
          <w:rFonts w:ascii="Consolas" w:hAnsi="Consolas" w:cs="Consolas" w:eastAsia="Consolas"/>
          <w:sz w:val="18"/>
          <w:szCs w:val="18"/>
        </w:rPr>
        <w:br/>
      </w:r>
      <w:r>
        <w:rPr>
          <w:rFonts w:ascii="Consolas" w:hAnsi="Consolas" w:cs="Consolas" w:eastAsia="Consolas"/>
          <w:sz w:val="18"/>
          <w:szCs w:val="18"/>
        </w:rPr>
        <w:t xml:space="preserve">└── .github/workflows/</w:t>
      </w:r>
    </w:p>
    <w:bookmarkEnd w:id="48"/>
    <w:bookmarkStart w:id="49" w:name="Xceaec20c4e9c78604eb4d4a6835ea033bf9125e"/>
    <w:p>
      <w:pPr>
        <w:pStyle w:val="Heading1"/>
      </w:pPr>
      <w:r>
        <w:t xml:space="preserve">41. Closing Engineering Decision</w:t>
      </w:r>
    </w:p>
    <w:p>
      <w:pPr>
        <w:pStyle w:val="BlockText"/>
      </w:pPr>
      <w:r>
        <w:rPr>
          <w:b/>
          <w:bCs/>
        </w:rPr>
        <w:t xml:space="preserve">MVP technology posture</w:t>
      </w:r>
      <w:r>
        <w:br/>
      </w:r>
      <w:r>
        <w:t xml:space="preserve">Build the distinctive CS-AML investigation and reasoning layer. Reuse mature infrastructure for identity, relational storage, object storage, async execution, telemetry and browser graph rendering. Avoid adding a dedicated search cluster, graph database, Kubernetes, microservices or AI gateway until a measured requirement justifies the operational cost.</w:t>
      </w:r>
    </w:p>
    <w:p>
      <w:pPr>
        <w:pStyle w:val="FirstParagraph"/>
      </w:pPr>
      <w:r>
        <w:t xml:space="preserve">This specification is the proposed technical baseline for implementation planning (draft for review).</w:t>
      </w:r>
      <w:r>
        <w:t xml:space="preserve"> </w:t>
      </w:r>
      <w:r>
        <w:rPr>
          <w:i/>
          <w:iCs/>
        </w:rPr>
        <w:t xml:space="preserve">[v0.1.1 · A01]</w:t>
      </w:r>
      <w:r>
        <w:t xml:space="preserve"> </w:t>
      </w:r>
      <w:r>
        <w:t xml:space="preserve">The next planning artifact SHOULD be the CS-AML Sprint &amp; Milestone Plan, which assigns the engineering stories to ordered increments, identifies parallel work, defines review checkpoints, and establishes release evidence for each milestone.</w:t>
      </w:r>
    </w:p>
    <w:bookmarkEnd w:id="49"/>
    <w:sectPr>
      <w:headerReference r:id="rIdCsamlHdr" w:type="default"/>
      <w:footerReference r:id="rIdCsamlFtr" w:type="default"/>
      <w:footnotePr>
        <w:numRestart w:val="eachSect"/>
      </w:footnotePr>
      <w:pgSz w:h="16838" w:w="11906"/>
      <w:pgMar w:bottom="1247" w:footer="567" w:gutter="0" w:header="567" w:left="1134" w:right="1134" w:top="141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pBdr>
        <w:top w:val="single" w:sz="4" w:space="1" w:color="808080"/>
      </w:pBdr>
      <w:tabs>
        <w:tab w:val="right" w:pos="9638"/>
      </w:tabs>
      <w:spacing w:before="0" w:after="0"/>
    </w:pPr>
    <w:r>
      <w:rPr>
        <w:sz w:val="16"/>
      </w:rPr>
      <w:t xml:space="preserve">Approved Internal Specification Baseline</w:t>
    </w:r>
    <w:r>
      <w:rPr>
        <w:sz w:val="16"/>
      </w:rPr>
      <w:tab/>
      <w:t xml:space="preserve">Page </w:t>
    </w:r>
    <w:fldSimple w:instr=" PAGE ">
      <w:r>
        <w:rPr>
          <w:sz w:val="16"/>
        </w:rPr>
        <w:t>1</w:t>
      </w:r>
    </w:fldSimple>
    <w:r>
      <w:rPr>
        <w:sz w:val="16"/>
      </w:rPr>
      <w:t xml:space="preserve"> of </w:t>
    </w:r>
    <w:fldSimple w:instr=" NUMPAGES ">
      <w:r>
        <w:rPr>
          <w:sz w:val="16"/>
        </w:rPr>
        <w:t>1</w:t>
      </w:r>
    </w:fldSimpl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http://schemas.openxmlformats.org/wordprocessingml/2006/main" xmlns:r="http://schemas.openxmlformats.org/officeDocument/2006/relationships">
  <w:p>
    <w:pPr>
      <w:pBdr>
        <w:bottom w:val="single" w:sz="4" w:space="1" w:color="808080"/>
      </w:pBdr>
      <w:tabs>
        <w:tab w:val="right" w:pos="9638"/>
      </w:tabs>
      <w:spacing w:before="0" w:after="0"/>
    </w:pPr>
    <w:r>
      <w:rPr>
        <w:b/>
        <w:sz w:val="16"/>
      </w:rPr>
      <w:t xml:space="preserve">CS-AML </w:t>
    </w:r>
    <w:r>
      <w:rPr>
        <w:sz w:val="16"/>
      </w:rPr>
      <w:t xml:space="preserve">Technical Stack and Repository Specification</w:t>
    </w:r>
    <w:r>
      <w:rPr>
        <w:sz w:val="16"/>
      </w:rPr>
      <w:tab/>
      <w:t xml:space="preserve">Version 0.1.4</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cs="Calibri" w:eastAsia="Calibri" w:hAnsi="Calibri"/>
        <w:sz w:val="20"/>
        <w:szCs w:val="20"/>
        <w:lang w:bidi="ar-SA" w:eastAsia="zh-CN" w:val="en-GB"/>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00" w:before="10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Borders>
        <w:top w:color="A0A8B0" w:space="0" w:sz="4" w:val="single"/>
        <w:left w:color="A0A8B0" w:space="0" w:sz="4" w:val="single"/>
        <w:bottom w:color="A0A8B0" w:space="0" w:sz="4" w:val="single"/>
        <w:right w:color="A0A8B0" w:space="0" w:sz="4" w:val="single"/>
        <w:insideH w:color="A0A8B0" w:space="0" w:sz="4" w:val="single"/>
        <w:insideV w:color="A0A8B0" w:space="0" w:sz="4" w:val="single"/>
      </w:tblBorders>
      <w:tblCellMar>
        <w:top w:type="dxa" w:w="0"/>
        <w:left w:type="dxa" w:w="108"/>
        <w:bottom w:type="dxa" w:w="0"/>
        <w:right w:type="dxa" w:w="108"/>
      </w:tblCellMar>
    </w:tblPr>
    <w:tblStylePr w:type="firstRow">
      <w:tcPr>
        <w:tcBorders>
          <w:bottom w:val="single"/>
        </w:tcBorders>
        <w:shd w:color="auto" w:fill="E6EBF0" w:val="clear"/>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qFormat/>
    <w:pPr>
      <w:wordWrap w:val="0"/>
      <w:shd w:color="auto" w:fill="F4F6F8" w:val="clear"/>
      <w:pBdr>
        <w:left w:color="A0A8B0" w:space="6" w:sz="8" w:val="single"/>
      </w:pBdr>
      <w:spacing w:after="120" w:before="60" w:line="240" w:lineRule="auto"/>
    </w:pPr>
    <w:rPr>
      <w:rFonts w:ascii="Consolas" w:cs="Consolas" w:eastAsia="Consolas" w:hAnsi="Consolas"/>
      <w:sz w:val="16"/>
      <w:szCs w:val="16"/>
    </w:rPr>
  </w:style>
  <w:style w:customStyle="1" w:styleId="TableText" w:type="paragraph">
    <w:name w:val="Table Text"/>
    <w:basedOn w:val="Compact"/>
    <w:qFormat/>
    <w:pPr>
      <w:spacing w:after="20" w:before="20"/>
    </w:pPr>
    <w:rPr>
      <w:sz w:val="17"/>
      <w:szCs w:val="17"/>
    </w:rPr>
  </w:style>
  <w:style w:customStyle="1" w:styleId="TableTextSmall" w:type="paragraph">
    <w:name w:val="Table Text Small"/>
    <w:basedOn w:val="Compact"/>
    <w:qFormat/>
    <w:pPr>
      <w:spacing w:after="10" w:before="10"/>
    </w:pPr>
    <w:rPr>
      <w:sz w:val="14"/>
      <w:szCs w:val="14"/>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Id="rIdCsamlHdr" Target="header1.xml" Type="http://schemas.openxmlformats.org/officeDocument/2006/relationships/header" /><Relationship Id="rIdCsamlFtr"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Technical Stack and Repository Specification</dc:title>
  <dc:creator/>
  <dc:language>en-GB</dc:language>
  <cp:keywords/>
  <dcterms:created xsi:type="dcterms:W3CDTF">2026-10-10T04:00:41Z</dcterms:created>
  <dcterms:modified xsi:type="dcterms:W3CDTF">2026-10-10T04:00:41Z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2026-10-10</vt:lpwstr>
  </property>
  <property fmtid="{D5CDD505-2E9C-101B-9397-08002B2CF9AE}" pid="3" name="doctitle">
    <vt:lpwstr>Technical Stack and Repository Specification</vt:lpwstr>
  </property>
  <property fmtid="{D5CDD505-2E9C-101B-9397-08002B2CF9AE}" pid="4" name="docversion">
    <vt:lpwstr>0.1.4</vt:lpwstr>
  </property>
  <property fmtid="{D5CDD505-2E9C-101B-9397-08002B2CF9AE}" pid="5" name="subtitle">
    <vt:lpwstr>Version 0.1.4 — Approved Internal Specification Baseline (tag v0.1.4-spec)</vt:lpwstr>
  </property>
  <property fmtid="{D5CDD505-2E9C-101B-9397-08002B2CF9AE}" pid="6" name="toc-title">
    <vt:lpwstr>Contents</vt:lpwstr>
  </property>
</Properties>
</file>