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Wireframe Specification</w:t>
      </w:r>
    </w:p>
    <w:p>
      <w:pPr>
        <w:pStyle w:val="Subtitle"/>
      </w:pPr>
      <w:r>
        <w:t xml:space="preserve">Version 0.1.1 — Approved Internal Specification Baseline (tag v0.1.1-spec)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b/>
          <w:bCs/>
        </w:rPr>
        <w:t xml:space="preserve">CS-AML Wireframe Specification v0.1.1</w:t>
      </w:r>
    </w:p>
    <w:p>
      <w:pPr>
        <w:pStyle w:val="BodyText"/>
      </w:pPr>
      <w:r>
        <w:t xml:space="preserve">Structural wireframe contract for MVP 0.1</w:t>
      </w:r>
    </w:p>
    <w:p>
      <w:pPr>
        <w:pStyle w:val="BlockText"/>
      </w:pPr>
      <w:r>
        <w:rPr>
          <w:b/>
          <w:bCs/>
        </w:rPr>
        <w:t xml:space="preserve">Document status — v0.1.1</w:t>
      </w:r>
      <w:r>
        <w:br/>
      </w:r>
      <w:r>
        <w:t xml:space="preserve">Version: 0.1.1 — Approved Internal Specification Baseline (2026-10-08, tag v0.1.1-spec).</w:t>
      </w:r>
      <w:r>
        <w:t xml:space="preserve"> </w:t>
      </w:r>
      <w:r>
        <w:rPr>
          <w:i/>
          <w:iCs/>
        </w:rPr>
        <w:t xml:space="preserve">[v0.1.1 · A01]</w:t>
      </w:r>
      <w:r>
        <w:br/>
      </w:r>
      <w:r>
        <w:t xml:space="preserve">Supersedes: CS-AML Wireframe Specification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No implementation test result or independent audit exists yet.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5"/>
        <w:gridCol w:w="712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TableText"/>
            </w:pPr>
            <w:r>
              <w:t xml:space="preserve">0.1.1</w:t>
            </w:r>
          </w:p>
        </w:tc>
      </w:tr>
      <w:t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TableText"/>
            </w:pPr>
            <w:r>
              <w:t xml:space="preserve">Approved Internal Specification Baseline (2026-10-08, tag v0.1.1-spec) — normative wireframe baseline</w:t>
            </w:r>
            <w:r>
              <w:t xml:space="preserve"> </w:t>
            </w:r>
            <w:r>
              <w:rPr>
                <w:i/>
                <w:iCs/>
              </w:rPr>
              <w:t xml:space="preserve">[v0.1.1 · A01]</w:t>
            </w:r>
          </w:p>
        </w:tc>
      </w:tr>
      <w:t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TableText"/>
            </w:pPr>
            <w:r>
              <w:t xml:space="preserve">MVP 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axiom.</w:t>
      </w:r>
      <w:r>
        <w:t xml:space="preserve"> </w:t>
      </w:r>
      <w:r>
        <w:t xml:space="preserve">Screens and wireframes SHALL preserve analytical uncertainty, provenance, reversibility, permission boundaries, and review context. Visual hierarchy must never convert inference into fact or status into accusation.</w:t>
      </w:r>
    </w:p>
    <w:bookmarkStart w:id="9" w:name="X58136a99f44b5ba702a596c7a85a46b8602ced4"/>
    <w:p>
      <w:pPr>
        <w:pStyle w:val="Heading1"/>
      </w:pPr>
      <w:r>
        <w:t xml:space="preserve">1. Purpose and Boundary</w:t>
      </w:r>
    </w:p>
    <w:p>
      <w:pPr>
        <w:pStyle w:val="FirstParagraph"/>
      </w:pPr>
      <w:r>
        <w:t xml:space="preserve">This specification defines the structural wireframe contract for CS-AML MVP screens. It translates each Screen Inventory ID into layout regions, component zones, hierarchy, contextual panels, state placement and responsive rules. It is intentionally low-fidelity: it does not prescribe brand styling, final visual design tokens, iconography or production copy.</w:t>
      </w:r>
    </w:p>
    <w:p>
      <w:pPr>
        <w:pStyle w:val="BlockText"/>
      </w:pPr>
      <w:r>
        <w:rPr>
          <w:b/>
          <w:bCs/>
        </w:rPr>
        <w:t xml:space="preserve">Ownership split —</w:t>
      </w:r>
      <w:r>
        <w:t xml:space="preserve"> </w:t>
      </w:r>
      <w:r>
        <w:t xml:space="preserve">Information Architecture owns organisation and findability. UX owns behaviour and interaction semantics. This Wireframe Specification owns spatial composition and screen-region contracts. Final visual styling belongs to the future UI Design System.</w:t>
      </w:r>
    </w:p>
    <w:bookmarkEnd w:id="9"/>
    <w:bookmarkStart w:id="10" w:name="X4fafa5ea6012d387225333bdc6e3b173b7b7047"/>
    <w:p>
      <w:pPr>
        <w:pStyle w:val="Heading1"/>
      </w:pPr>
      <w:r>
        <w:t xml:space="preserve">2. Global Application Frame</w:t>
      </w:r>
    </w:p>
    <w:p>
      <w:pPr>
        <w:pStyle w:val="FirstParagraph"/>
      </w:pPr>
      <w:r>
        <w:t xml:space="preserve">Desktop baseline uses a stable application frame. The exact pixel values MAY vary in implementation, but the information zones SHALL remain recognisable.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3161"/>
        <w:gridCol w:w="368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Rules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A. Global header</w:t>
            </w:r>
          </w:p>
        </w:tc>
        <w:tc>
          <w:tcPr/>
          <w:p>
            <w:pPr>
              <w:pStyle w:val="TableText"/>
            </w:pPr>
            <w:r>
              <w:t xml:space="preserve">Identity, global search trigger, current user/session, environment marker</w:t>
            </w:r>
          </w:p>
        </w:tc>
        <w:tc>
          <w:tcPr/>
          <w:p>
            <w:pPr>
              <w:pStyle w:val="TableText"/>
            </w:pPr>
            <w:r>
              <w:t xml:space="preserve">Never display sensitive case content in persistent chrome unless user is authorised.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B. Primary navigation</w:t>
            </w:r>
          </w:p>
        </w:tc>
        <w:tc>
          <w:tcPr/>
          <w:p>
            <w:pPr>
              <w:pStyle w:val="TableText"/>
            </w:pPr>
            <w:r>
              <w:t xml:space="preserve">Home, Cases, Entities, Evidence, Analysis, Products, Search, Administration</w:t>
            </w:r>
          </w:p>
        </w:tc>
        <w:tc>
          <w:tcPr/>
          <w:p>
            <w:pPr>
              <w:pStyle w:val="TableText"/>
            </w:pPr>
            <w:r>
              <w:t xml:space="preserve">Labels come from IA. Restricted destinations are omitted or disabled according to policy.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C. Context header</w:t>
            </w:r>
          </w:p>
        </w:tc>
        <w:tc>
          <w:tcPr/>
          <w:p>
            <w:pPr>
              <w:pStyle w:val="TableText"/>
            </w:pPr>
            <w:r>
              <w:t xml:space="preserve">Current case/object title, classification, status, breadcrumbs/context</w:t>
            </w:r>
          </w:p>
        </w:tc>
        <w:tc>
          <w:tcPr/>
          <w:p>
            <w:pPr>
              <w:pStyle w:val="TableText"/>
            </w:pPr>
            <w:r>
              <w:t xml:space="preserve">Must distinguish canonical object from case-context 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D. Local navigation</w:t>
            </w:r>
          </w:p>
        </w:tc>
        <w:tc>
          <w:tcPr/>
          <w:p>
            <w:pPr>
              <w:pStyle w:val="TableText"/>
            </w:pPr>
            <w:r>
              <w:t xml:space="preserve">Tabs or section navigation within current case/object</w:t>
            </w:r>
          </w:p>
        </w:tc>
        <w:tc>
          <w:tcPr/>
          <w:p>
            <w:pPr>
              <w:pStyle w:val="TableText"/>
            </w:pPr>
            <w:r>
              <w:t xml:space="preserve">Must preserve deep-linkability and current context.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E. Main canvas</w:t>
            </w:r>
          </w:p>
        </w:tc>
        <w:tc>
          <w:tcPr/>
          <w:p>
            <w:pPr>
              <w:pStyle w:val="TableText"/>
            </w:pPr>
            <w:r>
              <w:t xml:space="preserve">Primary task content</w:t>
            </w:r>
          </w:p>
        </w:tc>
        <w:tc>
          <w:tcPr/>
          <w:p>
            <w:pPr>
              <w:pStyle w:val="TableText"/>
            </w:pPr>
            <w:r>
              <w:t xml:space="preserve">One dominant task per screen; avoid dashboard clutter.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F. Context / evidence rail</w:t>
            </w:r>
          </w:p>
        </w:tc>
        <w:tc>
          <w:tcPr/>
          <w:p>
            <w:pPr>
              <w:pStyle w:val="TableText"/>
            </w:pPr>
            <w:r>
              <w:t xml:space="preserve">Provenance, evidence, metadata, linked objects, warnings</w:t>
            </w:r>
          </w:p>
        </w:tc>
        <w:tc>
          <w:tcPr/>
          <w:p>
            <w:pPr>
              <w:pStyle w:val="TableText"/>
            </w:pPr>
            <w:r>
              <w:t xml:space="preserve">Optional/collapsible; never the only place critical uncertainty is shown.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G. Action zone</w:t>
            </w:r>
          </w:p>
        </w:tc>
        <w:tc>
          <w:tcPr/>
          <w:p>
            <w:pPr>
              <w:pStyle w:val="TableText"/>
            </w:pPr>
            <w:r>
              <w:t xml:space="preserve">Primary/secondary actions and high-impact confirmations</w:t>
            </w:r>
          </w:p>
        </w:tc>
        <w:tc>
          <w:tcPr/>
          <w:p>
            <w:pPr>
              <w:pStyle w:val="TableText"/>
            </w:pPr>
            <w:r>
              <w:t xml:space="preserve">High-impact actions separated from routine edit actions.</w:t>
            </w:r>
          </w:p>
        </w:tc>
      </w:tr>
    </w:tbl>
    <w:bookmarkEnd w:id="10"/>
    <w:bookmarkStart w:id="11" w:name="X626d403112055315644078847a119fbdcc58145"/>
    <w:p>
      <w:pPr>
        <w:pStyle w:val="Heading1"/>
      </w:pPr>
      <w:r>
        <w:t xml:space="preserve">3. Responsive Baseline</w:t>
      </w:r>
    </w:p>
    <w:p>
      <w:pPr>
        <w:numPr>
          <w:ilvl w:val="0"/>
          <w:numId w:val="1001"/>
        </w:numPr>
      </w:pPr>
      <w:r>
        <w:t xml:space="preserve">Desktop &gt;= 1280px: two- or three-region analytical workspace permitted.</w:t>
      </w:r>
    </w:p>
    <w:p>
      <w:pPr>
        <w:numPr>
          <w:ilvl w:val="0"/>
          <w:numId w:val="1001"/>
        </w:numPr>
      </w:pPr>
      <w:r>
        <w:t xml:space="preserve">Tablet 768-1279px: context rail collapses to drawer; local navigation may become horizontal overflow or compact menu.</w:t>
      </w:r>
    </w:p>
    <w:p>
      <w:pPr>
        <w:numPr>
          <w:ilvl w:val="0"/>
          <w:numId w:val="1001"/>
        </w:numPr>
      </w:pPr>
      <w:r>
        <w:t xml:space="preserve">Mobile &lt; 768px: read/review and simple capture MAY be supported; dense graph, entity matching and value-flow building are not required to be full-featured for MVP.</w:t>
      </w:r>
    </w:p>
    <w:p>
      <w:pPr>
        <w:numPr>
          <w:ilvl w:val="0"/>
          <w:numId w:val="1001"/>
        </w:numPr>
      </w:pPr>
      <w:r>
        <w:t xml:space="preserve">No critical classification, uncertainty or permission state may disappear solely because viewport is narrower.</w:t>
      </w:r>
    </w:p>
    <w:bookmarkEnd w:id="11"/>
    <w:bookmarkStart w:id="12" w:name="Xe26b8f55d68531dcc642c5709cf77e130707760"/>
    <w:p>
      <w:pPr>
        <w:pStyle w:val="Heading1"/>
      </w:pPr>
      <w:r>
        <w:t xml:space="preserve">4. Wireframe Pattern Library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4"/>
        <w:gridCol w:w="1078"/>
        <w:gridCol w:w="585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Pattern 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Structural contract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Register/List</w:t>
            </w:r>
          </w:p>
        </w:tc>
        <w:tc>
          <w:tcPr/>
          <w:p>
            <w:pPr>
              <w:pStyle w:val="TableText"/>
            </w:pPr>
            <w:r>
              <w:t xml:space="preserve">Header + filters + sortable result list/table + empty state + primary create action.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Canonical Object Detail</w:t>
            </w:r>
          </w:p>
        </w:tc>
        <w:tc>
          <w:tcPr/>
          <w:p>
            <w:pPr>
              <w:pStyle w:val="TableText"/>
            </w:pPr>
            <w:r>
              <w:t xml:space="preserve">Context header + summary block + local tabs + main object facts + provenance rail + backlinks.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Editor/Form</w:t>
            </w:r>
          </w:p>
        </w:tc>
        <w:tc>
          <w:tcPr/>
          <w:p>
            <w:pPr>
              <w:pStyle w:val="TableText"/>
            </w:pPr>
            <w:r>
              <w:t xml:space="preserve">Context header + sectioned form + inline validation + evidence/provenance selector + sticky save/cancel zone.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Workspace</w:t>
            </w:r>
          </w:p>
        </w:tc>
        <w:tc>
          <w:tcPr/>
          <w:p>
            <w:pPr>
              <w:pStyle w:val="TableText"/>
            </w:pPr>
            <w:r>
              <w:t xml:space="preserve">Context header + local tools + primary analytical canvas + side inspector + optional bottom activity/history panel.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WF-PAT-05</w:t>
            </w:r>
          </w:p>
        </w:tc>
        <w:tc>
          <w:tcPr/>
          <w:p>
            <w:pPr>
              <w:pStyle w:val="TableText"/>
            </w:pPr>
            <w:r>
              <w:t xml:space="preserve">Compare/Resolution</w:t>
            </w:r>
          </w:p>
        </w:tc>
        <w:tc>
          <w:tcPr/>
          <w:p>
            <w:pPr>
              <w:pStyle w:val="TableText"/>
            </w:pPr>
            <w:r>
              <w:t xml:space="preserve">Side-by-side candidate columns + match/conflict summary + evidence panel + decision zone.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WF-PAT-06</w:t>
            </w:r>
          </w:p>
        </w:tc>
        <w:tc>
          <w:tcPr/>
          <w:p>
            <w:pPr>
              <w:pStyle w:val="TableText"/>
            </w:pPr>
            <w:r>
              <w:t xml:space="preserve">Review/Approval</w:t>
            </w:r>
          </w:p>
        </w:tc>
        <w:tc>
          <w:tcPr/>
          <w:p>
            <w:pPr>
              <w:pStyle w:val="TableText"/>
            </w:pPr>
            <w:r>
              <w:t xml:space="preserve">Read-only reviewed artefact + review checklist/comments + decision panel + independent-approval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WF-PAT-07</w:t>
            </w:r>
          </w:p>
        </w:tc>
        <w:tc>
          <w:tcPr/>
          <w:p>
            <w:pPr>
              <w:pStyle w:val="TableText"/>
            </w:pPr>
            <w:r>
              <w:t xml:space="preserve">System State</w:t>
            </w:r>
          </w:p>
        </w:tc>
        <w:tc>
          <w:tcPr/>
          <w:p>
            <w:pPr>
              <w:pStyle w:val="TableText"/>
            </w:pPr>
            <w:r>
              <w:t xml:space="preserve">Minimal content with explanation, safe next step and non-disclosing error semantics.</w:t>
            </w:r>
          </w:p>
        </w:tc>
      </w:tr>
    </w:tbl>
    <w:bookmarkEnd w:id="12"/>
    <w:bookmarkStart w:id="13" w:name="Xd114744c951c62da639df67369d7e9c413a3186"/>
    <w:p>
      <w:pPr>
        <w:pStyle w:val="Heading1"/>
      </w:pPr>
      <w:r>
        <w:t xml:space="preserve">5. Screen-to-Wireframe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070"/>
        <w:gridCol w:w="1089"/>
        <w:gridCol w:w="349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 ID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Pattern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Critical States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SCR-HOME-001</w:t>
            </w:r>
          </w:p>
        </w:tc>
        <w:tc>
          <w:tcPr/>
          <w:p>
            <w:pPr>
              <w:pStyle w:val="TableText"/>
            </w:pPr>
            <w:r>
              <w:t xml:space="preserve">Home / Work Queue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empty, filtered, degraded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SCR-CASE-001</w:t>
            </w:r>
          </w:p>
        </w:tc>
        <w:tc>
          <w:tcPr/>
          <w:p>
            <w:pPr>
              <w:pStyle w:val="TableText"/>
            </w:pPr>
            <w:r>
              <w:t xml:space="preserve">Case Register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empty, no-access, filtered</w:t>
            </w:r>
            <w:r>
              <w:t xml:space="preserve"> </w:t>
            </w:r>
            <w:r>
              <w:rPr>
                <w:i/>
                <w:iCs/>
              </w:rPr>
              <w:t xml:space="preserve">[v0.1.1 · A15]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SCR-CASE-002</w:t>
            </w:r>
          </w:p>
        </w:tc>
        <w:tc>
          <w:tcPr/>
          <w:p>
            <w:pPr>
              <w:pStyle w:val="TableText"/>
            </w:pPr>
            <w:r>
              <w:t xml:space="preserve">Create Case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validation-error, success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SCR-CASE-003</w:t>
            </w:r>
          </w:p>
        </w:tc>
        <w:tc>
          <w:tcPr/>
          <w:p>
            <w:pPr>
              <w:pStyle w:val="TableText"/>
            </w:pPr>
            <w:r>
              <w:t xml:space="preserve">Case Overview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restricted, stale-data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SCR-CASE-004</w:t>
            </w:r>
          </w:p>
        </w:tc>
        <w:tc>
          <w:tcPr/>
          <w:p>
            <w:pPr>
              <w:pStyle w:val="TableText"/>
            </w:pPr>
            <w:r>
              <w:t xml:space="preserve">Investigation Charter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view, edit, version-history,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SCR-CASE-005</w:t>
            </w:r>
          </w:p>
        </w:tc>
        <w:tc>
          <w:tcPr/>
          <w:p>
            <w:pPr>
              <w:pStyle w:val="TableText"/>
            </w:pPr>
            <w:r>
              <w:t xml:space="preserve">Lifecycle Gates</w:t>
            </w:r>
          </w:p>
        </w:tc>
        <w:tc>
          <w:tcPr/>
          <w:p>
            <w:pPr>
              <w:pStyle w:val="TableText"/>
            </w:pPr>
            <w:r>
              <w:t xml:space="preserve">WF-PAT-06</w:t>
            </w:r>
          </w:p>
        </w:tc>
        <w:tc>
          <w:tcPr/>
          <w:p>
            <w:pPr>
              <w:pStyle w:val="TableText"/>
            </w:pPr>
            <w:r>
              <w:t xml:space="preserve">pending, approved, rejected, blocked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SCR-CASE-006</w:t>
            </w:r>
          </w:p>
        </w:tc>
        <w:tc>
          <w:tcPr/>
          <w:p>
            <w:pPr>
              <w:pStyle w:val="TableText"/>
            </w:pPr>
            <w:r>
              <w:t xml:space="preserve">Case Work / Tasks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board, list, empty, overdue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SCR-CASE-007</w:t>
            </w:r>
          </w:p>
        </w:tc>
        <w:tc>
          <w:tcPr/>
          <w:p>
            <w:pPr>
              <w:pStyle w:val="TableText"/>
            </w:pPr>
            <w:r>
              <w:t xml:space="preserve">Case Activity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filtered,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SCR-SRC-001</w:t>
            </w:r>
          </w:p>
        </w:tc>
        <w:tc>
          <w:tcPr/>
          <w:p>
            <w:pPr>
              <w:pStyle w:val="TableText"/>
            </w:pPr>
            <w:r>
              <w:t xml:space="preserve">Source Register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list, empty,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SCR-SRC-002</w:t>
            </w:r>
          </w:p>
        </w:tc>
        <w:tc>
          <w:tcPr/>
          <w:p>
            <w:pPr>
              <w:pStyle w:val="TableText"/>
            </w:pPr>
            <w:r>
              <w:t xml:space="preserve">Source Detail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restricted, superseded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SCR-EVD-001</w:t>
            </w:r>
          </w:p>
        </w:tc>
        <w:tc>
          <w:tcPr/>
          <w:p>
            <w:pPr>
              <w:pStyle w:val="TableText"/>
            </w:pPr>
            <w:r>
              <w:t xml:space="preserve">Evidence Library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grid/list, empty, upload-in-progress,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SCR-EVD-002</w:t>
            </w:r>
          </w:p>
        </w:tc>
        <w:tc>
          <w:tcPr/>
          <w:p>
            <w:pPr>
              <w:pStyle w:val="TableText"/>
            </w:pPr>
            <w:r>
              <w:t xml:space="preserve">Upload Evidence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idle, uploading, scanning, failed, complete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SCR-EVD-003</w:t>
            </w:r>
          </w:p>
        </w:tc>
        <w:tc>
          <w:tcPr/>
          <w:p>
            <w:pPr>
              <w:pStyle w:val="TableText"/>
            </w:pPr>
            <w:r>
              <w:t xml:space="preserve">Evidence Detail / Reader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restricted, integrity-warning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SCR-EVD-004</w:t>
            </w:r>
          </w:p>
        </w:tc>
        <w:tc>
          <w:tcPr/>
          <w:p>
            <w:pPr>
              <w:pStyle w:val="TableText"/>
            </w:pPr>
            <w:r>
              <w:t xml:space="preserve">Evidence Extract Builder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selecting, editing,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SCR-EVD-005</w:t>
            </w:r>
          </w:p>
        </w:tc>
        <w:tc>
          <w:tcPr/>
          <w:p>
            <w:pPr>
              <w:pStyle w:val="TableText"/>
            </w:pPr>
            <w:r>
              <w:t xml:space="preserve">Evidence Lineage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missing-parent-warning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SCR-ENT-001</w:t>
            </w:r>
          </w:p>
        </w:tc>
        <w:tc>
          <w:tcPr/>
          <w:p>
            <w:pPr>
              <w:pStyle w:val="TableText"/>
            </w:pPr>
            <w:r>
              <w:t xml:space="preserve">Entity Register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SCR-ENT-002</w:t>
            </w:r>
          </w:p>
        </w:tc>
        <w:tc>
          <w:tcPr/>
          <w:p>
            <w:pPr>
              <w:pStyle w:val="TableText"/>
            </w:pPr>
            <w:r>
              <w:t xml:space="preserve">Create Entity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duplicate-candidate,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SCR-ENT-003</w:t>
            </w:r>
          </w:p>
        </w:tc>
        <w:tc>
          <w:tcPr/>
          <w:p>
            <w:pPr>
              <w:pStyle w:val="TableText"/>
            </w:pPr>
            <w:r>
              <w:t xml:space="preserve">Entity Detail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disputed,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SCR-ENT-004</w:t>
            </w:r>
          </w:p>
        </w:tc>
        <w:tc>
          <w:tcPr/>
          <w:p>
            <w:pPr>
              <w:pStyle w:val="TableText"/>
            </w:pPr>
            <w:r>
              <w:t xml:space="preserve">Entity Match Queue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queue, empty, 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SCR-ENT-005</w:t>
            </w:r>
          </w:p>
        </w:tc>
        <w:tc>
          <w:tcPr/>
          <w:p>
            <w:pPr>
              <w:pStyle w:val="TableText"/>
            </w:pPr>
            <w:r>
              <w:t xml:space="preserve">Entity Match Compare</w:t>
            </w:r>
          </w:p>
        </w:tc>
        <w:tc>
          <w:tcPr/>
          <w:p>
            <w:pPr>
              <w:pStyle w:val="TableText"/>
            </w:pPr>
            <w:r>
              <w:t xml:space="preserve">WF-PAT-05</w:t>
            </w:r>
          </w:p>
        </w:tc>
        <w:tc>
          <w:tcPr/>
          <w:p>
            <w:pPr>
              <w:pStyle w:val="TableText"/>
            </w:pPr>
            <w:r>
              <w:t xml:space="preserve">candidate, merge-confirmation, rejected, deferred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SCR-ENT-006</w:t>
            </w:r>
          </w:p>
        </w:tc>
        <w:tc>
          <w:tcPr/>
          <w:p>
            <w:pPr>
              <w:pStyle w:val="TableText"/>
            </w:pPr>
            <w:r>
              <w:t xml:space="preserve">Merge History / Unmerge</w:t>
            </w:r>
          </w:p>
        </w:tc>
        <w:tc>
          <w:tcPr/>
          <w:p>
            <w:pPr>
              <w:pStyle w:val="TableText"/>
            </w:pPr>
            <w:r>
              <w:t xml:space="preserve">WF-PAT-05</w:t>
            </w:r>
          </w:p>
        </w:tc>
        <w:tc>
          <w:tcPr/>
          <w:p>
            <w:pPr>
              <w:pStyle w:val="TableText"/>
            </w:pPr>
            <w:r>
              <w:t xml:space="preserve">default, confirmation, conflict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SCR-REL-001</w:t>
            </w:r>
          </w:p>
        </w:tc>
        <w:tc>
          <w:tcPr/>
          <w:p>
            <w:pPr>
              <w:pStyle w:val="TableText"/>
            </w:pPr>
            <w:r>
              <w:t xml:space="preserve">Relationship Editor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SCR-AST-001</w:t>
            </w:r>
          </w:p>
        </w:tc>
        <w:tc>
          <w:tcPr/>
          <w:p>
            <w:pPr>
              <w:pStyle w:val="TableText"/>
            </w:pPr>
            <w:r>
              <w:t xml:space="preserve">Asset Register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SCR-AST-002</w:t>
            </w:r>
          </w:p>
        </w:tc>
        <w:tc>
          <w:tcPr/>
          <w:p>
            <w:pPr>
              <w:pStyle w:val="TableText"/>
            </w:pPr>
            <w:r>
              <w:t xml:space="preserve">Asset Detail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default, disputed,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SCR-TIM-001</w:t>
            </w:r>
          </w:p>
        </w:tc>
        <w:tc>
          <w:tcPr/>
          <w:p>
            <w:pPr>
              <w:pStyle w:val="TableText"/>
            </w:pPr>
            <w:r>
              <w:t xml:space="preserve">Timeline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SCR-TIM-002</w:t>
            </w:r>
          </w:p>
        </w:tc>
        <w:tc>
          <w:tcPr/>
          <w:p>
            <w:pPr>
              <w:pStyle w:val="TableText"/>
            </w:pPr>
            <w:r>
              <w:t xml:space="preserve">Event Editor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SCR-VAL-001</w:t>
            </w:r>
          </w:p>
        </w:tc>
        <w:tc>
          <w:tcPr/>
          <w:p>
            <w:pPr>
              <w:pStyle w:val="TableText"/>
            </w:pPr>
            <w:r>
              <w:t xml:space="preserve">Value Flow Workspace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SCR-VAL-002</w:t>
            </w:r>
          </w:p>
        </w:tc>
        <w:tc>
          <w:tcPr/>
          <w:p>
            <w:pPr>
              <w:pStyle w:val="TableText"/>
            </w:pPr>
            <w:r>
              <w:t xml:space="preserve">Value Flow Builder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draft, incomplete, validation-error, saved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SCR-TYP-001</w:t>
            </w:r>
          </w:p>
        </w:tc>
        <w:tc>
          <w:tcPr/>
          <w:p>
            <w:pPr>
              <w:pStyle w:val="TableText"/>
            </w:pPr>
            <w:r>
              <w:t xml:space="preserve">Typology Catalogue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search,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SCR-TYP-002</w:t>
            </w:r>
          </w:p>
        </w:tc>
        <w:tc>
          <w:tcPr/>
          <w:p>
            <w:pPr>
              <w:pStyle w:val="TableText"/>
            </w:pPr>
            <w:r>
              <w:t xml:space="preserve">Typology Match Worksheet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draft, weak, plausible, strong, compelling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SCR-HYP-001</w:t>
            </w:r>
          </w:p>
        </w:tc>
        <w:tc>
          <w:tcPr/>
          <w:p>
            <w:pPr>
              <w:pStyle w:val="TableText"/>
            </w:pPr>
            <w:r>
              <w:t xml:space="preserve">Hypothesis Workspace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default, empty, filtered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SCR-HYP-002</w:t>
            </w:r>
          </w:p>
        </w:tc>
        <w:tc>
          <w:tcPr/>
          <w:p>
            <w:pPr>
              <w:pStyle w:val="TableText"/>
            </w:pPr>
            <w:r>
              <w:t xml:space="preserve">Hypothesis Detail / Matrix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open, supported, weakened, rejected, inconclusive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SCR-ASM-001</w:t>
            </w:r>
          </w:p>
        </w:tc>
        <w:tc>
          <w:tcPr/>
          <w:p>
            <w:pPr>
              <w:pStyle w:val="TableText"/>
            </w:pPr>
            <w:r>
              <w:t xml:space="preserve">Assessment Draft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validation-error, ready-for-review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SCR-ASM-002</w:t>
            </w:r>
          </w:p>
        </w:tc>
        <w:tc>
          <w:tcPr/>
          <w:p>
            <w:pPr>
              <w:pStyle w:val="TableText"/>
            </w:pPr>
            <w:r>
              <w:t xml:space="preserve">Assessment Detail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draft, reviewed, superseded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SCR-GRF-001</w:t>
            </w:r>
          </w:p>
        </w:tc>
        <w:tc>
          <w:tcPr/>
          <w:p>
            <w:pPr>
              <w:pStyle w:val="TableText"/>
            </w:pPr>
            <w:r>
              <w:t xml:space="preserve">Investigation Graph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default, loading, filtered, no-results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SCR-SCH-001</w:t>
            </w:r>
          </w:p>
        </w:tc>
        <w:tc>
          <w:tcPr/>
          <w:p>
            <w:pPr>
              <w:pStyle w:val="TableText"/>
            </w:pPr>
            <w:r>
              <w:t xml:space="preserve">Global Search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results, no-results,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SCR-PRD-001</w:t>
            </w:r>
          </w:p>
        </w:tc>
        <w:tc>
          <w:tcPr/>
          <w:p>
            <w:pPr>
              <w:pStyle w:val="TableText"/>
            </w:pPr>
            <w:r>
              <w:t xml:space="preserve">Product Library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SCR-PRD-002</w:t>
            </w:r>
          </w:p>
        </w:tc>
        <w:tc>
          <w:tcPr/>
          <w:p>
            <w:pPr>
              <w:pStyle w:val="TableText"/>
            </w:pPr>
            <w:r>
              <w:t xml:space="preserve">Create Intelligence Product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template-select, draft,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SCR-PRD-003</w:t>
            </w:r>
          </w:p>
        </w:tc>
        <w:tc>
          <w:tcPr/>
          <w:p>
            <w:pPr>
              <w:pStyle w:val="TableText"/>
            </w:pPr>
            <w:r>
              <w:t xml:space="preserve">Product Editor</w:t>
            </w:r>
          </w:p>
        </w:tc>
        <w:tc>
          <w:tcPr/>
          <w:p>
            <w:pPr>
              <w:pStyle w:val="TableText"/>
            </w:pPr>
            <w:r>
              <w:t xml:space="preserve">WF-PAT-03</w:t>
            </w:r>
          </w:p>
        </w:tc>
        <w:tc>
          <w:tcPr/>
          <w:p>
            <w:pPr>
              <w:pStyle w:val="TableText"/>
            </w:pPr>
            <w:r>
              <w:t xml:space="preserve">draft, autosave, conflict,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SCR-PRD-004</w:t>
            </w:r>
          </w:p>
        </w:tc>
        <w:tc>
          <w:tcPr/>
          <w:p>
            <w:pPr>
              <w:pStyle w:val="TableText"/>
            </w:pPr>
            <w:r>
              <w:t xml:space="preserve">Product Detail / Version History</w:t>
            </w:r>
          </w:p>
        </w:tc>
        <w:tc>
          <w:tcPr/>
          <w:p>
            <w:pPr>
              <w:pStyle w:val="TableText"/>
            </w:pPr>
            <w:r>
              <w:t xml:space="preserve">WF-PAT-02</w:t>
            </w:r>
          </w:p>
        </w:tc>
        <w:tc>
          <w:tcPr/>
          <w:p>
            <w:pPr>
              <w:pStyle w:val="TableText"/>
            </w:pPr>
            <w:r>
              <w:t xml:space="preserve">draft, review, approved, superseded, retracted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SCR-REV-001</w:t>
            </w:r>
          </w:p>
        </w:tc>
        <w:tc>
          <w:tcPr/>
          <w:p>
            <w:pPr>
              <w:pStyle w:val="TableText"/>
            </w:pPr>
            <w:r>
              <w:t xml:space="preserve">Review Queue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queue, empty, overdue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SCR-REV-002</w:t>
            </w:r>
          </w:p>
        </w:tc>
        <w:tc>
          <w:tcPr/>
          <w:p>
            <w:pPr>
              <w:pStyle w:val="TableText"/>
            </w:pPr>
            <w:r>
              <w:t xml:space="preserve">Peer Review Workspace</w:t>
            </w:r>
          </w:p>
        </w:tc>
        <w:tc>
          <w:tcPr/>
          <w:p>
            <w:pPr>
              <w:pStyle w:val="TableText"/>
            </w:pPr>
            <w:r>
              <w:t xml:space="preserve">WF-PAT-06</w:t>
            </w:r>
          </w:p>
        </w:tc>
        <w:tc>
          <w:tcPr/>
          <w:p>
            <w:pPr>
              <w:pStyle w:val="TableText"/>
            </w:pPr>
            <w:r>
              <w:t xml:space="preserve">in-review, changes-requested, approved, rejected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SCR-DIS-001</w:t>
            </w:r>
          </w:p>
        </w:tc>
        <w:tc>
          <w:tcPr/>
          <w:p>
            <w:pPr>
              <w:pStyle w:val="TableText"/>
            </w:pPr>
            <w:r>
              <w:t xml:space="preserve">Dissemination Approval</w:t>
            </w:r>
          </w:p>
        </w:tc>
        <w:tc>
          <w:tcPr/>
          <w:p>
            <w:pPr>
              <w:pStyle w:val="TableText"/>
            </w:pPr>
            <w:r>
              <w:t xml:space="preserve">WF-PAT-06</w:t>
            </w:r>
          </w:p>
        </w:tc>
        <w:tc>
          <w:tcPr/>
          <w:p>
            <w:pPr>
              <w:pStyle w:val="TableText"/>
            </w:pPr>
            <w:r>
              <w:t xml:space="preserve">draft, blocked, approved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SCR-DIS-002</w:t>
            </w:r>
          </w:p>
        </w:tc>
        <w:tc>
          <w:tcPr/>
          <w:p>
            <w:pPr>
              <w:pStyle w:val="TableText"/>
            </w:pPr>
            <w:r>
              <w:t xml:space="preserve">Export Package Builder</w:t>
            </w:r>
          </w:p>
        </w:tc>
        <w:tc>
          <w:tcPr/>
          <w:p>
            <w:pPr>
              <w:pStyle w:val="TableText"/>
            </w:pPr>
            <w:r>
              <w:t xml:space="preserve">WF-PAT-04</w:t>
            </w:r>
          </w:p>
        </w:tc>
        <w:tc>
          <w:tcPr/>
          <w:p>
            <w:pPr>
              <w:pStyle w:val="TableText"/>
            </w:pPr>
            <w:r>
              <w:t xml:space="preserve">selecting, warning, generating, complete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SCR-DIS-003</w:t>
            </w:r>
          </w:p>
        </w:tc>
        <w:tc>
          <w:tcPr/>
          <w:p>
            <w:pPr>
              <w:pStyle w:val="TableText"/>
            </w:pPr>
            <w:r>
              <w:t xml:space="preserve">Sharing Log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empty, immutable-entry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SCR-ADM-001</w:t>
            </w:r>
          </w:p>
        </w:tc>
        <w:tc>
          <w:tcPr/>
          <w:p>
            <w:pPr>
              <w:pStyle w:val="TableText"/>
            </w:pPr>
            <w:r>
              <w:t xml:space="preserve">Administration Home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restricted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SCR-ADM-002</w:t>
            </w:r>
          </w:p>
        </w:tc>
        <w:tc>
          <w:tcPr/>
          <w:p>
            <w:pPr>
              <w:pStyle w:val="TableText"/>
            </w:pPr>
            <w:r>
              <w:t xml:space="preserve">Vocabulary Management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list, edit, retire, validation-error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SCR-ADM-003</w:t>
            </w:r>
          </w:p>
        </w:tc>
        <w:tc>
          <w:tcPr/>
          <w:p>
            <w:pPr>
              <w:pStyle w:val="TableText"/>
            </w:pPr>
            <w:r>
              <w:t xml:space="preserve">Retention Policies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list, preview, hold, disposition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SCR-ADM-004</w:t>
            </w:r>
          </w:p>
        </w:tc>
        <w:tc>
          <w:tcPr/>
          <w:p>
            <w:pPr>
              <w:pStyle w:val="TableText"/>
            </w:pPr>
            <w:r>
              <w:t xml:space="preserve">Access / Case Membership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list, edit, denied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SCR-AUD-001</w:t>
            </w:r>
          </w:p>
        </w:tc>
        <w:tc>
          <w:tcPr/>
          <w:p>
            <w:pPr>
              <w:pStyle w:val="TableText"/>
            </w:pPr>
            <w:r>
              <w:t xml:space="preserve">Audit Explorer</w:t>
            </w:r>
          </w:p>
        </w:tc>
        <w:tc>
          <w:tcPr/>
          <w:p>
            <w:pPr>
              <w:pStyle w:val="TableText"/>
            </w:pPr>
            <w:r>
              <w:t xml:space="preserve">WF-PAT-01</w:t>
            </w:r>
          </w:p>
        </w:tc>
        <w:tc>
          <w:tcPr/>
          <w:p>
            <w:pPr>
              <w:pStyle w:val="TableText"/>
            </w:pPr>
            <w:r>
              <w:t xml:space="preserve">default, filtered, empty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SCR-SYS-001</w:t>
            </w:r>
          </w:p>
        </w:tc>
        <w:tc>
          <w:tcPr/>
          <w:p>
            <w:pPr>
              <w:pStyle w:val="TableText"/>
            </w:pPr>
            <w:r>
              <w:t xml:space="preserve">Access Denied / Need-to-Know</w:t>
            </w:r>
          </w:p>
        </w:tc>
        <w:tc>
          <w:tcPr/>
          <w:p>
            <w:pPr>
              <w:pStyle w:val="TableText"/>
            </w:pPr>
            <w:r>
              <w:t xml:space="preserve">WF-PAT-07</w:t>
            </w:r>
          </w:p>
        </w:tc>
        <w:tc>
          <w:tcPr/>
          <w:p>
            <w:pPr>
              <w:pStyle w:val="TableText"/>
            </w:pPr>
            <w:r>
              <w:t xml:space="preserve">denied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SCR-SYS-002</w:t>
            </w:r>
          </w:p>
        </w:tc>
        <w:tc>
          <w:tcPr/>
          <w:p>
            <w:pPr>
              <w:pStyle w:val="TableText"/>
            </w:pPr>
            <w:r>
              <w:t xml:space="preserve">Integrity Warning</w:t>
            </w:r>
          </w:p>
        </w:tc>
        <w:tc>
          <w:tcPr/>
          <w:p>
            <w:pPr>
              <w:pStyle w:val="TableText"/>
            </w:pPr>
            <w:r>
              <w:t xml:space="preserve">WF-PAT-07</w:t>
            </w:r>
          </w:p>
        </w:tc>
        <w:tc>
          <w:tcPr/>
          <w:p>
            <w:pPr>
              <w:pStyle w:val="TableText"/>
            </w:pPr>
            <w:r>
              <w:t xml:space="preserve">warning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SCR-SYS-003</w:t>
            </w:r>
          </w:p>
        </w:tc>
        <w:tc>
          <w:tcPr/>
          <w:p>
            <w:pPr>
              <w:pStyle w:val="TableText"/>
            </w:pPr>
            <w:r>
              <w:t xml:space="preserve">Conflict / Stale Version</w:t>
            </w:r>
          </w:p>
        </w:tc>
        <w:tc>
          <w:tcPr/>
          <w:p>
            <w:pPr>
              <w:pStyle w:val="TableText"/>
            </w:pPr>
            <w:r>
              <w:t xml:space="preserve">WF-PAT-07</w:t>
            </w:r>
          </w:p>
        </w:tc>
        <w:tc>
          <w:tcPr/>
          <w:p>
            <w:pPr>
              <w:pStyle w:val="TableText"/>
            </w:pPr>
            <w:r>
              <w:t xml:space="preserve">conflict</w:t>
            </w:r>
          </w:p>
        </w:tc>
      </w:tr>
    </w:tbl>
    <w:bookmarkEnd w:id="13"/>
    <w:bookmarkStart w:id="25" w:name="X093abf8d396394b6943ccbac917374205e28165"/>
    <w:p>
      <w:pPr>
        <w:pStyle w:val="Heading1"/>
      </w:pPr>
      <w:r>
        <w:t xml:space="preserve">6. Detailed Wireframe Specifications</w:t>
      </w:r>
    </w:p>
    <w:bookmarkStart w:id="14" w:name="scr-home-001--home--work-queue"/>
    <w:p>
      <w:pPr>
        <w:pStyle w:val="Heading2"/>
      </w:pPr>
      <w:r>
        <w:t xml:space="preserve">SCR-HOME-001 — Home / Work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6"/>
        <w:gridCol w:w="6653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Top band</w:t>
            </w:r>
          </w:p>
        </w:tc>
        <w:tc>
          <w:tcPr/>
          <w:p>
            <w:pPr>
              <w:pStyle w:val="TableText"/>
            </w:pPr>
            <w:r>
              <w:t xml:space="preserve">Work queue summary: assigned tasks, pending reviews, blocked gates; no suspicion ranking.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left</w:t>
            </w:r>
          </w:p>
        </w:tc>
        <w:tc>
          <w:tcPr/>
          <w:p>
            <w:pPr>
              <w:pStyle w:val="TableText"/>
            </w:pPr>
            <w:r>
              <w:t xml:space="preserve">Recent authorised cases and next actions.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right</w:t>
            </w:r>
          </w:p>
        </w:tc>
        <w:tc>
          <w:tcPr/>
          <w:p>
            <w:pPr>
              <w:pStyle w:val="TableText"/>
            </w:pPr>
            <w:r>
              <w:t xml:space="preserve">Pending review/approval cards and system notices.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Footer/secondary</w:t>
            </w:r>
          </w:p>
        </w:tc>
        <w:tc>
          <w:tcPr/>
          <w:p>
            <w:pPr>
              <w:pStyle w:val="TableText"/>
            </w:pPr>
            <w:r>
              <w:t xml:space="preserve">Recent activity with permission-safe labels.</w:t>
            </w:r>
          </w:p>
        </w:tc>
      </w:tr>
    </w:tbl>
    <w:bookmarkEnd w:id="14"/>
    <w:bookmarkStart w:id="15" w:name="scr-case-003--case-overview"/>
    <w:p>
      <w:pPr>
        <w:pStyle w:val="Heading2"/>
      </w:pPr>
      <w:r>
        <w:t xml:space="preserve">SCR-CASE-003 — Case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677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header</w:t>
            </w:r>
          </w:p>
        </w:tc>
        <w:tc>
          <w:tcPr/>
          <w:p>
            <w:pPr>
              <w:pStyle w:val="TableText"/>
            </w:pPr>
            <w:r>
              <w:t xml:space="preserve">Case ID, title, classification, status, owner, lifecycle stage.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Local nav</w:t>
            </w:r>
          </w:p>
        </w:tc>
        <w:tc>
          <w:tcPr/>
          <w:p>
            <w:pPr>
              <w:pStyle w:val="TableText"/>
            </w:pPr>
            <w:r>
              <w:t xml:space="preserve">Overview | Work | Sources &amp; Evidence | Entities &amp; Assets | Timeline | Value Flows | Analysis | Products.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summary</w:t>
            </w:r>
          </w:p>
        </w:tc>
        <w:tc>
          <w:tcPr/>
          <w:p>
            <w:pPr>
              <w:pStyle w:val="TableText"/>
            </w:pPr>
            <w:r>
              <w:t xml:space="preserve">Investigation question, purpose, scope, key risks and unresolved gates.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Secondary blocks</w:t>
            </w:r>
          </w:p>
        </w:tc>
        <w:tc>
          <w:tcPr/>
          <w:p>
            <w:pPr>
              <w:pStyle w:val="TableText"/>
            </w:pPr>
            <w:r>
              <w:t xml:space="preserve">Key entities, evidence count, open tasks, intelligence gaps.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rail</w:t>
            </w:r>
          </w:p>
        </w:tc>
        <w:tc>
          <w:tcPr/>
          <w:p>
            <w:pPr>
              <w:pStyle w:val="TableText"/>
            </w:pPr>
            <w:r>
              <w:t xml:space="preserve">Case metadata, membership, latest review, activity links.</w:t>
            </w:r>
          </w:p>
        </w:tc>
      </w:tr>
    </w:tbl>
    <w:bookmarkEnd w:id="15"/>
    <w:bookmarkStart w:id="16" w:name="scr-evd-003--evidence-detail--reader"/>
    <w:p>
      <w:pPr>
        <w:pStyle w:val="Heading2"/>
      </w:pPr>
      <w:r>
        <w:t xml:space="preserve">SCR-EVD-003 — Evidence Detail / Reader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4"/>
        <w:gridCol w:w="631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header</w:t>
            </w:r>
          </w:p>
        </w:tc>
        <w:tc>
          <w:tcPr/>
          <w:p>
            <w:pPr>
              <w:pStyle w:val="TableText"/>
            </w:pPr>
            <w:r>
              <w:t xml:space="preserve">Evidence ID, original/derivative badge, source, integrity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canvas</w:t>
            </w:r>
          </w:p>
        </w:tc>
        <w:tc>
          <w:tcPr/>
          <w:p>
            <w:pPr>
              <w:pStyle w:val="TableText"/>
            </w:pPr>
            <w:r>
              <w:t xml:space="preserve">Document/image reader preserving original context.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Left/inline controls</w:t>
            </w:r>
          </w:p>
        </w:tc>
        <w:tc>
          <w:tcPr/>
          <w:p>
            <w:pPr>
              <w:pStyle w:val="TableText"/>
            </w:pPr>
            <w:r>
              <w:t xml:space="preserve">Page navigation, search-within-document, extract creation.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rail</w:t>
            </w:r>
          </w:p>
        </w:tc>
        <w:tc>
          <w:tcPr/>
          <w:p>
            <w:pPr>
              <w:pStyle w:val="TableText"/>
            </w:pPr>
            <w:r>
              <w:t xml:space="preserve">Provenance, hash, source rating, derivatives, linked facts/entities.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Warning zone</w:t>
            </w:r>
          </w:p>
        </w:tc>
        <w:tc>
          <w:tcPr/>
          <w:p>
            <w:pPr>
              <w:pStyle w:val="TableText"/>
            </w:pPr>
            <w:r>
              <w:t xml:space="preserve">Integrity mismatch, restricted source identity, derivative warnings.</w:t>
            </w:r>
          </w:p>
        </w:tc>
      </w:tr>
    </w:tbl>
    <w:bookmarkEnd w:id="16"/>
    <w:bookmarkStart w:id="17" w:name="scr-ent-003--entity-detail"/>
    <w:p>
      <w:pPr>
        <w:pStyle w:val="Heading2"/>
      </w:pPr>
      <w:r>
        <w:t xml:space="preserve">SCR-ENT-003 — Entity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8"/>
        <w:gridCol w:w="686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header</w:t>
            </w:r>
          </w:p>
        </w:tc>
        <w:tc>
          <w:tcPr/>
          <w:p>
            <w:pPr>
              <w:pStyle w:val="TableText"/>
            </w:pPr>
            <w:r>
              <w:t xml:space="preserve">Entity canonical name, type, resolution status, confidence/status without accusatory styling.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Summary</w:t>
            </w:r>
          </w:p>
        </w:tc>
        <w:tc>
          <w:tcPr/>
          <w:p>
            <w:pPr>
              <w:pStyle w:val="TableText"/>
            </w:pPr>
            <w:r>
              <w:t xml:space="preserve">Identifiers, aliases, jurisdictions, provenance-bearing assertions.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Local nav</w:t>
            </w:r>
          </w:p>
        </w:tc>
        <w:tc>
          <w:tcPr/>
          <w:p>
            <w:pPr>
              <w:pStyle w:val="TableText"/>
            </w:pPr>
            <w:r>
              <w:t xml:space="preserve">Overview | Relationships | Assets | Events | Cases | Evidence | Resolution.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</w:t>
            </w:r>
          </w:p>
        </w:tc>
        <w:tc>
          <w:tcPr/>
          <w:p>
            <w:pPr>
              <w:pStyle w:val="TableText"/>
            </w:pPr>
            <w:r>
              <w:t xml:space="preserve">Selected tab content.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rail</w:t>
            </w:r>
          </w:p>
        </w:tc>
        <w:tc>
          <w:tcPr/>
          <w:p>
            <w:pPr>
              <w:pStyle w:val="TableText"/>
            </w:pPr>
            <w:r>
              <w:t xml:space="preserve">Linked evidence, conflicts, merge history, backlinks.</w:t>
            </w:r>
          </w:p>
        </w:tc>
      </w:tr>
    </w:tbl>
    <w:bookmarkEnd w:id="17"/>
    <w:bookmarkStart w:id="18" w:name="scr-ent-005--entity-match-compare"/>
    <w:p>
      <w:pPr>
        <w:pStyle w:val="Heading2"/>
      </w:pPr>
      <w:r>
        <w:t xml:space="preserve">SCR-ENT-005 — Entity Match Compare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684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Left candidate</w:t>
            </w:r>
          </w:p>
        </w:tc>
        <w:tc>
          <w:tcPr/>
          <w:p>
            <w:pPr>
              <w:pStyle w:val="TableText"/>
            </w:pPr>
            <w:r>
              <w:t xml:space="preserve">Entity A identity/identifiers/provenance.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Right candidate</w:t>
            </w:r>
          </w:p>
        </w:tc>
        <w:tc>
          <w:tcPr/>
          <w:p>
            <w:pPr>
              <w:pStyle w:val="TableText"/>
            </w:pPr>
            <w:r>
              <w:t xml:space="preserve">Entity B identity/identifiers/provenance.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Center comparison</w:t>
            </w:r>
          </w:p>
        </w:tc>
        <w:tc>
          <w:tcPr/>
          <w:p>
            <w:pPr>
              <w:pStyle w:val="TableText"/>
            </w:pPr>
            <w:r>
              <w:t xml:space="preserve">Matching attributes, conflicting attributes, missing/unknown fields.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Bottom evidence</w:t>
            </w:r>
          </w:p>
        </w:tc>
        <w:tc>
          <w:tcPr/>
          <w:p>
            <w:pPr>
              <w:pStyle w:val="TableText"/>
            </w:pPr>
            <w:r>
              <w:t xml:space="preserve">Evidence citations supporting identity resolution.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Decision zone</w:t>
            </w:r>
          </w:p>
        </w:tc>
        <w:tc>
          <w:tcPr/>
          <w:p>
            <w:pPr>
              <w:pStyle w:val="TableText"/>
            </w:pPr>
            <w:r>
              <w:t xml:space="preserve">Merge | Reject match | Defer; rationale required; merge is high-impact confirmation. Each action records a ResolutionDecision (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KEEP_SEPARATE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[v0.1.1 · ER]</w:t>
            </w:r>
          </w:p>
        </w:tc>
      </w:tr>
    </w:tbl>
    <w:bookmarkEnd w:id="18"/>
    <w:bookmarkStart w:id="19" w:name="scr-val-001--value-flow-workspace"/>
    <w:p>
      <w:pPr>
        <w:pStyle w:val="Heading2"/>
      </w:pPr>
      <w:r>
        <w:t xml:space="preserve">SCR-VAL-001 — Value Flow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5"/>
        <w:gridCol w:w="670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header</w:t>
            </w:r>
          </w:p>
        </w:tc>
        <w:tc>
          <w:tcPr/>
          <w:p>
            <w:pPr>
              <w:pStyle w:val="TableText"/>
            </w:pPr>
            <w:r>
              <w:t xml:space="preserve">Case + flow scope + legend for DIRECT/DOCUMENTED/RECONSTRUCTED/HYPOTHETICAL.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canvas</w:t>
            </w:r>
          </w:p>
        </w:tc>
        <w:tc>
          <w:tcPr/>
          <w:p>
            <w:pPr>
              <w:pStyle w:val="TableText"/>
            </w:pPr>
            <w:r>
              <w:t xml:space="preserve">Flow diagram with line-style + labels, not color alone.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Toolbar</w:t>
            </w:r>
          </w:p>
        </w:tc>
        <w:tc>
          <w:tcPr/>
          <w:p>
            <w:pPr>
              <w:pStyle w:val="TableText"/>
            </w:pPr>
            <w:r>
              <w:t xml:space="preserve">Filter by class/date/entity/mechanism; toggle amount labels.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Inspector</w:t>
            </w:r>
          </w:p>
        </w:tc>
        <w:tc>
          <w:tcPr/>
          <w:p>
            <w:pPr>
              <w:pStyle w:val="TableText"/>
            </w:pPr>
            <w:r>
              <w:t xml:space="preserve">Selected flow/leg evidence, confidence, dates, unknown/range values.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Bottom panel</w:t>
            </w:r>
          </w:p>
        </w:tc>
        <w:tc>
          <w:tcPr/>
          <w:p>
            <w:pPr>
              <w:pStyle w:val="TableText"/>
            </w:pPr>
            <w:r>
              <w:t xml:space="preserve">Flow list/table for accessible alternative and export consistency.</w:t>
            </w:r>
          </w:p>
        </w:tc>
      </w:tr>
    </w:tbl>
    <w:bookmarkEnd w:id="19"/>
    <w:bookmarkStart w:id="20" w:name="scr-hyp-001--hypothesis-workspace"/>
    <w:p>
      <w:pPr>
        <w:pStyle w:val="Heading2"/>
      </w:pPr>
      <w:r>
        <w:t xml:space="preserve">SCR-HYP-001 — Hypothesis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3"/>
        <w:gridCol w:w="6246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Header</w:t>
            </w:r>
          </w:p>
        </w:tc>
        <w:tc>
          <w:tcPr/>
          <w:p>
            <w:pPr>
              <w:pStyle w:val="TableText"/>
            </w:pPr>
            <w:r>
              <w:t xml:space="preserve">Case context and analytical stage.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columns/rows</w:t>
            </w:r>
          </w:p>
        </w:tc>
        <w:tc>
          <w:tcPr/>
          <w:p>
            <w:pPr>
              <w:pStyle w:val="TableText"/>
            </w:pPr>
            <w:r>
              <w:t xml:space="preserve">Hypothesis cards including legitimate alternatives.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matrix</w:t>
            </w:r>
          </w:p>
        </w:tc>
        <w:tc>
          <w:tcPr/>
          <w:p>
            <w:pPr>
              <w:pStyle w:val="TableText"/>
            </w:pPr>
            <w:r>
              <w:t xml:space="preserve">Support / contradict / neutral / unknown per hypothesis.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Gap panel</w:t>
            </w:r>
          </w:p>
        </w:tc>
        <w:tc>
          <w:tcPr/>
          <w:p>
            <w:pPr>
              <w:pStyle w:val="TableText"/>
            </w:pPr>
            <w:r>
              <w:t xml:space="preserve">Material unknowns and collection questions.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Assessment readiness</w:t>
            </w:r>
          </w:p>
        </w:tc>
        <w:tc>
          <w:tcPr/>
          <w:p>
            <w:pPr>
              <w:pStyle w:val="TableText"/>
            </w:pPr>
            <w:r>
              <w:t xml:space="preserve">Shows missing disconfirmation or unresolved gaps; never auto-ranks guilt.</w:t>
            </w:r>
          </w:p>
        </w:tc>
      </w:tr>
    </w:tbl>
    <w:bookmarkEnd w:id="20"/>
    <w:bookmarkStart w:id="21" w:name="scr-grf-001--investigation-graph"/>
    <w:p>
      <w:pPr>
        <w:pStyle w:val="Heading2"/>
      </w:pPr>
      <w:r>
        <w:t xml:space="preserve">SCR-GRF-001 — Investigation Graph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9"/>
        <w:gridCol w:w="652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Primary canvas</w:t>
            </w:r>
          </w:p>
        </w:tc>
        <w:tc>
          <w:tcPr/>
          <w:p>
            <w:pPr>
              <w:pStyle w:val="TableText"/>
            </w:pPr>
            <w:r>
              <w:t xml:space="preserve">Permission-aware graph projection.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Toolbar</w:t>
            </w:r>
          </w:p>
        </w:tc>
        <w:tc>
          <w:tcPr/>
          <w:p>
            <w:pPr>
              <w:pStyle w:val="TableText"/>
            </w:pPr>
            <w:r>
              <w:t xml:space="preserve">Filter node/edge types, time, case context; no opaque risk-score filter by default.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Inspector</w:t>
            </w:r>
          </w:p>
        </w:tc>
        <w:tc>
          <w:tcPr/>
          <w:p>
            <w:pPr>
              <w:pStyle w:val="TableText"/>
            </w:pPr>
            <w:r>
              <w:t xml:space="preserve">Canonical object, relationship provenance, confidence/status, evidence.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Legend</w:t>
            </w:r>
          </w:p>
        </w:tc>
        <w:tc>
          <w:tcPr/>
          <w:p>
            <w:pPr>
              <w:pStyle w:val="TableText"/>
            </w:pPr>
            <w:r>
              <w:t xml:space="preserve">Relationship types and uncertainty semantics.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Footer/list fallback</w:t>
            </w:r>
          </w:p>
        </w:tc>
        <w:tc>
          <w:tcPr/>
          <w:p>
            <w:pPr>
              <w:pStyle w:val="TableText"/>
            </w:pPr>
            <w:r>
              <w:t xml:space="preserve">Accessible node/edge table and breadcrumb back to canonical objects.</w:t>
            </w:r>
          </w:p>
        </w:tc>
      </w:tr>
    </w:tbl>
    <w:bookmarkEnd w:id="21"/>
    <w:bookmarkStart w:id="22" w:name="scr-prd-003--product-editor"/>
    <w:p>
      <w:pPr>
        <w:pStyle w:val="Heading2"/>
      </w:pPr>
      <w:r>
        <w:t xml:space="preserve">SCR-PRD-003 — Product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694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Context header</w:t>
            </w:r>
          </w:p>
        </w:tc>
        <w:tc>
          <w:tcPr/>
          <w:p>
            <w:pPr>
              <w:pStyle w:val="TableText"/>
            </w:pPr>
            <w:r>
              <w:t xml:space="preserve">Product type, case, version, classification, status.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Outline rail</w:t>
            </w:r>
          </w:p>
        </w:tc>
        <w:tc>
          <w:tcPr/>
          <w:p>
            <w:pPr>
              <w:pStyle w:val="TableText"/>
            </w:pPr>
            <w:r>
              <w:t xml:space="preserve">Executive assessment, scope, facts, findings, flows, typology, alternatives, gaps, confidence, recommendations, evidence index.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Main editor</w:t>
            </w:r>
          </w:p>
        </w:tc>
        <w:tc>
          <w:tcPr/>
          <w:p>
            <w:pPr>
              <w:pStyle w:val="TableText"/>
            </w:pPr>
            <w:r>
              <w:t xml:space="preserve">Structured section editor; facts and analysis have distinct content types.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rail</w:t>
            </w:r>
          </w:p>
        </w:tc>
        <w:tc>
          <w:tcPr/>
          <w:p>
            <w:pPr>
              <w:pStyle w:val="TableText"/>
            </w:pPr>
            <w:r>
              <w:t xml:space="preserve">Citations and linked canonical objects.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Action zone</w:t>
            </w:r>
          </w:p>
        </w:tc>
        <w:tc>
          <w:tcPr/>
          <w:p>
            <w:pPr>
              <w:pStyle w:val="TableText"/>
            </w:pPr>
            <w:r>
              <w:t xml:space="preserve">Save draft, submit review; no external export from editor before approval.</w:t>
            </w:r>
          </w:p>
        </w:tc>
      </w:tr>
    </w:tbl>
    <w:bookmarkEnd w:id="22"/>
    <w:bookmarkStart w:id="23" w:name="scr-rev-002--peer-review-workspace"/>
    <w:p>
      <w:pPr>
        <w:pStyle w:val="Heading2"/>
      </w:pPr>
      <w:r>
        <w:t xml:space="preserve">SCR-REV-002 — Peer Review Workspace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1"/>
        <w:gridCol w:w="645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Reviewed artefact</w:t>
            </w:r>
          </w:p>
        </w:tc>
        <w:tc>
          <w:tcPr/>
          <w:p>
            <w:pPr>
              <w:pStyle w:val="TableText"/>
            </w:pPr>
            <w:r>
              <w:t xml:space="preserve">Frozen product/assessment version.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Review rail</w:t>
            </w:r>
          </w:p>
        </w:tc>
        <w:tc>
          <w:tcPr/>
          <w:p>
            <w:pPr>
              <w:pStyle w:val="TableText"/>
            </w:pPr>
            <w:r>
              <w:t xml:space="preserve">Checklist: identity, evidence, alternatives, confidence, harm, disconfirmation.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Comments</w:t>
            </w:r>
          </w:p>
        </w:tc>
        <w:tc>
          <w:tcPr/>
          <w:p>
            <w:pPr>
              <w:pStyle w:val="TableText"/>
            </w:pPr>
            <w:r>
              <w:t xml:space="preserve">Anchored comments/change requests.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Decision panel</w:t>
            </w:r>
          </w:p>
        </w:tc>
        <w:tc>
          <w:tcPr/>
          <w:p>
            <w:pPr>
              <w:pStyle w:val="TableText"/>
            </w:pPr>
            <w:r>
              <w:t xml:space="preserve">Request changes | Approve | Reject, with independence check.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Evidence trace</w:t>
            </w:r>
          </w:p>
        </w:tc>
        <w:tc>
          <w:tcPr/>
          <w:p>
            <w:pPr>
              <w:pStyle w:val="TableText"/>
            </w:pPr>
            <w:r>
              <w:t xml:space="preserve">Direct traversal to supporting objects without losing review context.</w:t>
            </w:r>
          </w:p>
        </w:tc>
      </w:tr>
    </w:tbl>
    <w:bookmarkEnd w:id="23"/>
    <w:bookmarkStart w:id="24" w:name="scr-dis-002--export-package-builder"/>
    <w:p>
      <w:pPr>
        <w:pStyle w:val="Heading2"/>
      </w:pPr>
      <w:r>
        <w:t xml:space="preserve">SCR-DIS-002 — Export Package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6742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Wireframe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Scope summary</w:t>
            </w:r>
          </w:p>
        </w:tc>
        <w:tc>
          <w:tcPr/>
          <w:p>
            <w:pPr>
              <w:pStyle w:val="TableText"/>
            </w:pPr>
            <w:r>
              <w:t xml:space="preserve">Recipient, purpose, classification, approved product version.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Selection panel</w:t>
            </w:r>
          </w:p>
        </w:tc>
        <w:tc>
          <w:tcPr/>
          <w:p>
            <w:pPr>
              <w:pStyle w:val="TableText"/>
            </w:pPr>
            <w:r>
              <w:t xml:space="preserve">Objects/sections included; restricted content excluded by default.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Warnings</w:t>
            </w:r>
          </w:p>
        </w:tc>
        <w:tc>
          <w:tcPr/>
          <w:p>
            <w:pPr>
              <w:pStyle w:val="TableText"/>
            </w:pPr>
            <w:r>
              <w:t xml:space="preserve">Protected source, sensitive personal data, superseded content, unresolved approval.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Preview</w:t>
            </w:r>
          </w:p>
        </w:tc>
        <w:tc>
          <w:tcPr/>
          <w:p>
            <w:pPr>
              <w:pStyle w:val="TableText"/>
            </w:pPr>
            <w:r>
              <w:t xml:space="preserve">Manifest and redaction/minimisation preview.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Action zone</w:t>
            </w:r>
          </w:p>
        </w:tc>
        <w:tc>
          <w:tcPr/>
          <w:p>
            <w:pPr>
              <w:pStyle w:val="TableText"/>
            </w:pPr>
            <w:r>
              <w:t xml:space="preserve">Generate package only after approval; immutable sharing/audit event afterward.</w:t>
            </w:r>
          </w:p>
        </w:tc>
      </w:tr>
    </w:tbl>
    <w:bookmarkEnd w:id="24"/>
    <w:bookmarkEnd w:id="25"/>
    <w:bookmarkStart w:id="26" w:name="X8c36348893389bd01ea89a09833ebf7758142c4"/>
    <w:p>
      <w:pPr>
        <w:pStyle w:val="Heading1"/>
      </w:pPr>
      <w:r>
        <w:t xml:space="preserve">7. Cross-Screen Structural Rules</w:t>
      </w:r>
    </w:p>
    <w:p>
      <w:pPr>
        <w:numPr>
          <w:ilvl w:val="0"/>
          <w:numId w:val="1002"/>
        </w:numPr>
      </w:pPr>
      <w:r>
        <w:t xml:space="preserve">Classification, object status and uncertainty markers SHALL appear near the object title or proposition they qualify; they SHALL NOT be relegated only to metadata drawers.</w:t>
      </w:r>
    </w:p>
    <w:p>
      <w:pPr>
        <w:numPr>
          <w:ilvl w:val="0"/>
          <w:numId w:val="1002"/>
        </w:numPr>
      </w:pPr>
      <w:r>
        <w:t xml:space="preserve">Provenance access SHALL be reachable from any material fact, relationship, flow, indicator, hypothesis or assessment without requiring global navigation away from the current task.</w:t>
      </w:r>
    </w:p>
    <w:p>
      <w:pPr>
        <w:numPr>
          <w:ilvl w:val="0"/>
          <w:numId w:val="1002"/>
        </w:numPr>
      </w:pPr>
      <w:r>
        <w:t xml:space="preserve">Canonical object detail screens SHALL provide backlinks to authorised cases and related objects.</w:t>
      </w:r>
    </w:p>
    <w:p>
      <w:pPr>
        <w:numPr>
          <w:ilvl w:val="0"/>
          <w:numId w:val="1002"/>
        </w:numPr>
      </w:pPr>
      <w:r>
        <w:t xml:space="preserve">Graph, timeline and value-flow views SHALL provide an accessible non-visual representation of equivalent information.</w:t>
      </w:r>
    </w:p>
    <w:p>
      <w:pPr>
        <w:numPr>
          <w:ilvl w:val="0"/>
          <w:numId w:val="1002"/>
        </w:numPr>
      </w:pPr>
      <w:r>
        <w:t xml:space="preserve">Protected-source identity SHALL never occupy reusable generic components that could accidentally surface in search, breadcrumbs, exports or notifications.</w:t>
      </w:r>
    </w:p>
    <w:p>
      <w:pPr>
        <w:numPr>
          <w:ilvl w:val="0"/>
          <w:numId w:val="1002"/>
        </w:numPr>
      </w:pPr>
      <w:r>
        <w:t xml:space="preserve">High-impact decisions SHALL use a visually separated decision zone with explicit scope and consequence.</w:t>
      </w:r>
    </w:p>
    <w:bookmarkEnd w:id="26"/>
    <w:bookmarkStart w:id="27" w:name="X7ae3bee59d1d313869095131d6529f303c8beb8"/>
    <w:p>
      <w:pPr>
        <w:pStyle w:val="Heading1"/>
      </w:pPr>
      <w:r>
        <w:t xml:space="preserve">8. Empty, Error, Permission and Conflict Wireframes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8"/>
        <w:gridCol w:w="6841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Structural requirement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Empty</w:t>
            </w:r>
          </w:p>
        </w:tc>
        <w:tc>
          <w:tcPr/>
          <w:p>
            <w:pPr>
              <w:pStyle w:val="TableText"/>
            </w:pPr>
            <w:r>
              <w:t xml:space="preserve">Explain what belongs here, why it matters and the safe next action. Avoid framing absence as analytical finding.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Permission denied</w:t>
            </w:r>
          </w:p>
        </w:tc>
        <w:tc>
          <w:tcPr/>
          <w:p>
            <w:pPr>
              <w:pStyle w:val="TableText"/>
            </w:pPr>
            <w:r>
              <w:t xml:space="preserve">Do not reveal restricted title, identifier, count or owner if policy forbids object-existence disclosure.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Partial/degraded</w:t>
            </w:r>
          </w:p>
        </w:tc>
        <w:tc>
          <w:tcPr/>
          <w:p>
            <w:pPr>
              <w:pStyle w:val="TableText"/>
            </w:pPr>
            <w:r>
              <w:t xml:space="preserve">Show which region is unavailable and which data remains trustworthy.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Integrity warning</w:t>
            </w:r>
          </w:p>
        </w:tc>
        <w:tc>
          <w:tcPr/>
          <w:p>
            <w:pPr>
              <w:pStyle w:val="TableText"/>
            </w:pPr>
            <w:r>
              <w:t xml:space="preserve">Place warning adjacent to evidence identity and block unsafe downstream actions where required.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Stale/conflict</w:t>
            </w:r>
          </w:p>
        </w:tc>
        <w:tc>
          <w:tcPr/>
          <w:p>
            <w:pPr>
              <w:pStyle w:val="TableText"/>
            </w:pPr>
            <w:r>
              <w:t xml:space="preserve">Show current version, user draft, conflict scope and recoverable resolution path.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Superseded</w:t>
            </w:r>
          </w:p>
        </w:tc>
        <w:tc>
          <w:tcPr/>
          <w:p>
            <w:pPr>
              <w:pStyle w:val="TableText"/>
            </w:pPr>
            <w:r>
              <w:t xml:space="preserve">Keep historical version readable while clearly linking the current authoritative version.</w:t>
            </w:r>
          </w:p>
        </w:tc>
      </w:tr>
    </w:tbl>
    <w:bookmarkEnd w:id="27"/>
    <w:bookmarkStart w:id="28" w:name="X562fb903702ba2815af234c5688546f5d74a95a"/>
    <w:p>
      <w:pPr>
        <w:pStyle w:val="Heading1"/>
      </w:pPr>
      <w:r>
        <w:t xml:space="preserve">9. Wireframe Acceptance Criteria</w:t>
      </w:r>
    </w:p>
    <w:p>
      <w:pPr>
        <w:numPr>
          <w:ilvl w:val="0"/>
          <w:numId w:val="1003"/>
        </w:numPr>
      </w:pPr>
      <w:r>
        <w:t xml:space="preserve">Every P0 Screen Inventory ID maps to exactly one primary wireframe pattern, and register/list screens map to WF-PAT-01 rather than a detail pattern. The mapping SHALL be cross-checked against the Screen Inventory, High-Fidelity UI Specification and component composition before implementation.</w:t>
      </w:r>
      <w:r>
        <w:t xml:space="preserve"> </w:t>
      </w:r>
      <w:r>
        <w:rPr>
          <w:i/>
          <w:iCs/>
        </w:rPr>
        <w:t xml:space="preserve">[v0.1.1 · A15]</w:t>
      </w:r>
    </w:p>
    <w:p>
      <w:pPr>
        <w:numPr>
          <w:ilvl w:val="0"/>
          <w:numId w:val="1003"/>
        </w:numPr>
      </w:pPr>
      <w:r>
        <w:t xml:space="preserve">Core analytical screens have explicit provenance and uncertainty regions.</w:t>
      </w:r>
    </w:p>
    <w:p>
      <w:pPr>
        <w:numPr>
          <w:ilvl w:val="0"/>
          <w:numId w:val="1003"/>
        </w:numPr>
      </w:pPr>
      <w:r>
        <w:t xml:space="preserve">High-impact actions have distinct decision zones.</w:t>
      </w:r>
    </w:p>
    <w:p>
      <w:pPr>
        <w:numPr>
          <w:ilvl w:val="0"/>
          <w:numId w:val="1003"/>
        </w:numPr>
      </w:pPr>
      <w:r>
        <w:t xml:space="preserve">Permission-denied, empty, error and conflict states are structurally specified.</w:t>
      </w:r>
    </w:p>
    <w:p>
      <w:pPr>
        <w:numPr>
          <w:ilvl w:val="0"/>
          <w:numId w:val="1003"/>
        </w:numPr>
      </w:pPr>
      <w:r>
        <w:t xml:space="preserve">Desktop and narrow-screen behaviour preserve critical semantics.</w:t>
      </w:r>
    </w:p>
    <w:p>
      <w:pPr>
        <w:numPr>
          <w:ilvl w:val="0"/>
          <w:numId w:val="1003"/>
        </w:numPr>
      </w:pPr>
      <w:r>
        <w:t xml:space="preserve">No wireframe implies guilt, suspicion score or evidentiary certainty merely through placement, size, color or prominence.</w:t>
      </w:r>
    </w:p>
    <w:p>
      <w:pPr>
        <w:pStyle w:val="BlockText"/>
      </w:pPr>
      <w:r>
        <w:t xml:space="preserve">These criteria are review targets for future design files; this specification is a structural contract, not a completed wireframe set or tested UI.</w:t>
      </w:r>
      <w:r>
        <w:t xml:space="preserve"> </w:t>
      </w:r>
      <w:r>
        <w:rPr>
          <w:i/>
          <w:iCs/>
        </w:rPr>
        <w:t xml:space="preserve">[v0.1.1 · A01]</w:t>
      </w:r>
    </w:p>
    <w:bookmarkEnd w:id="28"/>
    <w:bookmarkStart w:id="29" w:name="Xda65f73da253ad3ae89d5c1f1404894bc7ea122"/>
    <w:p>
      <w:pPr>
        <w:pStyle w:val="Heading1"/>
      </w:pPr>
      <w:r>
        <w:t xml:space="preserve">10. Handoff to UI Design System</w:t>
      </w:r>
    </w:p>
    <w:p>
      <w:pPr>
        <w:pStyle w:val="FirstParagraph"/>
      </w:pPr>
      <w:r>
        <w:t xml:space="preserve">The future UI Design System SHALL consume this specification and define visual tokens, typography, spacing scale, component styling, iconography, semantic colors, charts/graph visual grammar and implementation-ready component variants without changing the information or interaction semantics defined here.</w:t>
      </w:r>
    </w:p>
    <w:bookmarkEnd w:id="29"/>
    <w:bookmarkStart w:id="37" w:name="annex-a--low-fidelity-reference-frames"/>
    <w:p>
      <w:pPr>
        <w:pStyle w:val="Heading1"/>
      </w:pPr>
      <w:r>
        <w:t xml:space="preserve">Annex A — Low-Fidelity Reference Frames</w:t>
      </w:r>
    </w:p>
    <w:bookmarkStart w:id="30" w:name="wf-pat-01--register--list"/>
    <w:p>
      <w:pPr>
        <w:pStyle w:val="Heading2"/>
      </w:pPr>
      <w:r>
        <w:t xml:space="preserve">WF-PAT-01 — Register / List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GLOBAL HEADER | SEARCH | USER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+-------------+------------------------------------------------+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PRIMARY NAV | Context title                    [Create]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Filters / facets / sort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+------------------------------------------------+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Result row / card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Result row / card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Result row / card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+-------------+------------------------------------------------+</w:t>
      </w:r>
    </w:p>
    <w:bookmarkEnd w:id="30"/>
    <w:bookmarkStart w:id="31" w:name="wf-pat-02--canonical-object-detail"/>
    <w:p>
      <w:pPr>
        <w:pStyle w:val="Heading2"/>
      </w:pPr>
      <w:r>
        <w:t xml:space="preserve">WF-PAT-02 — Canonical Object Detail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GLOBAL HEADER      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+-------------+------------------------------------------------+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PRIMARY NAV | OBJECT TITLE | STATUS | CLASSIFICATION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Local tabs / contextual navigation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+------------------------------+-----------------+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Main object content          | Provenance /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facts / relationships        | backlinks /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|                              | warnings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+-------------+------------------------------+-----------------+</w:t>
      </w:r>
    </w:p>
    <w:bookmarkEnd w:id="31"/>
    <w:bookmarkStart w:id="32" w:name="wf-pat-03--editor--form"/>
    <w:p>
      <w:pPr>
        <w:pStyle w:val="Heading2"/>
      </w:pPr>
      <w:r>
        <w:t xml:space="preserve">WF-PAT-03 — Editor / Form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Context title / version / classification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Section 1: required fields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Section 2: analytical/provenance fields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Section 3: evidence links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[inline validation / uncertainty help]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Cancel                         Save draft | Submit / Continue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</w:p>
    <w:bookmarkEnd w:id="32"/>
    <w:bookmarkStart w:id="33" w:name="wf-pat-04--analytical-workspace"/>
    <w:p>
      <w:pPr>
        <w:pStyle w:val="Heading2"/>
      </w:pPr>
      <w:r>
        <w:t xml:space="preserve">WF-PAT-04 — Analytical Workspace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CASE / OBJECT CONTEXT | LEGEND | FILTERS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TOOLBAR            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+-------------------------------------------+------------------+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                              | INSPECTOR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PRIMARY ANALYTICAL CANVAS                 | provenance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graph / timeline / value flow / matrix    | evidence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                              | uncertainty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+-------------------------------------------+------------------+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Accessible list/table / history / details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</w:p>
    <w:bookmarkEnd w:id="33"/>
    <w:bookmarkStart w:id="34" w:name="wf-pat-05--compare--resolution"/>
    <w:p>
      <w:pPr>
        <w:pStyle w:val="Heading2"/>
      </w:pPr>
      <w:r>
        <w:t xml:space="preserve">WF-PAT-05 — Compare / Resolution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Resolution context / candidate explanation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+---------------------------+----------------------------------+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CANDIDATE A               | CANDIDATE B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identifiers / evidence    | identifiers / evidence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+---------------------------+----------------------------------+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Matches | Conflicts | Unknown / missing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Evidence / rationale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Reject match | Defer                          Merge [confirm]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</w:p>
    <w:bookmarkEnd w:id="34"/>
    <w:bookmarkStart w:id="35" w:name="wf-pat-06--review--approval"/>
    <w:p>
      <w:pPr>
        <w:pStyle w:val="Heading2"/>
      </w:pPr>
      <w:r>
        <w:t xml:space="preserve">WF-PAT-06 — Review / Approval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REVIEW SUBJECT | VERSION | AUTHOR | CLASSIFICATION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+-------------------------------------------+------------------+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Frozen reviewed artefact                  | REVIEW PANEL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                              | checklist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fact / analysis / gaps                    | comments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evidence links                            | disconfirmation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+-------------------------------------------+------------------+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Request changes | Reject                         Approve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</w:p>
    <w:bookmarkEnd w:id="35"/>
    <w:bookmarkStart w:id="36" w:name="wf-pat-07--system-state"/>
    <w:p>
      <w:pPr>
        <w:pStyle w:val="Heading2"/>
      </w:pPr>
      <w:r>
        <w:t xml:space="preserve">WF-PAT-07 — System State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Context-safe heading 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       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[STATE ICON / LABEL]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Explanation that reveals no restricted information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Safe next step / retry / return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|                                                              |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+--------------------------------------------------------------+</w:t>
      </w:r>
    </w:p>
    <w:bookmarkEnd w:id="36"/>
    <w:bookmarkEnd w:id="37"/>
    <w:bookmarkStart w:id="38" w:name="annex-b--wireframe-review-checklist"/>
    <w:p>
      <w:pPr>
        <w:pStyle w:val="Heading1"/>
      </w:pPr>
      <w:r>
        <w:t xml:space="preserve">Annex B — Wireframe Review Checklist</w:t>
      </w:r>
    </w:p>
    <w:p>
      <w:pPr>
        <w:numPr>
          <w:ilvl w:val="0"/>
          <w:numId w:val="1004"/>
        </w:numPr>
      </w:pPr>
      <w:r>
        <w:t xml:space="preserve">Is the screen ID from the Screen Inventory visible in the design file/component documentation?</w:t>
      </w:r>
    </w:p>
    <w:p>
      <w:pPr>
        <w:numPr>
          <w:ilvl w:val="0"/>
          <w:numId w:val="1004"/>
        </w:numPr>
      </w:pPr>
      <w:r>
        <w:t xml:space="preserve">Does the main task dominate the layout without hiding provenance or uncertainty?</w:t>
      </w:r>
    </w:p>
    <w:p>
      <w:pPr>
        <w:numPr>
          <w:ilvl w:val="0"/>
          <w:numId w:val="1004"/>
        </w:numPr>
      </w:pPr>
      <w:r>
        <w:t xml:space="preserve">Can a reviewer traverse from analytical proposition to evidence without losing context?</w:t>
      </w:r>
    </w:p>
    <w:p>
      <w:pPr>
        <w:numPr>
          <w:ilvl w:val="0"/>
          <w:numId w:val="1004"/>
        </w:numPr>
      </w:pPr>
      <w:r>
        <w:t xml:space="preserve">Do restricted states avoid leaking object existence or protected-source identity?</w:t>
      </w:r>
    </w:p>
    <w:p>
      <w:pPr>
        <w:numPr>
          <w:ilvl w:val="0"/>
          <w:numId w:val="1004"/>
        </w:numPr>
      </w:pPr>
      <w:r>
        <w:t xml:space="preserve">Are DIRECT, DOCUMENTED, RECONSTRUCTED and HYPOTHETICAL flows distinguishable without color alone?</w:t>
      </w:r>
    </w:p>
    <w:p>
      <w:pPr>
        <w:numPr>
          <w:ilvl w:val="0"/>
          <w:numId w:val="1004"/>
        </w:numPr>
      </w:pPr>
      <w:r>
        <w:t xml:space="preserve">Are destructive/high-impact actions separated from routine actions?</w:t>
      </w:r>
    </w:p>
    <w:p>
      <w:pPr>
        <w:numPr>
          <w:ilvl w:val="0"/>
          <w:numId w:val="1004"/>
        </w:numPr>
      </w:pPr>
      <w:r>
        <w:t xml:space="preserve">Is there a non-visual equivalent for graph/timeline/value-flow information?</w:t>
      </w:r>
    </w:p>
    <w:p>
      <w:pPr>
        <w:numPr>
          <w:ilvl w:val="0"/>
          <w:numId w:val="1004"/>
        </w:numPr>
      </w:pPr>
      <w:r>
        <w:t xml:space="preserve">Are empty, error, conflict and superseded states represented?</w:t>
      </w:r>
    </w:p>
    <w:bookmarkEnd w:id="38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Wireframe Specification</w:t>
    </w:r>
    <w:r>
      <w:rPr>
        <w:sz w:val="16"/>
      </w:rPr>
      <w:tab/>
      <w:t xml:space="preserve">Version 0.1.1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Specification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doctitle">
    <vt:lpwstr>Wireframe Specification</vt:lpwstr>
  </property>
  <property fmtid="{D5CDD505-2E9C-101B-9397-08002B2CF9AE}" pid="4" name="docversion">
    <vt:lpwstr>0.1.1</vt:lpwstr>
  </property>
  <property fmtid="{D5CDD505-2E9C-101B-9397-08002B2CF9AE}" pid="5" name="subtitle">
    <vt:lpwstr>Version 0.1.1 — Approved Internal Specification Baseline (tag v0.1.1-spec)</vt:lpwstr>
  </property>
  <property fmtid="{D5CDD505-2E9C-101B-9397-08002B2CF9AE}" pid="6" name="toc-title">
    <vt:lpwstr>Contents</vt:lpwstr>
  </property>
</Properties>
</file>