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85C8E"/>
          <w:sz w:val="36"/>
        </w:rPr>
        <w:t>CS-AML</w:t>
      </w:r>
    </w:p>
    <w:p>
      <w:pPr>
        <w:jc w:val="center"/>
      </w:pPr>
      <w:r>
        <w:rPr>
          <w:b/>
          <w:color w:val="1C4160"/>
          <w:sz w:val="50"/>
        </w:rPr>
        <w:t>Component Inventory &amp; Storybook</w:t>
        <w:br/>
        <w:t>Implementation Specification</w:t>
      </w:r>
    </w:p>
    <w:p>
      <w:pPr>
        <w:jc w:val="center"/>
      </w:pPr>
      <w:r>
        <w:rPr>
          <w:sz w:val="28"/>
        </w:rPr>
        <w:t>Version 0.1</w:t>
      </w:r>
    </w:p>
    <w:p/>
    <w:tbl>
      <w:tblPr>
        <w:tblW w:type="auto" w:w="0"/>
        <w:jc w:val="center"/>
        <w:tblLook w:firstColumn="1" w:firstRow="1" w:lastColumn="0" w:lastRow="0" w:noHBand="0" w:noVBand="1" w:val="04A0"/>
      </w:tblPr>
      <w:tblGrid>
        <w:gridCol w:w="10080"/>
      </w:tblGrid>
      <w:tr>
        <w:tc>
          <w:tcPr>
            <w:tcW w:type="dxa" w:w="10080"/>
            <w:shd w:fill="EEF4FA"/>
            <w:tcMar>
              <w:top w:w="160" w:type="dxa"/>
              <w:start w:w="180" w:type="dxa"/>
              <w:bottom w:w="160" w:type="dxa"/>
              <w:end w:w="180" w:type="dxa"/>
            </w:tcMar>
          </w:tcPr>
          <w:p>
            <w:r>
              <w:rPr>
                <w:b/>
                <w:color w:val="1C4160"/>
                <w:sz w:val="21"/>
              </w:rPr>
              <w:t>Implementation axiom</w:t>
              <w:br/>
            </w:r>
            <w:r>
              <w:rPr>
                <w:sz w:val="19"/>
              </w:rPr>
              <w:t>A UI component SHALL encode reusable visual and interaction semantics, not feature-specific assumptions. Storybook SHALL make those semantics inspectable, testable, accessible, and regression-safe before components are composed into production screens.</w:t>
            </w:r>
          </w:p>
        </w:tc>
      </w:tr>
    </w:tbl>
    <w:p>
      <w:pPr>
        <w:spacing w:after="40"/>
      </w:pP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DCE8F3"/>
            <w:tcMar>
              <w:top w:w="100" w:type="dxa"/>
              <w:start w:w="110" w:type="dxa"/>
              <w:bottom w:w="100" w:type="dxa"/>
              <w:end w:w="110" w:type="dxa"/>
            </w:tcMar>
            <w:vAlign w:val="center"/>
          </w:tcPr>
          <w:p>
            <w:pPr>
              <w:jc w:val="center"/>
            </w:pPr>
            <w:r>
              <w:rPr>
                <w:b/>
                <w:color w:val="1C4160"/>
                <w:sz w:val="18"/>
              </w:rPr>
              <w:t>Field</w:t>
            </w:r>
          </w:p>
        </w:tc>
        <w:tc>
          <w:tcPr>
            <w:tcW w:type="dxa" w:w="8208"/>
            <w:shd w:fill="DCE8F3"/>
            <w:tcMar>
              <w:top w:w="100" w:type="dxa"/>
              <w:start w:w="110" w:type="dxa"/>
              <w:bottom w:w="100" w:type="dxa"/>
              <w:end w:w="110" w:type="dxa"/>
            </w:tcMar>
            <w:vAlign w:val="center"/>
          </w:tcPr>
          <w:p>
            <w:pPr>
              <w:jc w:val="center"/>
            </w:pPr>
            <w:r>
              <w:rPr>
                <w:b/>
                <w:color w:val="1C4160"/>
                <w:sz w:val="18"/>
              </w:rPr>
              <w:t>Value</w:t>
            </w:r>
          </w:p>
        </w:tc>
      </w:tr>
      <w:tr>
        <w:trPr>
          <w:cantSplit/>
        </w:trPr>
        <w:tc>
          <w:tcPr>
            <w:tcW w:type="dxa" w:w="2304"/>
            <w:tcMar>
              <w:top w:w="100" w:type="dxa"/>
              <w:start w:w="110" w:type="dxa"/>
              <w:bottom w:w="100" w:type="dxa"/>
              <w:end w:w="110" w:type="dxa"/>
            </w:tcMar>
            <w:vAlign w:val="center"/>
          </w:tcPr>
          <w:p>
            <w:pPr>
              <w:spacing w:after="0"/>
            </w:pPr>
            <w:r>
              <w:rPr>
                <w:sz w:val="17"/>
              </w:rPr>
              <w:t>Document ID</w:t>
            </w:r>
          </w:p>
        </w:tc>
        <w:tc>
          <w:tcPr>
            <w:tcW w:type="dxa" w:w="8208"/>
            <w:tcMar>
              <w:top w:w="100" w:type="dxa"/>
              <w:start w:w="110" w:type="dxa"/>
              <w:bottom w:w="100" w:type="dxa"/>
              <w:end w:w="110" w:type="dxa"/>
            </w:tcMar>
            <w:vAlign w:val="center"/>
          </w:tcPr>
          <w:p>
            <w:pPr>
              <w:spacing w:after="0"/>
            </w:pPr>
            <w:r>
              <w:rPr>
                <w:sz w:val="17"/>
              </w:rPr>
              <w:t>CSAML-CISB-0.1</w:t>
            </w:r>
          </w:p>
        </w:tc>
      </w:tr>
      <w:tr>
        <w:trPr>
          <w:cantSplit/>
        </w:trPr>
        <w:tc>
          <w:tcPr>
            <w:tcW w:type="dxa" w:w="2304"/>
            <w:tcMar>
              <w:top w:w="100" w:type="dxa"/>
              <w:start w:w="110" w:type="dxa"/>
              <w:bottom w:w="100" w:type="dxa"/>
              <w:end w:w="110" w:type="dxa"/>
            </w:tcMar>
            <w:vAlign w:val="center"/>
          </w:tcPr>
          <w:p>
            <w:pPr>
              <w:spacing w:after="0"/>
            </w:pPr>
            <w:r>
              <w:rPr>
                <w:sz w:val="17"/>
              </w:rPr>
              <w:t>Status</w:t>
            </w:r>
          </w:p>
        </w:tc>
        <w:tc>
          <w:tcPr>
            <w:tcW w:type="dxa" w:w="8208"/>
            <w:tcMar>
              <w:top w:w="100" w:type="dxa"/>
              <w:start w:w="110" w:type="dxa"/>
              <w:bottom w:w="100" w:type="dxa"/>
              <w:end w:w="110" w:type="dxa"/>
            </w:tcMar>
            <w:vAlign w:val="center"/>
          </w:tcPr>
          <w:p>
            <w:pPr>
              <w:spacing w:after="0"/>
            </w:pPr>
            <w:r>
              <w:rPr>
                <w:sz w:val="17"/>
              </w:rPr>
              <w:t>Normative frontend implementation baseline for MVP 0.1</w:t>
            </w:r>
          </w:p>
        </w:tc>
      </w:tr>
      <w:tr>
        <w:trPr>
          <w:cantSplit/>
        </w:trPr>
        <w:tc>
          <w:tcPr>
            <w:tcW w:type="dxa" w:w="2304"/>
            <w:tcMar>
              <w:top w:w="100" w:type="dxa"/>
              <w:start w:w="110" w:type="dxa"/>
              <w:bottom w:w="100" w:type="dxa"/>
              <w:end w:w="110" w:type="dxa"/>
            </w:tcMar>
            <w:vAlign w:val="center"/>
          </w:tcPr>
          <w:p>
            <w:pPr>
              <w:spacing w:after="0"/>
            </w:pPr>
            <w:r>
              <w:rPr>
                <w:sz w:val="17"/>
              </w:rPr>
              <w:t>Primary owners</w:t>
            </w:r>
          </w:p>
        </w:tc>
        <w:tc>
          <w:tcPr>
            <w:tcW w:type="dxa" w:w="8208"/>
            <w:tcMar>
              <w:top w:w="100" w:type="dxa"/>
              <w:start w:w="110" w:type="dxa"/>
              <w:bottom w:w="100" w:type="dxa"/>
              <w:end w:w="110" w:type="dxa"/>
            </w:tcMar>
            <w:vAlign w:val="center"/>
          </w:tcPr>
          <w:p>
            <w:pPr>
              <w:spacing w:after="0"/>
            </w:pPr>
            <w:r>
              <w:rPr>
                <w:sz w:val="17"/>
              </w:rPr>
              <w:t>Frontend Engineering / Design System Engineering</w:t>
            </w:r>
          </w:p>
        </w:tc>
      </w:tr>
      <w:tr>
        <w:trPr>
          <w:cantSplit/>
        </w:trPr>
        <w:tc>
          <w:tcPr>
            <w:tcW w:type="dxa" w:w="2304"/>
            <w:tcMar>
              <w:top w:w="100" w:type="dxa"/>
              <w:start w:w="110" w:type="dxa"/>
              <w:bottom w:w="100" w:type="dxa"/>
              <w:end w:w="110" w:type="dxa"/>
            </w:tcMar>
            <w:vAlign w:val="center"/>
          </w:tcPr>
          <w:p>
            <w:pPr>
              <w:spacing w:after="0"/>
            </w:pPr>
            <w:r>
              <w:rPr>
                <w:sz w:val="17"/>
              </w:rPr>
              <w:t>Inputs</w:t>
            </w:r>
          </w:p>
        </w:tc>
        <w:tc>
          <w:tcPr>
            <w:tcW w:type="dxa" w:w="8208"/>
            <w:tcMar>
              <w:top w:w="100" w:type="dxa"/>
              <w:start w:w="110" w:type="dxa"/>
              <w:bottom w:w="100" w:type="dxa"/>
              <w:end w:w="110" w:type="dxa"/>
            </w:tcMar>
            <w:vAlign w:val="center"/>
          </w:tcPr>
          <w:p>
            <w:pPr>
              <w:spacing w:after="0"/>
            </w:pPr>
            <w:r>
              <w:rPr>
                <w:sz w:val="17"/>
              </w:rPr>
              <w:t>UX, IA, Screen Inventory, Wireframe, UI Design System, High-Fidelity UI</w:t>
            </w:r>
          </w:p>
        </w:tc>
      </w:tr>
      <w:tr>
        <w:trPr>
          <w:cantSplit/>
        </w:trPr>
        <w:tc>
          <w:tcPr>
            <w:tcW w:type="dxa" w:w="2304"/>
            <w:tcMar>
              <w:top w:w="100" w:type="dxa"/>
              <w:start w:w="110" w:type="dxa"/>
              <w:bottom w:w="100" w:type="dxa"/>
              <w:end w:w="110" w:type="dxa"/>
            </w:tcMar>
            <w:vAlign w:val="center"/>
          </w:tcPr>
          <w:p>
            <w:pPr>
              <w:spacing w:after="0"/>
            </w:pPr>
            <w:r>
              <w:rPr>
                <w:sz w:val="17"/>
              </w:rPr>
              <w:t>Primary output</w:t>
            </w:r>
          </w:p>
        </w:tc>
        <w:tc>
          <w:tcPr>
            <w:tcW w:type="dxa" w:w="8208"/>
            <w:tcMar>
              <w:top w:w="100" w:type="dxa"/>
              <w:start w:w="110" w:type="dxa"/>
              <w:bottom w:w="100" w:type="dxa"/>
              <w:end w:w="110" w:type="dxa"/>
            </w:tcMar>
            <w:vAlign w:val="center"/>
          </w:tcPr>
          <w:p>
            <w:pPr>
              <w:spacing w:after="0"/>
            </w:pPr>
            <w:r>
              <w:rPr>
                <w:sz w:val="17"/>
              </w:rPr>
              <w:t>Reusable component library + Storybook contract + testable component documentation</w:t>
            </w:r>
          </w:p>
        </w:tc>
      </w:tr>
    </w:tbl>
    <w:p>
      <w:pPr>
        <w:spacing w:after="20"/>
      </w:pPr>
    </w:p>
    <w:p>
      <w:r>
        <w:br w:type="page"/>
      </w:r>
    </w:p>
    <w:p>
      <w:pPr>
        <w:pStyle w:val="Heading1"/>
      </w:pPr>
      <w:r>
        <w:t>1. Purpose and Scope</w:t>
      </w:r>
    </w:p>
    <w:p>
      <w:r>
        <w:t>This specification defines the reusable CS-AML frontend component inventory and the Storybook implementation contract for MVP 0.1. It is the implementation bridge between the normative UI specifications and production React code. It defines component boundaries, ownership, variants, accessibility expectations, stories, testing, visual regression, documentation, and release criteria.</w:t>
      </w:r>
    </w:p>
    <w:tbl>
      <w:tblPr>
        <w:tblW w:type="auto" w:w="0"/>
        <w:jc w:val="center"/>
        <w:tblLook w:firstColumn="1" w:firstRow="1" w:lastColumn="0" w:lastRow="0" w:noHBand="0" w:noVBand="1" w:val="04A0"/>
      </w:tblPr>
      <w:tblGrid>
        <w:gridCol w:w="10080"/>
      </w:tblGrid>
      <w:tr>
        <w:tc>
          <w:tcPr>
            <w:tcW w:type="dxa" w:w="10080"/>
            <w:shd w:fill="EEF4FA"/>
            <w:tcMar>
              <w:top w:w="160" w:type="dxa"/>
              <w:start w:w="180" w:type="dxa"/>
              <w:bottom w:w="160" w:type="dxa"/>
              <w:end w:w="180" w:type="dxa"/>
            </w:tcMar>
          </w:tcPr>
          <w:p>
            <w:r>
              <w:rPr>
                <w:b/>
                <w:color w:val="1C4160"/>
                <w:sz w:val="21"/>
              </w:rPr>
              <w:t>Boundary</w:t>
              <w:br/>
            </w:r>
            <w:r>
              <w:rPr>
                <w:sz w:val="19"/>
              </w:rPr>
              <w:t>This document does not redefine screen navigation, workflow, wireframe composition, or visual semantics. Those remain governed by IA, UX, Wireframe, UI Design System, and High-Fidelity UI specifications. This document converts those decisions into reusable frontend implementation units.</w:t>
            </w:r>
          </w:p>
        </w:tc>
      </w:tr>
    </w:tbl>
    <w:p>
      <w:pPr>
        <w:spacing w:after="40"/>
      </w:pPr>
    </w:p>
    <w:p>
      <w:pPr>
        <w:pStyle w:val="Heading1"/>
      </w:pPr>
      <w:r>
        <w:t>2. Objectives</w:t>
      </w:r>
    </w:p>
    <w:p>
      <w:pPr>
        <w:pStyle w:val="ListBullet"/>
        <w:spacing w:after="40"/>
      </w:pPr>
      <w:r>
        <w:t>Prevent feature teams from recreating near-duplicate controls and analytical visuals.</w:t>
      </w:r>
    </w:p>
    <w:p>
      <w:pPr>
        <w:pStyle w:val="ListBullet"/>
        <w:spacing w:after="40"/>
      </w:pPr>
      <w:r>
        <w:t>Make uncertainty, provenance, review state, permission state, and value-flow epistemics reusable rather than screen-specific.</w:t>
      </w:r>
    </w:p>
    <w:p>
      <w:pPr>
        <w:pStyle w:val="ListBullet"/>
        <w:spacing w:after="40"/>
      </w:pPr>
      <w:r>
        <w:t>Provide a single inspectable catalogue for designers, frontend engineers, QA, accessibility review, and product review.</w:t>
      </w:r>
    </w:p>
    <w:p>
      <w:pPr>
        <w:pStyle w:val="ListBullet"/>
        <w:spacing w:after="40"/>
      </w:pPr>
      <w:r>
        <w:t>Support isolated accessibility and interaction testing before components are integrated into full screens.</w:t>
      </w:r>
    </w:p>
    <w:p>
      <w:pPr>
        <w:pStyle w:val="ListBullet"/>
        <w:spacing w:after="40"/>
      </w:pPr>
      <w:r>
        <w:t>Enable visual regression detection for design-system changes.</w:t>
      </w:r>
    </w:p>
    <w:p>
      <w:pPr>
        <w:pStyle w:val="ListBullet"/>
        <w:spacing w:after="40"/>
      </w:pPr>
      <w:r>
        <w:t>Maintain screen-to-component traceability for critical MVP screens.</w:t>
      </w:r>
    </w:p>
    <w:p>
      <w:pPr>
        <w:pStyle w:val="Heading1"/>
      </w:pPr>
      <w:r>
        <w:t>3. Component Architecture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DCE8F3"/>
            <w:tcMar>
              <w:top w:w="100" w:type="dxa"/>
              <w:start w:w="110" w:type="dxa"/>
              <w:bottom w:w="100" w:type="dxa"/>
              <w:end w:w="110" w:type="dxa"/>
            </w:tcMar>
            <w:vAlign w:val="center"/>
          </w:tcPr>
          <w:p>
            <w:pPr>
              <w:jc w:val="center"/>
            </w:pPr>
            <w:r>
              <w:rPr>
                <w:b/>
                <w:color w:val="1C4160"/>
                <w:sz w:val="18"/>
              </w:rPr>
              <w:t>Layer</w:t>
            </w:r>
          </w:p>
        </w:tc>
        <w:tc>
          <w:tcPr>
            <w:tcW w:type="dxa" w:w="3384"/>
            <w:shd w:fill="DCE8F3"/>
            <w:tcMar>
              <w:top w:w="100" w:type="dxa"/>
              <w:start w:w="110" w:type="dxa"/>
              <w:bottom w:w="100" w:type="dxa"/>
              <w:end w:w="110" w:type="dxa"/>
            </w:tcMar>
            <w:vAlign w:val="center"/>
          </w:tcPr>
          <w:p>
            <w:pPr>
              <w:jc w:val="center"/>
            </w:pPr>
            <w:r>
              <w:rPr>
                <w:b/>
                <w:color w:val="1C4160"/>
                <w:sz w:val="18"/>
              </w:rPr>
              <w:t>Purpose</w:t>
            </w:r>
          </w:p>
        </w:tc>
        <w:tc>
          <w:tcPr>
            <w:tcW w:type="dxa" w:w="5328"/>
            <w:shd w:fill="DCE8F3"/>
            <w:tcMar>
              <w:top w:w="100" w:type="dxa"/>
              <w:start w:w="110" w:type="dxa"/>
              <w:bottom w:w="100" w:type="dxa"/>
              <w:end w:w="110" w:type="dxa"/>
            </w:tcMar>
            <w:vAlign w:val="center"/>
          </w:tcPr>
          <w:p>
            <w:pPr>
              <w:jc w:val="center"/>
            </w:pPr>
            <w:r>
              <w:rPr>
                <w:b/>
                <w:color w:val="1C4160"/>
                <w:sz w:val="18"/>
              </w:rPr>
              <w:t>Dependency rule</w:t>
            </w:r>
          </w:p>
        </w:tc>
      </w:tr>
      <w:tr>
        <w:trPr>
          <w:cantSplit/>
        </w:trPr>
        <w:tc>
          <w:tcPr>
            <w:tcW w:type="dxa" w:w="1800"/>
            <w:tcMar>
              <w:top w:w="100" w:type="dxa"/>
              <w:start w:w="110" w:type="dxa"/>
              <w:bottom w:w="100" w:type="dxa"/>
              <w:end w:w="110" w:type="dxa"/>
            </w:tcMar>
            <w:vAlign w:val="center"/>
          </w:tcPr>
          <w:p>
            <w:pPr>
              <w:spacing w:after="0"/>
            </w:pPr>
            <w:r>
              <w:rPr>
                <w:sz w:val="17"/>
              </w:rPr>
              <w:t>Foundation</w:t>
            </w:r>
          </w:p>
        </w:tc>
        <w:tc>
          <w:tcPr>
            <w:tcW w:type="dxa" w:w="3384"/>
            <w:tcMar>
              <w:top w:w="100" w:type="dxa"/>
              <w:start w:w="110" w:type="dxa"/>
              <w:bottom w:w="100" w:type="dxa"/>
              <w:end w:w="110" w:type="dxa"/>
            </w:tcMar>
            <w:vAlign w:val="center"/>
          </w:tcPr>
          <w:p>
            <w:pPr>
              <w:spacing w:after="0"/>
            </w:pPr>
            <w:r>
              <w:rPr>
                <w:sz w:val="17"/>
              </w:rPr>
              <w:t>Tokens, typography, surfaces, icon wrapper, layout primitives</w:t>
            </w:r>
          </w:p>
        </w:tc>
        <w:tc>
          <w:tcPr>
            <w:tcW w:type="dxa" w:w="5328"/>
            <w:tcMar>
              <w:top w:w="100" w:type="dxa"/>
              <w:start w:w="110" w:type="dxa"/>
              <w:bottom w:w="100" w:type="dxa"/>
              <w:end w:w="110" w:type="dxa"/>
            </w:tcMar>
            <w:vAlign w:val="center"/>
          </w:tcPr>
          <w:p>
            <w:pPr>
              <w:spacing w:after="0"/>
            </w:pPr>
            <w:r>
              <w:rPr>
                <w:sz w:val="17"/>
              </w:rPr>
              <w:t>May depend only on framework/runtime and token definitions.</w:t>
            </w:r>
          </w:p>
        </w:tc>
      </w:tr>
      <w:tr>
        <w:trPr>
          <w:cantSplit/>
        </w:trPr>
        <w:tc>
          <w:tcPr>
            <w:tcW w:type="dxa" w:w="1800"/>
            <w:tcMar>
              <w:top w:w="100" w:type="dxa"/>
              <w:start w:w="110" w:type="dxa"/>
              <w:bottom w:w="100" w:type="dxa"/>
              <w:end w:w="110" w:type="dxa"/>
            </w:tcMar>
            <w:vAlign w:val="center"/>
          </w:tcPr>
          <w:p>
            <w:pPr>
              <w:spacing w:after="0"/>
            </w:pPr>
            <w:r>
              <w:rPr>
                <w:sz w:val="17"/>
              </w:rPr>
              <w:t>General UI</w:t>
            </w:r>
          </w:p>
        </w:tc>
        <w:tc>
          <w:tcPr>
            <w:tcW w:type="dxa" w:w="3384"/>
            <w:tcMar>
              <w:top w:w="100" w:type="dxa"/>
              <w:start w:w="110" w:type="dxa"/>
              <w:bottom w:w="100" w:type="dxa"/>
              <w:end w:w="110" w:type="dxa"/>
            </w:tcMar>
            <w:vAlign w:val="center"/>
          </w:tcPr>
          <w:p>
            <w:pPr>
              <w:spacing w:after="0"/>
            </w:pPr>
            <w:r>
              <w:rPr>
                <w:sz w:val="17"/>
              </w:rPr>
              <w:t>Reusable controls and generic states</w:t>
            </w:r>
          </w:p>
        </w:tc>
        <w:tc>
          <w:tcPr>
            <w:tcW w:type="dxa" w:w="5328"/>
            <w:tcMar>
              <w:top w:w="100" w:type="dxa"/>
              <w:start w:w="110" w:type="dxa"/>
              <w:bottom w:w="100" w:type="dxa"/>
              <w:end w:w="110" w:type="dxa"/>
            </w:tcMar>
            <w:vAlign w:val="center"/>
          </w:tcPr>
          <w:p>
            <w:pPr>
              <w:spacing w:after="0"/>
            </w:pPr>
            <w:r>
              <w:rPr>
                <w:sz w:val="17"/>
              </w:rPr>
              <w:t>May depend on Foundation; SHALL NOT import domain feature modules.</w:t>
            </w:r>
          </w:p>
        </w:tc>
      </w:tr>
      <w:tr>
        <w:trPr>
          <w:cantSplit/>
        </w:trPr>
        <w:tc>
          <w:tcPr>
            <w:tcW w:type="dxa" w:w="1800"/>
            <w:tcMar>
              <w:top w:w="100" w:type="dxa"/>
              <w:start w:w="110" w:type="dxa"/>
              <w:bottom w:w="100" w:type="dxa"/>
              <w:end w:w="110" w:type="dxa"/>
            </w:tcMar>
            <w:vAlign w:val="center"/>
          </w:tcPr>
          <w:p>
            <w:pPr>
              <w:spacing w:after="0"/>
            </w:pPr>
            <w:r>
              <w:rPr>
                <w:sz w:val="17"/>
              </w:rPr>
              <w:t>Analytical / Domain</w:t>
            </w:r>
          </w:p>
        </w:tc>
        <w:tc>
          <w:tcPr>
            <w:tcW w:type="dxa" w:w="3384"/>
            <w:tcMar>
              <w:top w:w="100" w:type="dxa"/>
              <w:start w:w="110" w:type="dxa"/>
              <w:bottom w:w="100" w:type="dxa"/>
              <w:end w:w="110" w:type="dxa"/>
            </w:tcMar>
            <w:vAlign w:val="center"/>
          </w:tcPr>
          <w:p>
            <w:pPr>
              <w:spacing w:after="0"/>
            </w:pPr>
            <w:r>
              <w:rPr>
                <w:sz w:val="17"/>
              </w:rPr>
              <w:t>CS-AML semantic components</w:t>
            </w:r>
          </w:p>
        </w:tc>
        <w:tc>
          <w:tcPr>
            <w:tcW w:type="dxa" w:w="5328"/>
            <w:tcMar>
              <w:top w:w="100" w:type="dxa"/>
              <w:start w:w="110" w:type="dxa"/>
              <w:bottom w:w="100" w:type="dxa"/>
              <w:end w:w="110" w:type="dxa"/>
            </w:tcMar>
            <w:vAlign w:val="center"/>
          </w:tcPr>
          <w:p>
            <w:pPr>
              <w:spacing w:after="0"/>
            </w:pPr>
            <w:r>
              <w:rPr>
                <w:sz w:val="17"/>
              </w:rPr>
              <w:t>May depend on Foundation + General UI; SHALL expose analytical semantics explicitly.</w:t>
            </w:r>
          </w:p>
        </w:tc>
      </w:tr>
      <w:tr>
        <w:trPr>
          <w:cantSplit/>
        </w:trPr>
        <w:tc>
          <w:tcPr>
            <w:tcW w:type="dxa" w:w="1800"/>
            <w:tcMar>
              <w:top w:w="100" w:type="dxa"/>
              <w:start w:w="110" w:type="dxa"/>
              <w:bottom w:w="100" w:type="dxa"/>
              <w:end w:w="110" w:type="dxa"/>
            </w:tcMar>
            <w:vAlign w:val="center"/>
          </w:tcPr>
          <w:p>
            <w:pPr>
              <w:spacing w:after="0"/>
            </w:pPr>
            <w:r>
              <w:rPr>
                <w:sz w:val="17"/>
              </w:rPr>
              <w:t>Compound Patterns</w:t>
            </w:r>
          </w:p>
        </w:tc>
        <w:tc>
          <w:tcPr>
            <w:tcW w:type="dxa" w:w="3384"/>
            <w:tcMar>
              <w:top w:w="100" w:type="dxa"/>
              <w:start w:w="110" w:type="dxa"/>
              <w:bottom w:w="100" w:type="dxa"/>
              <w:end w:w="110" w:type="dxa"/>
            </w:tcMar>
            <w:vAlign w:val="center"/>
          </w:tcPr>
          <w:p>
            <w:pPr>
              <w:spacing w:after="0"/>
            </w:pPr>
            <w:r>
              <w:rPr>
                <w:sz w:val="17"/>
              </w:rPr>
              <w:t>Reusable page/workspace compositions</w:t>
            </w:r>
          </w:p>
        </w:tc>
        <w:tc>
          <w:tcPr>
            <w:tcW w:type="dxa" w:w="5328"/>
            <w:tcMar>
              <w:top w:w="100" w:type="dxa"/>
              <w:start w:w="110" w:type="dxa"/>
              <w:bottom w:w="100" w:type="dxa"/>
              <w:end w:w="110" w:type="dxa"/>
            </w:tcMar>
            <w:vAlign w:val="center"/>
          </w:tcPr>
          <w:p>
            <w:pPr>
              <w:spacing w:after="0"/>
            </w:pPr>
            <w:r>
              <w:rPr>
                <w:sz w:val="17"/>
              </w:rPr>
              <w:t>May depend on all shared components; SHALL remain feature-agnostic enough to support multiple screens.</w:t>
            </w:r>
          </w:p>
        </w:tc>
      </w:tr>
      <w:tr>
        <w:trPr>
          <w:cantSplit/>
        </w:trPr>
        <w:tc>
          <w:tcPr>
            <w:tcW w:type="dxa" w:w="1800"/>
            <w:tcMar>
              <w:top w:w="100" w:type="dxa"/>
              <w:start w:w="110" w:type="dxa"/>
              <w:bottom w:w="100" w:type="dxa"/>
              <w:end w:w="110" w:type="dxa"/>
            </w:tcMar>
            <w:vAlign w:val="center"/>
          </w:tcPr>
          <w:p>
            <w:pPr>
              <w:spacing w:after="0"/>
            </w:pPr>
            <w:r>
              <w:rPr>
                <w:sz w:val="17"/>
              </w:rPr>
              <w:t>Feature Screens</w:t>
            </w:r>
          </w:p>
        </w:tc>
        <w:tc>
          <w:tcPr>
            <w:tcW w:type="dxa" w:w="3384"/>
            <w:tcMar>
              <w:top w:w="100" w:type="dxa"/>
              <w:start w:w="110" w:type="dxa"/>
              <w:bottom w:w="100" w:type="dxa"/>
              <w:end w:w="110" w:type="dxa"/>
            </w:tcMar>
            <w:vAlign w:val="center"/>
          </w:tcPr>
          <w:p>
            <w:pPr>
              <w:spacing w:after="0"/>
            </w:pPr>
            <w:r>
              <w:rPr>
                <w:sz w:val="17"/>
              </w:rPr>
              <w:t>Route-specific composition and data binding</w:t>
            </w:r>
          </w:p>
        </w:tc>
        <w:tc>
          <w:tcPr>
            <w:tcW w:type="dxa" w:w="5328"/>
            <w:tcMar>
              <w:top w:w="100" w:type="dxa"/>
              <w:start w:w="110" w:type="dxa"/>
              <w:bottom w:w="100" w:type="dxa"/>
              <w:end w:w="110" w:type="dxa"/>
            </w:tcMar>
            <w:vAlign w:val="center"/>
          </w:tcPr>
          <w:p>
            <w:pPr>
              <w:spacing w:after="0"/>
            </w:pPr>
            <w:r>
              <w:rPr>
                <w:sz w:val="17"/>
              </w:rPr>
              <w:t>Consumes shared components; new local primitives require design-system review.</w:t>
            </w:r>
          </w:p>
        </w:tc>
      </w:tr>
    </w:tbl>
    <w:p>
      <w:pPr>
        <w:spacing w:after="20"/>
      </w:pPr>
    </w:p>
    <w:p>
      <w:pPr>
        <w:spacing w:after="80"/>
      </w:pPr>
      <w:r>
        <w:rPr>
          <w:b/>
          <w:color w:val="285C8E"/>
        </w:rPr>
        <w:t xml:space="preserve">CISB-001 — </w:t>
      </w:r>
      <w:r>
        <w:t>Feature modules SHALL consume shared design-system components before introducing local equivalents.</w:t>
      </w:r>
    </w:p>
    <w:p>
      <w:pPr>
        <w:spacing w:after="80"/>
      </w:pPr>
      <w:r>
        <w:rPr>
          <w:b/>
          <w:color w:val="285C8E"/>
        </w:rPr>
        <w:t xml:space="preserve">CISB-002 — </w:t>
      </w:r>
      <w:r>
        <w:t>A shared component SHALL NOT encode business-specific API calls or permission decisions internally unless the component is explicitly an authorization-aware system component.</w:t>
      </w:r>
    </w:p>
    <w:p>
      <w:pPr>
        <w:spacing w:after="80"/>
      </w:pPr>
      <w:r>
        <w:rPr>
          <w:b/>
          <w:color w:val="285C8E"/>
        </w:rPr>
        <w:t xml:space="preserve">CISB-003 — </w:t>
      </w:r>
      <w:r>
        <w:t>Analytical semantics such as Fact, Inference, Confidence, DIRECT, or RECONSTRUCTED SHALL be represented through typed component variants rather than arbitrary CSS classes.</w:t>
      </w:r>
    </w:p>
    <w:p>
      <w:pPr>
        <w:pStyle w:val="Heading1"/>
      </w:pPr>
      <w:r>
        <w:t>4. Naming and Package Conventions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88"/>
            <w:shd w:fill="DCE8F3"/>
            <w:tcMar>
              <w:top w:w="100" w:type="dxa"/>
              <w:start w:w="110" w:type="dxa"/>
              <w:bottom w:w="100" w:type="dxa"/>
              <w:end w:w="110" w:type="dxa"/>
            </w:tcMar>
            <w:vAlign w:val="center"/>
          </w:tcPr>
          <w:p>
            <w:pPr>
              <w:jc w:val="center"/>
            </w:pPr>
            <w:r>
              <w:rPr>
                <w:b/>
                <w:color w:val="1C4160"/>
                <w:sz w:val="18"/>
              </w:rPr>
              <w:t>Concern</w:t>
            </w:r>
          </w:p>
        </w:tc>
        <w:tc>
          <w:tcPr>
            <w:tcW w:type="dxa" w:w="8424"/>
            <w:shd w:fill="DCE8F3"/>
            <w:tcMar>
              <w:top w:w="100" w:type="dxa"/>
              <w:start w:w="110" w:type="dxa"/>
              <w:bottom w:w="100" w:type="dxa"/>
              <w:end w:w="110" w:type="dxa"/>
            </w:tcMar>
            <w:vAlign w:val="center"/>
          </w:tcPr>
          <w:p>
            <w:pPr>
              <w:jc w:val="center"/>
            </w:pPr>
            <w:r>
              <w:rPr>
                <w:b/>
                <w:color w:val="1C4160"/>
                <w:sz w:val="18"/>
              </w:rPr>
              <w:t>Convention</w:t>
            </w:r>
          </w:p>
        </w:tc>
      </w:tr>
      <w:tr>
        <w:trPr>
          <w:cantSplit/>
        </w:trPr>
        <w:tc>
          <w:tcPr>
            <w:tcW w:type="dxa" w:w="2088"/>
            <w:tcMar>
              <w:top w:w="100" w:type="dxa"/>
              <w:start w:w="110" w:type="dxa"/>
              <w:bottom w:w="100" w:type="dxa"/>
              <w:end w:w="110" w:type="dxa"/>
            </w:tcMar>
            <w:vAlign w:val="center"/>
          </w:tcPr>
          <w:p>
            <w:pPr>
              <w:spacing w:after="0"/>
            </w:pPr>
            <w:r>
              <w:rPr>
                <w:sz w:val="17"/>
              </w:rPr>
              <w:t>Component IDs</w:t>
            </w:r>
          </w:p>
        </w:tc>
        <w:tc>
          <w:tcPr>
            <w:tcW w:type="dxa" w:w="8424"/>
            <w:tcMar>
              <w:top w:w="100" w:type="dxa"/>
              <w:start w:w="110" w:type="dxa"/>
              <w:bottom w:w="100" w:type="dxa"/>
              <w:end w:w="110" w:type="dxa"/>
            </w:tcMar>
            <w:vAlign w:val="center"/>
          </w:tcPr>
          <w:p>
            <w:pPr>
              <w:spacing w:after="0"/>
            </w:pPr>
            <w:r>
              <w:rPr>
                <w:sz w:val="17"/>
              </w:rPr>
              <w:t>Stable inventory IDs: FND-###, GEN-###, ANA-###, CMP-###.</w:t>
            </w:r>
          </w:p>
        </w:tc>
      </w:tr>
      <w:tr>
        <w:trPr>
          <w:cantSplit/>
        </w:trPr>
        <w:tc>
          <w:tcPr>
            <w:tcW w:type="dxa" w:w="2088"/>
            <w:tcMar>
              <w:top w:w="100" w:type="dxa"/>
              <w:start w:w="110" w:type="dxa"/>
              <w:bottom w:w="100" w:type="dxa"/>
              <w:end w:w="110" w:type="dxa"/>
            </w:tcMar>
            <w:vAlign w:val="center"/>
          </w:tcPr>
          <w:p>
            <w:pPr>
              <w:spacing w:after="0"/>
            </w:pPr>
            <w:r>
              <w:rPr>
                <w:sz w:val="17"/>
              </w:rPr>
              <w:t>React names</w:t>
            </w:r>
          </w:p>
        </w:tc>
        <w:tc>
          <w:tcPr>
            <w:tcW w:type="dxa" w:w="8424"/>
            <w:tcMar>
              <w:top w:w="100" w:type="dxa"/>
              <w:start w:w="110" w:type="dxa"/>
              <w:bottom w:w="100" w:type="dxa"/>
              <w:end w:w="110" w:type="dxa"/>
            </w:tcMar>
            <w:vAlign w:val="center"/>
          </w:tcPr>
          <w:p>
            <w:pPr>
              <w:spacing w:after="0"/>
            </w:pPr>
            <w:r>
              <w:rPr>
                <w:sz w:val="17"/>
              </w:rPr>
              <w:t>PascalCase and semantic: EvidenceCitation, FlowClassBadge, ReviewDecisionPanel.</w:t>
            </w:r>
          </w:p>
        </w:tc>
      </w:tr>
      <w:tr>
        <w:trPr>
          <w:cantSplit/>
        </w:trPr>
        <w:tc>
          <w:tcPr>
            <w:tcW w:type="dxa" w:w="2088"/>
            <w:tcMar>
              <w:top w:w="100" w:type="dxa"/>
              <w:start w:w="110" w:type="dxa"/>
              <w:bottom w:w="100" w:type="dxa"/>
              <w:end w:w="110" w:type="dxa"/>
            </w:tcMar>
            <w:vAlign w:val="center"/>
          </w:tcPr>
          <w:p>
            <w:pPr>
              <w:spacing w:after="0"/>
            </w:pPr>
            <w:r>
              <w:rPr>
                <w:sz w:val="17"/>
              </w:rPr>
              <w:t>Files</w:t>
            </w:r>
          </w:p>
        </w:tc>
        <w:tc>
          <w:tcPr>
            <w:tcW w:type="dxa" w:w="8424"/>
            <w:tcMar>
              <w:top w:w="100" w:type="dxa"/>
              <w:start w:w="110" w:type="dxa"/>
              <w:bottom w:w="100" w:type="dxa"/>
              <w:end w:w="110" w:type="dxa"/>
            </w:tcMar>
            <w:vAlign w:val="center"/>
          </w:tcPr>
          <w:p>
            <w:pPr>
              <w:spacing w:after="0"/>
            </w:pPr>
            <w:r>
              <w:rPr>
                <w:sz w:val="17"/>
              </w:rPr>
              <w:t>ComponentName.tsx, ComponentName.stories.tsx, ComponentName.test.tsx, ComponentName.types.ts.</w:t>
            </w:r>
          </w:p>
        </w:tc>
      </w:tr>
      <w:tr>
        <w:trPr>
          <w:cantSplit/>
        </w:trPr>
        <w:tc>
          <w:tcPr>
            <w:tcW w:type="dxa" w:w="2088"/>
            <w:tcMar>
              <w:top w:w="100" w:type="dxa"/>
              <w:start w:w="110" w:type="dxa"/>
              <w:bottom w:w="100" w:type="dxa"/>
              <w:end w:w="110" w:type="dxa"/>
            </w:tcMar>
            <w:vAlign w:val="center"/>
          </w:tcPr>
          <w:p>
            <w:pPr>
              <w:spacing w:after="0"/>
            </w:pPr>
            <w:r>
              <w:rPr>
                <w:sz w:val="17"/>
              </w:rPr>
              <w:t>Exports</w:t>
            </w:r>
          </w:p>
        </w:tc>
        <w:tc>
          <w:tcPr>
            <w:tcW w:type="dxa" w:w="8424"/>
            <w:tcMar>
              <w:top w:w="100" w:type="dxa"/>
              <w:start w:w="110" w:type="dxa"/>
              <w:bottom w:w="100" w:type="dxa"/>
              <w:end w:w="110" w:type="dxa"/>
            </w:tcMar>
            <w:vAlign w:val="center"/>
          </w:tcPr>
          <w:p>
            <w:pPr>
              <w:spacing w:after="0"/>
            </w:pPr>
            <w:r>
              <w:rPr>
                <w:sz w:val="17"/>
              </w:rPr>
              <w:t>Public exports through package barrel; internal helpers remain private.</w:t>
            </w:r>
          </w:p>
        </w:tc>
      </w:tr>
      <w:tr>
        <w:trPr>
          <w:cantSplit/>
        </w:trPr>
        <w:tc>
          <w:tcPr>
            <w:tcW w:type="dxa" w:w="2088"/>
            <w:tcMar>
              <w:top w:w="100" w:type="dxa"/>
              <w:start w:w="110" w:type="dxa"/>
              <w:bottom w:w="100" w:type="dxa"/>
              <w:end w:w="110" w:type="dxa"/>
            </w:tcMar>
            <w:vAlign w:val="center"/>
          </w:tcPr>
          <w:p>
            <w:pPr>
              <w:spacing w:after="0"/>
            </w:pPr>
            <w:r>
              <w:rPr>
                <w:sz w:val="17"/>
              </w:rPr>
              <w:t>Variants</w:t>
            </w:r>
          </w:p>
        </w:tc>
        <w:tc>
          <w:tcPr>
            <w:tcW w:type="dxa" w:w="8424"/>
            <w:tcMar>
              <w:top w:w="100" w:type="dxa"/>
              <w:start w:w="110" w:type="dxa"/>
              <w:bottom w:w="100" w:type="dxa"/>
              <w:end w:w="110" w:type="dxa"/>
            </w:tcMar>
            <w:vAlign w:val="center"/>
          </w:tcPr>
          <w:p>
            <w:pPr>
              <w:spacing w:after="0"/>
            </w:pPr>
            <w:r>
              <w:rPr>
                <w:sz w:val="17"/>
              </w:rPr>
              <w:t>Typed unions/enums; avoid free-form string variant names.</w:t>
            </w:r>
          </w:p>
        </w:tc>
      </w:tr>
      <w:tr>
        <w:trPr>
          <w:cantSplit/>
        </w:trPr>
        <w:tc>
          <w:tcPr>
            <w:tcW w:type="dxa" w:w="2088"/>
            <w:tcMar>
              <w:top w:w="100" w:type="dxa"/>
              <w:start w:w="110" w:type="dxa"/>
              <w:bottom w:w="100" w:type="dxa"/>
              <w:end w:w="110" w:type="dxa"/>
            </w:tcMar>
            <w:vAlign w:val="center"/>
          </w:tcPr>
          <w:p>
            <w:pPr>
              <w:spacing w:after="0"/>
            </w:pPr>
            <w:r>
              <w:rPr>
                <w:sz w:val="17"/>
              </w:rPr>
              <w:t>Styling</w:t>
            </w:r>
          </w:p>
        </w:tc>
        <w:tc>
          <w:tcPr>
            <w:tcW w:type="dxa" w:w="8424"/>
            <w:tcMar>
              <w:top w:w="100" w:type="dxa"/>
              <w:start w:w="110" w:type="dxa"/>
              <w:bottom w:w="100" w:type="dxa"/>
              <w:end w:w="110" w:type="dxa"/>
            </w:tcMar>
            <w:vAlign w:val="center"/>
          </w:tcPr>
          <w:p>
            <w:pPr>
              <w:spacing w:after="0"/>
            </w:pPr>
            <w:r>
              <w:rPr>
                <w:sz w:val="17"/>
              </w:rPr>
              <w:t>Semantic tokens/CSS variables + shared Tailwind mappings; no feature-specific raw hex where semantic token exists.</w:t>
            </w:r>
          </w:p>
        </w:tc>
      </w:tr>
      <w:tr>
        <w:trPr>
          <w:cantSplit/>
        </w:trPr>
        <w:tc>
          <w:tcPr>
            <w:tcW w:type="dxa" w:w="2088"/>
            <w:tcMar>
              <w:top w:w="100" w:type="dxa"/>
              <w:start w:w="110" w:type="dxa"/>
              <w:bottom w:w="100" w:type="dxa"/>
              <w:end w:w="110" w:type="dxa"/>
            </w:tcMar>
            <w:vAlign w:val="center"/>
          </w:tcPr>
          <w:p>
            <w:pPr>
              <w:spacing w:after="0"/>
            </w:pPr>
            <w:r>
              <w:rPr>
                <w:sz w:val="17"/>
              </w:rPr>
              <w:t>Events</w:t>
            </w:r>
          </w:p>
        </w:tc>
        <w:tc>
          <w:tcPr>
            <w:tcW w:type="dxa" w:w="8424"/>
            <w:tcMar>
              <w:top w:w="100" w:type="dxa"/>
              <w:start w:w="110" w:type="dxa"/>
              <w:bottom w:w="100" w:type="dxa"/>
              <w:end w:w="110" w:type="dxa"/>
            </w:tcMar>
            <w:vAlign w:val="center"/>
          </w:tcPr>
          <w:p>
            <w:pPr>
              <w:spacing w:after="0"/>
            </w:pPr>
            <w:r>
              <w:rPr>
                <w:sz w:val="17"/>
              </w:rPr>
              <w:t>Intent-oriented names: onApprove, onResolve, onOpenEvidence; not onButtonClick.</w:t>
            </w:r>
          </w:p>
        </w:tc>
      </w:tr>
      <w:tr>
        <w:trPr>
          <w:cantSplit/>
        </w:trPr>
        <w:tc>
          <w:tcPr>
            <w:tcW w:type="dxa" w:w="2088"/>
            <w:tcMar>
              <w:top w:w="100" w:type="dxa"/>
              <w:start w:w="110" w:type="dxa"/>
              <w:bottom w:w="100" w:type="dxa"/>
              <w:end w:w="110" w:type="dxa"/>
            </w:tcMar>
            <w:vAlign w:val="center"/>
          </w:tcPr>
          <w:p>
            <w:pPr>
              <w:spacing w:after="0"/>
            </w:pPr>
            <w:r>
              <w:rPr>
                <w:sz w:val="17"/>
              </w:rPr>
              <w:t>Data</w:t>
            </w:r>
          </w:p>
        </w:tc>
        <w:tc>
          <w:tcPr>
            <w:tcW w:type="dxa" w:w="8424"/>
            <w:tcMar>
              <w:top w:w="100" w:type="dxa"/>
              <w:start w:w="110" w:type="dxa"/>
              <w:bottom w:w="100" w:type="dxa"/>
              <w:end w:w="110" w:type="dxa"/>
            </w:tcMar>
            <w:vAlign w:val="center"/>
          </w:tcPr>
          <w:p>
            <w:pPr>
              <w:spacing w:after="0"/>
            </w:pPr>
            <w:r>
              <w:rPr>
                <w:sz w:val="17"/>
              </w:rPr>
              <w:t>Presentational components receive explicit view models; canonical API response shape SHOULD NOT leak directly into low-level components.</w:t>
            </w:r>
          </w:p>
        </w:tc>
      </w:tr>
    </w:tbl>
    <w:p>
      <w:pPr>
        <w:spacing w:after="20"/>
      </w:pPr>
    </w:p>
    <w:p>
      <w:pPr>
        <w:pStyle w:val="Heading1"/>
      </w:pPr>
      <w:r>
        <w:t>5. Component Inventory</w:t>
      </w:r>
    </w:p>
    <w:p>
      <w:r>
        <w:t>The MVP baseline contains 65 shared components across foundation, general, analytical/domain, and compound pattern layers.</w:t>
      </w:r>
    </w:p>
    <w:p>
      <w:pPr>
        <w:pStyle w:val="Heading2"/>
      </w:pPr>
      <w:r>
        <w:t>Foundation components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936"/>
            <w:shd w:fill="DCE8F3"/>
            <w:tcMar>
              <w:top w:w="100" w:type="dxa"/>
              <w:start w:w="110" w:type="dxa"/>
              <w:bottom w:w="100" w:type="dxa"/>
              <w:end w:w="110" w:type="dxa"/>
            </w:tcMar>
            <w:vAlign w:val="center"/>
          </w:tcPr>
          <w:p>
            <w:pPr>
              <w:jc w:val="center"/>
            </w:pPr>
            <w:r>
              <w:rPr>
                <w:b/>
                <w:color w:val="1C4160"/>
                <w:sz w:val="18"/>
              </w:rPr>
              <w:t>ID</w:t>
            </w:r>
          </w:p>
        </w:tc>
        <w:tc>
          <w:tcPr>
            <w:tcW w:type="dxa" w:w="1944"/>
            <w:shd w:fill="DCE8F3"/>
            <w:tcMar>
              <w:top w:w="100" w:type="dxa"/>
              <w:start w:w="110" w:type="dxa"/>
              <w:bottom w:w="100" w:type="dxa"/>
              <w:end w:w="110" w:type="dxa"/>
            </w:tcMar>
            <w:vAlign w:val="center"/>
          </w:tcPr>
          <w:p>
            <w:pPr>
              <w:jc w:val="center"/>
            </w:pPr>
            <w:r>
              <w:rPr>
                <w:b/>
                <w:color w:val="1C4160"/>
                <w:sz w:val="18"/>
              </w:rPr>
              <w:t>Component</w:t>
            </w:r>
          </w:p>
        </w:tc>
        <w:tc>
          <w:tcPr>
            <w:tcW w:type="dxa" w:w="792"/>
            <w:shd w:fill="DCE8F3"/>
            <w:tcMar>
              <w:top w:w="100" w:type="dxa"/>
              <w:start w:w="110" w:type="dxa"/>
              <w:bottom w:w="100" w:type="dxa"/>
              <w:end w:w="110" w:type="dxa"/>
            </w:tcMar>
            <w:vAlign w:val="center"/>
          </w:tcPr>
          <w:p>
            <w:pPr>
              <w:jc w:val="center"/>
            </w:pPr>
            <w:r>
              <w:rPr>
                <w:b/>
                <w:color w:val="1C4160"/>
                <w:sz w:val="18"/>
              </w:rPr>
              <w:t>Priority</w:t>
            </w:r>
          </w:p>
        </w:tc>
        <w:tc>
          <w:tcPr>
            <w:tcW w:type="dxa" w:w="3311"/>
            <w:shd w:fill="DCE8F3"/>
            <w:tcMar>
              <w:top w:w="100" w:type="dxa"/>
              <w:start w:w="110" w:type="dxa"/>
              <w:bottom w:w="100" w:type="dxa"/>
              <w:end w:w="110" w:type="dxa"/>
            </w:tcMar>
            <w:vAlign w:val="center"/>
          </w:tcPr>
          <w:p>
            <w:pPr>
              <w:jc w:val="center"/>
            </w:pPr>
            <w:r>
              <w:rPr>
                <w:b/>
                <w:color w:val="1C4160"/>
                <w:sz w:val="18"/>
              </w:rPr>
              <w:t>Purpose</w:t>
            </w:r>
          </w:p>
        </w:tc>
        <w:tc>
          <w:tcPr>
            <w:tcW w:type="dxa" w:w="1800"/>
            <w:shd w:fill="DCE8F3"/>
            <w:tcMar>
              <w:top w:w="100" w:type="dxa"/>
              <w:start w:w="110" w:type="dxa"/>
              <w:bottom w:w="100" w:type="dxa"/>
              <w:end w:w="110" w:type="dxa"/>
            </w:tcMar>
            <w:vAlign w:val="center"/>
          </w:tcPr>
          <w:p>
            <w:pPr>
              <w:jc w:val="center"/>
            </w:pPr>
            <w:r>
              <w:rPr>
                <w:b/>
                <w:color w:val="1C4160"/>
                <w:sz w:val="18"/>
              </w:rPr>
              <w:t>Primary usage</w:t>
            </w:r>
          </w:p>
        </w:tc>
        <w:tc>
          <w:tcPr>
            <w:tcW w:type="dxa" w:w="1655"/>
            <w:shd w:fill="DCE8F3"/>
            <w:tcMar>
              <w:top w:w="100" w:type="dxa"/>
              <w:start w:w="110" w:type="dxa"/>
              <w:bottom w:w="100" w:type="dxa"/>
              <w:end w:w="110" w:type="dxa"/>
            </w:tcMar>
            <w:vAlign w:val="center"/>
          </w:tcPr>
          <w:p>
            <w:pPr>
              <w:jc w:val="center"/>
            </w:pPr>
            <w:r>
              <w:rPr>
                <w:b/>
                <w:color w:val="1C4160"/>
                <w:sz w:val="18"/>
              </w:rPr>
              <w:t>Semantic owner</w:t>
            </w:r>
          </w:p>
        </w:tc>
      </w:tr>
      <w:tr>
        <w:trPr>
          <w:cantSplit/>
        </w:trPr>
        <w:tc>
          <w:tcPr>
            <w:tcW w:type="dxa" w:w="936"/>
            <w:tcMar>
              <w:top w:w="100" w:type="dxa"/>
              <w:start w:w="110" w:type="dxa"/>
              <w:bottom w:w="100" w:type="dxa"/>
              <w:end w:w="110" w:type="dxa"/>
            </w:tcMar>
            <w:vAlign w:val="center"/>
          </w:tcPr>
          <w:p>
            <w:pPr>
              <w:spacing w:after="0"/>
            </w:pPr>
            <w:r>
              <w:rPr>
                <w:sz w:val="17"/>
              </w:rPr>
              <w:t>FND-001</w:t>
            </w:r>
          </w:p>
        </w:tc>
        <w:tc>
          <w:tcPr>
            <w:tcW w:type="dxa" w:w="1944"/>
            <w:tcMar>
              <w:top w:w="100" w:type="dxa"/>
              <w:start w:w="110" w:type="dxa"/>
              <w:bottom w:w="100" w:type="dxa"/>
              <w:end w:w="110" w:type="dxa"/>
            </w:tcMar>
            <w:vAlign w:val="center"/>
          </w:tcPr>
          <w:p>
            <w:pPr>
              <w:spacing w:after="0"/>
            </w:pPr>
            <w:r>
              <w:rPr>
                <w:sz w:val="17"/>
              </w:rPr>
              <w:t>Semantic Token Provider</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CSS variable/theme provider</w:t>
            </w:r>
          </w:p>
        </w:tc>
        <w:tc>
          <w:tcPr>
            <w:tcW w:type="dxa" w:w="1800"/>
            <w:tcMar>
              <w:top w:w="100" w:type="dxa"/>
              <w:start w:w="110" w:type="dxa"/>
              <w:bottom w:w="100" w:type="dxa"/>
              <w:end w:w="110" w:type="dxa"/>
            </w:tcMar>
            <w:vAlign w:val="center"/>
          </w:tcPr>
          <w:p>
            <w:pPr>
              <w:spacing w:after="0"/>
            </w:pPr>
            <w:r>
              <w:rPr>
                <w:sz w:val="17"/>
              </w:rPr>
              <w:t>All</w:t>
            </w:r>
          </w:p>
        </w:tc>
        <w:tc>
          <w:tcPr>
            <w:tcW w:type="dxa" w:w="1655"/>
            <w:tcMar>
              <w:top w:w="100" w:type="dxa"/>
              <w:start w:w="110" w:type="dxa"/>
              <w:bottom w:w="100" w:type="dxa"/>
              <w:end w:w="110" w:type="dxa"/>
            </w:tcMar>
            <w:vAlign w:val="center"/>
          </w:tcPr>
          <w:p>
            <w:pPr>
              <w:spacing w:after="0"/>
            </w:pPr>
            <w:r>
              <w:rPr>
                <w:sz w:val="17"/>
              </w:rPr>
              <w:t>DS tokens</w:t>
            </w:r>
          </w:p>
        </w:tc>
      </w:tr>
      <w:tr>
        <w:trPr>
          <w:cantSplit/>
        </w:trPr>
        <w:tc>
          <w:tcPr>
            <w:tcW w:type="dxa" w:w="936"/>
            <w:tcMar>
              <w:top w:w="100" w:type="dxa"/>
              <w:start w:w="110" w:type="dxa"/>
              <w:bottom w:w="100" w:type="dxa"/>
              <w:end w:w="110" w:type="dxa"/>
            </w:tcMar>
            <w:vAlign w:val="center"/>
          </w:tcPr>
          <w:p>
            <w:pPr>
              <w:spacing w:after="0"/>
            </w:pPr>
            <w:r>
              <w:rPr>
                <w:sz w:val="17"/>
              </w:rPr>
              <w:t>FND-002</w:t>
            </w:r>
          </w:p>
        </w:tc>
        <w:tc>
          <w:tcPr>
            <w:tcW w:type="dxa" w:w="1944"/>
            <w:tcMar>
              <w:top w:w="100" w:type="dxa"/>
              <w:start w:w="110" w:type="dxa"/>
              <w:bottom w:w="100" w:type="dxa"/>
              <w:end w:w="110" w:type="dxa"/>
            </w:tcMar>
            <w:vAlign w:val="center"/>
          </w:tcPr>
          <w:p>
            <w:pPr>
              <w:spacing w:after="0"/>
            </w:pPr>
            <w:r>
              <w:rPr>
                <w:sz w:val="17"/>
              </w:rPr>
              <w:t>Icon</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Accessible icon wrapper</w:t>
            </w:r>
          </w:p>
        </w:tc>
        <w:tc>
          <w:tcPr>
            <w:tcW w:type="dxa" w:w="1800"/>
            <w:tcMar>
              <w:top w:w="100" w:type="dxa"/>
              <w:start w:w="110" w:type="dxa"/>
              <w:bottom w:w="100" w:type="dxa"/>
              <w:end w:w="110" w:type="dxa"/>
            </w:tcMar>
            <w:vAlign w:val="center"/>
          </w:tcPr>
          <w:p>
            <w:pPr>
              <w:spacing w:after="0"/>
            </w:pPr>
            <w:r>
              <w:rPr>
                <w:sz w:val="17"/>
              </w:rPr>
              <w:t>All</w:t>
            </w:r>
          </w:p>
        </w:tc>
        <w:tc>
          <w:tcPr>
            <w:tcW w:type="dxa" w:w="1655"/>
            <w:tcMar>
              <w:top w:w="100" w:type="dxa"/>
              <w:start w:w="110" w:type="dxa"/>
              <w:bottom w:w="100" w:type="dxa"/>
              <w:end w:w="110" w:type="dxa"/>
            </w:tcMar>
            <w:vAlign w:val="center"/>
          </w:tcPr>
          <w:p>
            <w:pPr>
              <w:spacing w:after="0"/>
            </w:pPr>
            <w:r>
              <w:rPr>
                <w:sz w:val="17"/>
              </w:rPr>
              <w:t>iconography</w:t>
            </w:r>
          </w:p>
        </w:tc>
      </w:tr>
      <w:tr>
        <w:trPr>
          <w:cantSplit/>
        </w:trPr>
        <w:tc>
          <w:tcPr>
            <w:tcW w:type="dxa" w:w="936"/>
            <w:tcMar>
              <w:top w:w="100" w:type="dxa"/>
              <w:start w:w="110" w:type="dxa"/>
              <w:bottom w:w="100" w:type="dxa"/>
              <w:end w:w="110" w:type="dxa"/>
            </w:tcMar>
            <w:vAlign w:val="center"/>
          </w:tcPr>
          <w:p>
            <w:pPr>
              <w:spacing w:after="0"/>
            </w:pPr>
            <w:r>
              <w:rPr>
                <w:sz w:val="17"/>
              </w:rPr>
              <w:t>FND-003</w:t>
            </w:r>
          </w:p>
        </w:tc>
        <w:tc>
          <w:tcPr>
            <w:tcW w:type="dxa" w:w="1944"/>
            <w:tcMar>
              <w:top w:w="100" w:type="dxa"/>
              <w:start w:w="110" w:type="dxa"/>
              <w:bottom w:w="100" w:type="dxa"/>
              <w:end w:w="110" w:type="dxa"/>
            </w:tcMar>
            <w:vAlign w:val="center"/>
          </w:tcPr>
          <w:p>
            <w:pPr>
              <w:spacing w:after="0"/>
            </w:pPr>
            <w:r>
              <w:rPr>
                <w:sz w:val="17"/>
              </w:rPr>
              <w:t>Text</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Typography primitive with semantic variants</w:t>
            </w:r>
          </w:p>
        </w:tc>
        <w:tc>
          <w:tcPr>
            <w:tcW w:type="dxa" w:w="1800"/>
            <w:tcMar>
              <w:top w:w="100" w:type="dxa"/>
              <w:start w:w="110" w:type="dxa"/>
              <w:bottom w:w="100" w:type="dxa"/>
              <w:end w:w="110" w:type="dxa"/>
            </w:tcMar>
            <w:vAlign w:val="center"/>
          </w:tcPr>
          <w:p>
            <w:pPr>
              <w:spacing w:after="0"/>
            </w:pPr>
            <w:r>
              <w:rPr>
                <w:sz w:val="17"/>
              </w:rPr>
              <w:t>All</w:t>
            </w:r>
          </w:p>
        </w:tc>
        <w:tc>
          <w:tcPr>
            <w:tcW w:type="dxa" w:w="1655"/>
            <w:tcMar>
              <w:top w:w="100" w:type="dxa"/>
              <w:start w:w="110" w:type="dxa"/>
              <w:bottom w:w="100" w:type="dxa"/>
              <w:end w:w="110" w:type="dxa"/>
            </w:tcMar>
            <w:vAlign w:val="center"/>
          </w:tcPr>
          <w:p>
            <w:pPr>
              <w:spacing w:after="0"/>
            </w:pPr>
            <w:r>
              <w:rPr>
                <w:sz w:val="17"/>
              </w:rPr>
              <w:t>typography</w:t>
            </w:r>
          </w:p>
        </w:tc>
      </w:tr>
      <w:tr>
        <w:trPr>
          <w:cantSplit/>
        </w:trPr>
        <w:tc>
          <w:tcPr>
            <w:tcW w:type="dxa" w:w="936"/>
            <w:tcMar>
              <w:top w:w="100" w:type="dxa"/>
              <w:start w:w="110" w:type="dxa"/>
              <w:bottom w:w="100" w:type="dxa"/>
              <w:end w:w="110" w:type="dxa"/>
            </w:tcMar>
            <w:vAlign w:val="center"/>
          </w:tcPr>
          <w:p>
            <w:pPr>
              <w:spacing w:after="0"/>
            </w:pPr>
            <w:r>
              <w:rPr>
                <w:sz w:val="17"/>
              </w:rPr>
              <w:t>FND-004</w:t>
            </w:r>
          </w:p>
        </w:tc>
        <w:tc>
          <w:tcPr>
            <w:tcW w:type="dxa" w:w="1944"/>
            <w:tcMar>
              <w:top w:w="100" w:type="dxa"/>
              <w:start w:w="110" w:type="dxa"/>
              <w:bottom w:w="100" w:type="dxa"/>
              <w:end w:w="110" w:type="dxa"/>
            </w:tcMar>
            <w:vAlign w:val="center"/>
          </w:tcPr>
          <w:p>
            <w:pPr>
              <w:spacing w:after="0"/>
            </w:pPr>
            <w:r>
              <w:rPr>
                <w:sz w:val="17"/>
              </w:rPr>
              <w:t>Stack / Inline</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Spacing/layout primitives</w:t>
            </w:r>
          </w:p>
        </w:tc>
        <w:tc>
          <w:tcPr>
            <w:tcW w:type="dxa" w:w="1800"/>
            <w:tcMar>
              <w:top w:w="100" w:type="dxa"/>
              <w:start w:w="110" w:type="dxa"/>
              <w:bottom w:w="100" w:type="dxa"/>
              <w:end w:w="110" w:type="dxa"/>
            </w:tcMar>
            <w:vAlign w:val="center"/>
          </w:tcPr>
          <w:p>
            <w:pPr>
              <w:spacing w:after="0"/>
            </w:pPr>
            <w:r>
              <w:rPr>
                <w:sz w:val="17"/>
              </w:rPr>
              <w:t>All</w:t>
            </w:r>
          </w:p>
        </w:tc>
        <w:tc>
          <w:tcPr>
            <w:tcW w:type="dxa" w:w="1655"/>
            <w:tcMar>
              <w:top w:w="100" w:type="dxa"/>
              <w:start w:w="110" w:type="dxa"/>
              <w:bottom w:w="100" w:type="dxa"/>
              <w:end w:w="110" w:type="dxa"/>
            </w:tcMar>
            <w:vAlign w:val="center"/>
          </w:tcPr>
          <w:p>
            <w:pPr>
              <w:spacing w:after="0"/>
            </w:pPr>
            <w:r>
              <w:rPr>
                <w:sz w:val="17"/>
              </w:rPr>
              <w:t>spacing</w:t>
            </w:r>
          </w:p>
        </w:tc>
      </w:tr>
      <w:tr>
        <w:trPr>
          <w:cantSplit/>
        </w:trPr>
        <w:tc>
          <w:tcPr>
            <w:tcW w:type="dxa" w:w="936"/>
            <w:tcMar>
              <w:top w:w="100" w:type="dxa"/>
              <w:start w:w="110" w:type="dxa"/>
              <w:bottom w:w="100" w:type="dxa"/>
              <w:end w:w="110" w:type="dxa"/>
            </w:tcMar>
            <w:vAlign w:val="center"/>
          </w:tcPr>
          <w:p>
            <w:pPr>
              <w:spacing w:after="0"/>
            </w:pPr>
            <w:r>
              <w:rPr>
                <w:sz w:val="17"/>
              </w:rPr>
              <w:t>FND-005</w:t>
            </w:r>
          </w:p>
        </w:tc>
        <w:tc>
          <w:tcPr>
            <w:tcW w:type="dxa" w:w="1944"/>
            <w:tcMar>
              <w:top w:w="100" w:type="dxa"/>
              <w:start w:w="110" w:type="dxa"/>
              <w:bottom w:w="100" w:type="dxa"/>
              <w:end w:w="110" w:type="dxa"/>
            </w:tcMar>
            <w:vAlign w:val="center"/>
          </w:tcPr>
          <w:p>
            <w:pPr>
              <w:spacing w:after="0"/>
            </w:pPr>
            <w:r>
              <w:rPr>
                <w:sz w:val="17"/>
              </w:rPr>
              <w:t>Surface</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Canvas/panel/elevated surface</w:t>
            </w:r>
          </w:p>
        </w:tc>
        <w:tc>
          <w:tcPr>
            <w:tcW w:type="dxa" w:w="1800"/>
            <w:tcMar>
              <w:top w:w="100" w:type="dxa"/>
              <w:start w:w="110" w:type="dxa"/>
              <w:bottom w:w="100" w:type="dxa"/>
              <w:end w:w="110" w:type="dxa"/>
            </w:tcMar>
            <w:vAlign w:val="center"/>
          </w:tcPr>
          <w:p>
            <w:pPr>
              <w:spacing w:after="0"/>
            </w:pPr>
            <w:r>
              <w:rPr>
                <w:sz w:val="17"/>
              </w:rPr>
              <w:t>All</w:t>
            </w:r>
          </w:p>
        </w:tc>
        <w:tc>
          <w:tcPr>
            <w:tcW w:type="dxa" w:w="1655"/>
            <w:tcMar>
              <w:top w:w="100" w:type="dxa"/>
              <w:start w:w="110" w:type="dxa"/>
              <w:bottom w:w="100" w:type="dxa"/>
              <w:end w:w="110" w:type="dxa"/>
            </w:tcMar>
            <w:vAlign w:val="center"/>
          </w:tcPr>
          <w:p>
            <w:pPr>
              <w:spacing w:after="0"/>
            </w:pPr>
            <w:r>
              <w:rPr>
                <w:sz w:val="17"/>
              </w:rPr>
              <w:t>surface tokens</w:t>
            </w:r>
          </w:p>
        </w:tc>
      </w:tr>
    </w:tbl>
    <w:p>
      <w:pPr>
        <w:spacing w:after="20"/>
      </w:pPr>
    </w:p>
    <w:p>
      <w:pPr>
        <w:pStyle w:val="Heading2"/>
      </w:pPr>
      <w:r>
        <w:t>General components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936"/>
            <w:shd w:fill="DCE8F3"/>
            <w:tcMar>
              <w:top w:w="100" w:type="dxa"/>
              <w:start w:w="110" w:type="dxa"/>
              <w:bottom w:w="100" w:type="dxa"/>
              <w:end w:w="110" w:type="dxa"/>
            </w:tcMar>
            <w:vAlign w:val="center"/>
          </w:tcPr>
          <w:p>
            <w:pPr>
              <w:jc w:val="center"/>
            </w:pPr>
            <w:r>
              <w:rPr>
                <w:b/>
                <w:color w:val="1C4160"/>
                <w:sz w:val="18"/>
              </w:rPr>
              <w:t>ID</w:t>
            </w:r>
          </w:p>
        </w:tc>
        <w:tc>
          <w:tcPr>
            <w:tcW w:type="dxa" w:w="1944"/>
            <w:shd w:fill="DCE8F3"/>
            <w:tcMar>
              <w:top w:w="100" w:type="dxa"/>
              <w:start w:w="110" w:type="dxa"/>
              <w:bottom w:w="100" w:type="dxa"/>
              <w:end w:w="110" w:type="dxa"/>
            </w:tcMar>
            <w:vAlign w:val="center"/>
          </w:tcPr>
          <w:p>
            <w:pPr>
              <w:jc w:val="center"/>
            </w:pPr>
            <w:r>
              <w:rPr>
                <w:b/>
                <w:color w:val="1C4160"/>
                <w:sz w:val="18"/>
              </w:rPr>
              <w:t>Component</w:t>
            </w:r>
          </w:p>
        </w:tc>
        <w:tc>
          <w:tcPr>
            <w:tcW w:type="dxa" w:w="792"/>
            <w:shd w:fill="DCE8F3"/>
            <w:tcMar>
              <w:top w:w="100" w:type="dxa"/>
              <w:start w:w="110" w:type="dxa"/>
              <w:bottom w:w="100" w:type="dxa"/>
              <w:end w:w="110" w:type="dxa"/>
            </w:tcMar>
            <w:vAlign w:val="center"/>
          </w:tcPr>
          <w:p>
            <w:pPr>
              <w:jc w:val="center"/>
            </w:pPr>
            <w:r>
              <w:rPr>
                <w:b/>
                <w:color w:val="1C4160"/>
                <w:sz w:val="18"/>
              </w:rPr>
              <w:t>Priority</w:t>
            </w:r>
          </w:p>
        </w:tc>
        <w:tc>
          <w:tcPr>
            <w:tcW w:type="dxa" w:w="3311"/>
            <w:shd w:fill="DCE8F3"/>
            <w:tcMar>
              <w:top w:w="100" w:type="dxa"/>
              <w:start w:w="110" w:type="dxa"/>
              <w:bottom w:w="100" w:type="dxa"/>
              <w:end w:w="110" w:type="dxa"/>
            </w:tcMar>
            <w:vAlign w:val="center"/>
          </w:tcPr>
          <w:p>
            <w:pPr>
              <w:jc w:val="center"/>
            </w:pPr>
            <w:r>
              <w:rPr>
                <w:b/>
                <w:color w:val="1C4160"/>
                <w:sz w:val="18"/>
              </w:rPr>
              <w:t>Purpose</w:t>
            </w:r>
          </w:p>
        </w:tc>
        <w:tc>
          <w:tcPr>
            <w:tcW w:type="dxa" w:w="1800"/>
            <w:shd w:fill="DCE8F3"/>
            <w:tcMar>
              <w:top w:w="100" w:type="dxa"/>
              <w:start w:w="110" w:type="dxa"/>
              <w:bottom w:w="100" w:type="dxa"/>
              <w:end w:w="110" w:type="dxa"/>
            </w:tcMar>
            <w:vAlign w:val="center"/>
          </w:tcPr>
          <w:p>
            <w:pPr>
              <w:jc w:val="center"/>
            </w:pPr>
            <w:r>
              <w:rPr>
                <w:b/>
                <w:color w:val="1C4160"/>
                <w:sz w:val="18"/>
              </w:rPr>
              <w:t>Primary usage</w:t>
            </w:r>
          </w:p>
        </w:tc>
        <w:tc>
          <w:tcPr>
            <w:tcW w:type="dxa" w:w="1655"/>
            <w:shd w:fill="DCE8F3"/>
            <w:tcMar>
              <w:top w:w="100" w:type="dxa"/>
              <w:start w:w="110" w:type="dxa"/>
              <w:bottom w:w="100" w:type="dxa"/>
              <w:end w:w="110" w:type="dxa"/>
            </w:tcMar>
            <w:vAlign w:val="center"/>
          </w:tcPr>
          <w:p>
            <w:pPr>
              <w:jc w:val="center"/>
            </w:pPr>
            <w:r>
              <w:rPr>
                <w:b/>
                <w:color w:val="1C4160"/>
                <w:sz w:val="18"/>
              </w:rPr>
              <w:t>Semantic owner</w:t>
            </w:r>
          </w:p>
        </w:tc>
      </w:tr>
      <w:tr>
        <w:trPr>
          <w:cantSplit/>
        </w:trPr>
        <w:tc>
          <w:tcPr>
            <w:tcW w:type="dxa" w:w="936"/>
            <w:tcMar>
              <w:top w:w="100" w:type="dxa"/>
              <w:start w:w="110" w:type="dxa"/>
              <w:bottom w:w="100" w:type="dxa"/>
              <w:end w:w="110" w:type="dxa"/>
            </w:tcMar>
            <w:vAlign w:val="center"/>
          </w:tcPr>
          <w:p>
            <w:pPr>
              <w:spacing w:after="0"/>
            </w:pPr>
            <w:r>
              <w:rPr>
                <w:sz w:val="17"/>
              </w:rPr>
              <w:t>GEN-001</w:t>
            </w:r>
          </w:p>
        </w:tc>
        <w:tc>
          <w:tcPr>
            <w:tcW w:type="dxa" w:w="1944"/>
            <w:tcMar>
              <w:top w:w="100" w:type="dxa"/>
              <w:start w:w="110" w:type="dxa"/>
              <w:bottom w:w="100" w:type="dxa"/>
              <w:end w:w="110" w:type="dxa"/>
            </w:tcMar>
            <w:vAlign w:val="center"/>
          </w:tcPr>
          <w:p>
            <w:pPr>
              <w:spacing w:after="0"/>
            </w:pPr>
            <w:r>
              <w:rPr>
                <w:sz w:val="17"/>
              </w:rPr>
              <w:t>Button</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Primary/secondary/quiet/destructive actions</w:t>
            </w:r>
          </w:p>
        </w:tc>
        <w:tc>
          <w:tcPr>
            <w:tcW w:type="dxa" w:w="1800"/>
            <w:tcMar>
              <w:top w:w="100" w:type="dxa"/>
              <w:start w:w="110" w:type="dxa"/>
              <w:bottom w:w="100" w:type="dxa"/>
              <w:end w:w="110" w:type="dxa"/>
            </w:tcMar>
            <w:vAlign w:val="center"/>
          </w:tcPr>
          <w:p>
            <w:pPr>
              <w:spacing w:after="0"/>
            </w:pPr>
            <w:r>
              <w:rPr>
                <w:sz w:val="17"/>
              </w:rPr>
              <w:t>All</w:t>
            </w:r>
          </w:p>
        </w:tc>
        <w:tc>
          <w:tcPr>
            <w:tcW w:type="dxa" w:w="1655"/>
            <w:tcMar>
              <w:top w:w="100" w:type="dxa"/>
              <w:start w:w="110" w:type="dxa"/>
              <w:bottom w:w="100" w:type="dxa"/>
              <w:end w:w="110" w:type="dxa"/>
            </w:tcMar>
            <w:vAlign w:val="center"/>
          </w:tcPr>
          <w:p>
            <w:pPr>
              <w:spacing w:after="0"/>
            </w:pPr>
            <w:r>
              <w:rPr>
                <w:sz w:val="17"/>
              </w:rPr>
              <w:t>action semantics</w:t>
            </w:r>
          </w:p>
        </w:tc>
      </w:tr>
      <w:tr>
        <w:trPr>
          <w:cantSplit/>
        </w:trPr>
        <w:tc>
          <w:tcPr>
            <w:tcW w:type="dxa" w:w="936"/>
            <w:tcMar>
              <w:top w:w="100" w:type="dxa"/>
              <w:start w:w="110" w:type="dxa"/>
              <w:bottom w:w="100" w:type="dxa"/>
              <w:end w:w="110" w:type="dxa"/>
            </w:tcMar>
            <w:vAlign w:val="center"/>
          </w:tcPr>
          <w:p>
            <w:pPr>
              <w:spacing w:after="0"/>
            </w:pPr>
            <w:r>
              <w:rPr>
                <w:sz w:val="17"/>
              </w:rPr>
              <w:t>GEN-002</w:t>
            </w:r>
          </w:p>
        </w:tc>
        <w:tc>
          <w:tcPr>
            <w:tcW w:type="dxa" w:w="1944"/>
            <w:tcMar>
              <w:top w:w="100" w:type="dxa"/>
              <w:start w:w="110" w:type="dxa"/>
              <w:bottom w:w="100" w:type="dxa"/>
              <w:end w:w="110" w:type="dxa"/>
            </w:tcMar>
            <w:vAlign w:val="center"/>
          </w:tcPr>
          <w:p>
            <w:pPr>
              <w:spacing w:after="0"/>
            </w:pPr>
            <w:r>
              <w:rPr>
                <w:sz w:val="17"/>
              </w:rPr>
              <w:t>IconButton</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Compact labelled action</w:t>
            </w:r>
          </w:p>
        </w:tc>
        <w:tc>
          <w:tcPr>
            <w:tcW w:type="dxa" w:w="1800"/>
            <w:tcMar>
              <w:top w:w="100" w:type="dxa"/>
              <w:start w:w="110" w:type="dxa"/>
              <w:bottom w:w="100" w:type="dxa"/>
              <w:end w:w="110" w:type="dxa"/>
            </w:tcMar>
            <w:vAlign w:val="center"/>
          </w:tcPr>
          <w:p>
            <w:pPr>
              <w:spacing w:after="0"/>
            </w:pPr>
            <w:r>
              <w:rPr>
                <w:sz w:val="17"/>
              </w:rPr>
              <w:t>All</w:t>
            </w:r>
          </w:p>
        </w:tc>
        <w:tc>
          <w:tcPr>
            <w:tcW w:type="dxa" w:w="1655"/>
            <w:tcMar>
              <w:top w:w="100" w:type="dxa"/>
              <w:start w:w="110" w:type="dxa"/>
              <w:bottom w:w="100" w:type="dxa"/>
              <w:end w:w="110" w:type="dxa"/>
            </w:tcMar>
            <w:vAlign w:val="center"/>
          </w:tcPr>
          <w:p>
            <w:pPr>
              <w:spacing w:after="0"/>
            </w:pPr>
            <w:r>
              <w:rPr>
                <w:sz w:val="17"/>
              </w:rPr>
              <w:t>action semantics</w:t>
            </w:r>
          </w:p>
        </w:tc>
      </w:tr>
      <w:tr>
        <w:trPr>
          <w:cantSplit/>
        </w:trPr>
        <w:tc>
          <w:tcPr>
            <w:tcW w:type="dxa" w:w="936"/>
            <w:tcMar>
              <w:top w:w="100" w:type="dxa"/>
              <w:start w:w="110" w:type="dxa"/>
              <w:bottom w:w="100" w:type="dxa"/>
              <w:end w:w="110" w:type="dxa"/>
            </w:tcMar>
            <w:vAlign w:val="center"/>
          </w:tcPr>
          <w:p>
            <w:pPr>
              <w:spacing w:after="0"/>
            </w:pPr>
            <w:r>
              <w:rPr>
                <w:sz w:val="17"/>
              </w:rPr>
              <w:t>GEN-003</w:t>
            </w:r>
          </w:p>
        </w:tc>
        <w:tc>
          <w:tcPr>
            <w:tcW w:type="dxa" w:w="1944"/>
            <w:tcMar>
              <w:top w:w="100" w:type="dxa"/>
              <w:start w:w="110" w:type="dxa"/>
              <w:bottom w:w="100" w:type="dxa"/>
              <w:end w:w="110" w:type="dxa"/>
            </w:tcMar>
            <w:vAlign w:val="center"/>
          </w:tcPr>
          <w:p>
            <w:pPr>
              <w:spacing w:after="0"/>
            </w:pPr>
            <w:r>
              <w:rPr>
                <w:sz w:val="17"/>
              </w:rPr>
              <w:t>Link</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Internal/external navigation link</w:t>
            </w:r>
          </w:p>
        </w:tc>
        <w:tc>
          <w:tcPr>
            <w:tcW w:type="dxa" w:w="1800"/>
            <w:tcMar>
              <w:top w:w="100" w:type="dxa"/>
              <w:start w:w="110" w:type="dxa"/>
              <w:bottom w:w="100" w:type="dxa"/>
              <w:end w:w="110" w:type="dxa"/>
            </w:tcMar>
            <w:vAlign w:val="center"/>
          </w:tcPr>
          <w:p>
            <w:pPr>
              <w:spacing w:after="0"/>
            </w:pPr>
            <w:r>
              <w:rPr>
                <w:sz w:val="17"/>
              </w:rPr>
              <w:t>All</w:t>
            </w:r>
          </w:p>
        </w:tc>
        <w:tc>
          <w:tcPr>
            <w:tcW w:type="dxa" w:w="1655"/>
            <w:tcMar>
              <w:top w:w="100" w:type="dxa"/>
              <w:start w:w="110" w:type="dxa"/>
              <w:bottom w:w="100" w:type="dxa"/>
              <w:end w:w="110" w:type="dxa"/>
            </w:tcMar>
            <w:vAlign w:val="center"/>
          </w:tcPr>
          <w:p>
            <w:pPr>
              <w:spacing w:after="0"/>
            </w:pPr>
            <w:r>
              <w:rPr>
                <w:sz w:val="17"/>
              </w:rPr>
              <w:t>navigation</w:t>
            </w:r>
          </w:p>
        </w:tc>
      </w:tr>
      <w:tr>
        <w:trPr>
          <w:cantSplit/>
        </w:trPr>
        <w:tc>
          <w:tcPr>
            <w:tcW w:type="dxa" w:w="936"/>
            <w:tcMar>
              <w:top w:w="100" w:type="dxa"/>
              <w:start w:w="110" w:type="dxa"/>
              <w:bottom w:w="100" w:type="dxa"/>
              <w:end w:w="110" w:type="dxa"/>
            </w:tcMar>
            <w:vAlign w:val="center"/>
          </w:tcPr>
          <w:p>
            <w:pPr>
              <w:spacing w:after="0"/>
            </w:pPr>
            <w:r>
              <w:rPr>
                <w:sz w:val="17"/>
              </w:rPr>
              <w:t>GEN-004</w:t>
            </w:r>
          </w:p>
        </w:tc>
        <w:tc>
          <w:tcPr>
            <w:tcW w:type="dxa" w:w="1944"/>
            <w:tcMar>
              <w:top w:w="100" w:type="dxa"/>
              <w:start w:w="110" w:type="dxa"/>
              <w:bottom w:w="100" w:type="dxa"/>
              <w:end w:w="110" w:type="dxa"/>
            </w:tcMar>
            <w:vAlign w:val="center"/>
          </w:tcPr>
          <w:p>
            <w:pPr>
              <w:spacing w:after="0"/>
            </w:pPr>
            <w:r>
              <w:rPr>
                <w:sz w:val="17"/>
              </w:rPr>
              <w:t>TextInput</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Single-line text field</w:t>
            </w:r>
          </w:p>
        </w:tc>
        <w:tc>
          <w:tcPr>
            <w:tcW w:type="dxa" w:w="1800"/>
            <w:tcMar>
              <w:top w:w="100" w:type="dxa"/>
              <w:start w:w="110" w:type="dxa"/>
              <w:bottom w:w="100" w:type="dxa"/>
              <w:end w:w="110" w:type="dxa"/>
            </w:tcMar>
            <w:vAlign w:val="center"/>
          </w:tcPr>
          <w:p>
            <w:pPr>
              <w:spacing w:after="0"/>
            </w:pPr>
            <w:r>
              <w:rPr>
                <w:sz w:val="17"/>
              </w:rPr>
              <w:t>Forms</w:t>
            </w:r>
          </w:p>
        </w:tc>
        <w:tc>
          <w:tcPr>
            <w:tcW w:type="dxa" w:w="1655"/>
            <w:tcMar>
              <w:top w:w="100" w:type="dxa"/>
              <w:start w:w="110" w:type="dxa"/>
              <w:bottom w:w="100" w:type="dxa"/>
              <w:end w:w="110" w:type="dxa"/>
            </w:tcMar>
            <w:vAlign w:val="center"/>
          </w:tcPr>
          <w:p>
            <w:pPr>
              <w:spacing w:after="0"/>
            </w:pPr>
            <w:r>
              <w:rPr>
                <w:sz w:val="17"/>
              </w:rPr>
              <w:t>form controls</w:t>
            </w:r>
          </w:p>
        </w:tc>
      </w:tr>
      <w:tr>
        <w:trPr>
          <w:cantSplit/>
        </w:trPr>
        <w:tc>
          <w:tcPr>
            <w:tcW w:type="dxa" w:w="936"/>
            <w:tcMar>
              <w:top w:w="100" w:type="dxa"/>
              <w:start w:w="110" w:type="dxa"/>
              <w:bottom w:w="100" w:type="dxa"/>
              <w:end w:w="110" w:type="dxa"/>
            </w:tcMar>
            <w:vAlign w:val="center"/>
          </w:tcPr>
          <w:p>
            <w:pPr>
              <w:spacing w:after="0"/>
            </w:pPr>
            <w:r>
              <w:rPr>
                <w:sz w:val="17"/>
              </w:rPr>
              <w:t>GEN-005</w:t>
            </w:r>
          </w:p>
        </w:tc>
        <w:tc>
          <w:tcPr>
            <w:tcW w:type="dxa" w:w="1944"/>
            <w:tcMar>
              <w:top w:w="100" w:type="dxa"/>
              <w:start w:w="110" w:type="dxa"/>
              <w:bottom w:w="100" w:type="dxa"/>
              <w:end w:w="110" w:type="dxa"/>
            </w:tcMar>
            <w:vAlign w:val="center"/>
          </w:tcPr>
          <w:p>
            <w:pPr>
              <w:spacing w:after="0"/>
            </w:pPr>
            <w:r>
              <w:rPr>
                <w:sz w:val="17"/>
              </w:rPr>
              <w:t>TextArea</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Long-form input</w:t>
            </w:r>
          </w:p>
        </w:tc>
        <w:tc>
          <w:tcPr>
            <w:tcW w:type="dxa" w:w="1800"/>
            <w:tcMar>
              <w:top w:w="100" w:type="dxa"/>
              <w:start w:w="110" w:type="dxa"/>
              <w:bottom w:w="100" w:type="dxa"/>
              <w:end w:w="110" w:type="dxa"/>
            </w:tcMar>
            <w:vAlign w:val="center"/>
          </w:tcPr>
          <w:p>
            <w:pPr>
              <w:spacing w:after="0"/>
            </w:pPr>
            <w:r>
              <w:rPr>
                <w:sz w:val="17"/>
              </w:rPr>
              <w:t>Editors</w:t>
            </w:r>
          </w:p>
        </w:tc>
        <w:tc>
          <w:tcPr>
            <w:tcW w:type="dxa" w:w="1655"/>
            <w:tcMar>
              <w:top w:w="100" w:type="dxa"/>
              <w:start w:w="110" w:type="dxa"/>
              <w:bottom w:w="100" w:type="dxa"/>
              <w:end w:w="110" w:type="dxa"/>
            </w:tcMar>
            <w:vAlign w:val="center"/>
          </w:tcPr>
          <w:p>
            <w:pPr>
              <w:spacing w:after="0"/>
            </w:pPr>
            <w:r>
              <w:rPr>
                <w:sz w:val="17"/>
              </w:rPr>
              <w:t>form controls</w:t>
            </w:r>
          </w:p>
        </w:tc>
      </w:tr>
      <w:tr>
        <w:trPr>
          <w:cantSplit/>
        </w:trPr>
        <w:tc>
          <w:tcPr>
            <w:tcW w:type="dxa" w:w="936"/>
            <w:tcMar>
              <w:top w:w="100" w:type="dxa"/>
              <w:start w:w="110" w:type="dxa"/>
              <w:bottom w:w="100" w:type="dxa"/>
              <w:end w:w="110" w:type="dxa"/>
            </w:tcMar>
            <w:vAlign w:val="center"/>
          </w:tcPr>
          <w:p>
            <w:pPr>
              <w:spacing w:after="0"/>
            </w:pPr>
            <w:r>
              <w:rPr>
                <w:sz w:val="17"/>
              </w:rPr>
              <w:t>GEN-006</w:t>
            </w:r>
          </w:p>
        </w:tc>
        <w:tc>
          <w:tcPr>
            <w:tcW w:type="dxa" w:w="1944"/>
            <w:tcMar>
              <w:top w:w="100" w:type="dxa"/>
              <w:start w:w="110" w:type="dxa"/>
              <w:bottom w:w="100" w:type="dxa"/>
              <w:end w:w="110" w:type="dxa"/>
            </w:tcMar>
            <w:vAlign w:val="center"/>
          </w:tcPr>
          <w:p>
            <w:pPr>
              <w:spacing w:after="0"/>
            </w:pPr>
            <w:r>
              <w:rPr>
                <w:sz w:val="17"/>
              </w:rPr>
              <w:t>Select</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Controlled vocabulary selection</w:t>
            </w:r>
          </w:p>
        </w:tc>
        <w:tc>
          <w:tcPr>
            <w:tcW w:type="dxa" w:w="1800"/>
            <w:tcMar>
              <w:top w:w="100" w:type="dxa"/>
              <w:start w:w="110" w:type="dxa"/>
              <w:bottom w:w="100" w:type="dxa"/>
              <w:end w:w="110" w:type="dxa"/>
            </w:tcMar>
            <w:vAlign w:val="center"/>
          </w:tcPr>
          <w:p>
            <w:pPr>
              <w:spacing w:after="0"/>
            </w:pPr>
            <w:r>
              <w:rPr>
                <w:sz w:val="17"/>
              </w:rPr>
              <w:t>Forms</w:t>
            </w:r>
          </w:p>
        </w:tc>
        <w:tc>
          <w:tcPr>
            <w:tcW w:type="dxa" w:w="1655"/>
            <w:tcMar>
              <w:top w:w="100" w:type="dxa"/>
              <w:start w:w="110" w:type="dxa"/>
              <w:bottom w:w="100" w:type="dxa"/>
              <w:end w:w="110" w:type="dxa"/>
            </w:tcMar>
            <w:vAlign w:val="center"/>
          </w:tcPr>
          <w:p>
            <w:pPr>
              <w:spacing w:after="0"/>
            </w:pPr>
            <w:r>
              <w:rPr>
                <w:sz w:val="17"/>
              </w:rPr>
              <w:t>form controls</w:t>
            </w:r>
          </w:p>
        </w:tc>
      </w:tr>
      <w:tr>
        <w:trPr>
          <w:cantSplit/>
        </w:trPr>
        <w:tc>
          <w:tcPr>
            <w:tcW w:type="dxa" w:w="936"/>
            <w:tcMar>
              <w:top w:w="100" w:type="dxa"/>
              <w:start w:w="110" w:type="dxa"/>
              <w:bottom w:w="100" w:type="dxa"/>
              <w:end w:w="110" w:type="dxa"/>
            </w:tcMar>
            <w:vAlign w:val="center"/>
          </w:tcPr>
          <w:p>
            <w:pPr>
              <w:spacing w:after="0"/>
            </w:pPr>
            <w:r>
              <w:rPr>
                <w:sz w:val="17"/>
              </w:rPr>
              <w:t>GEN-007</w:t>
            </w:r>
          </w:p>
        </w:tc>
        <w:tc>
          <w:tcPr>
            <w:tcW w:type="dxa" w:w="1944"/>
            <w:tcMar>
              <w:top w:w="100" w:type="dxa"/>
              <w:start w:w="110" w:type="dxa"/>
              <w:bottom w:w="100" w:type="dxa"/>
              <w:end w:w="110" w:type="dxa"/>
            </w:tcMar>
            <w:vAlign w:val="center"/>
          </w:tcPr>
          <w:p>
            <w:pPr>
              <w:spacing w:after="0"/>
            </w:pPr>
            <w:r>
              <w:rPr>
                <w:sz w:val="17"/>
              </w:rPr>
              <w:t>Combobox</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Search/select canonical object or term</w:t>
            </w:r>
          </w:p>
        </w:tc>
        <w:tc>
          <w:tcPr>
            <w:tcW w:type="dxa" w:w="1800"/>
            <w:tcMar>
              <w:top w:w="100" w:type="dxa"/>
              <w:start w:w="110" w:type="dxa"/>
              <w:bottom w:w="100" w:type="dxa"/>
              <w:end w:w="110" w:type="dxa"/>
            </w:tcMar>
            <w:vAlign w:val="center"/>
          </w:tcPr>
          <w:p>
            <w:pPr>
              <w:spacing w:after="0"/>
            </w:pPr>
            <w:r>
              <w:rPr>
                <w:sz w:val="17"/>
              </w:rPr>
              <w:t>Forms</w:t>
            </w:r>
          </w:p>
        </w:tc>
        <w:tc>
          <w:tcPr>
            <w:tcW w:type="dxa" w:w="1655"/>
            <w:tcMar>
              <w:top w:w="100" w:type="dxa"/>
              <w:start w:w="110" w:type="dxa"/>
              <w:bottom w:w="100" w:type="dxa"/>
              <w:end w:w="110" w:type="dxa"/>
            </w:tcMar>
            <w:vAlign w:val="center"/>
          </w:tcPr>
          <w:p>
            <w:pPr>
              <w:spacing w:after="0"/>
            </w:pPr>
            <w:r>
              <w:rPr>
                <w:sz w:val="17"/>
              </w:rPr>
              <w:t>findability</w:t>
            </w:r>
          </w:p>
        </w:tc>
      </w:tr>
      <w:tr>
        <w:trPr>
          <w:cantSplit/>
        </w:trPr>
        <w:tc>
          <w:tcPr>
            <w:tcW w:type="dxa" w:w="936"/>
            <w:tcMar>
              <w:top w:w="100" w:type="dxa"/>
              <w:start w:w="110" w:type="dxa"/>
              <w:bottom w:w="100" w:type="dxa"/>
              <w:end w:w="110" w:type="dxa"/>
            </w:tcMar>
            <w:vAlign w:val="center"/>
          </w:tcPr>
          <w:p>
            <w:pPr>
              <w:spacing w:after="0"/>
            </w:pPr>
            <w:r>
              <w:rPr>
                <w:sz w:val="17"/>
              </w:rPr>
              <w:t>GEN-008</w:t>
            </w:r>
          </w:p>
        </w:tc>
        <w:tc>
          <w:tcPr>
            <w:tcW w:type="dxa" w:w="1944"/>
            <w:tcMar>
              <w:top w:w="100" w:type="dxa"/>
              <w:start w:w="110" w:type="dxa"/>
              <w:bottom w:w="100" w:type="dxa"/>
              <w:end w:w="110" w:type="dxa"/>
            </w:tcMar>
            <w:vAlign w:val="center"/>
          </w:tcPr>
          <w:p>
            <w:pPr>
              <w:spacing w:after="0"/>
            </w:pPr>
            <w:r>
              <w:rPr>
                <w:sz w:val="17"/>
              </w:rPr>
              <w:t>Checkbox</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Independent binary selection</w:t>
            </w:r>
          </w:p>
        </w:tc>
        <w:tc>
          <w:tcPr>
            <w:tcW w:type="dxa" w:w="1800"/>
            <w:tcMar>
              <w:top w:w="100" w:type="dxa"/>
              <w:start w:w="110" w:type="dxa"/>
              <w:bottom w:w="100" w:type="dxa"/>
              <w:end w:w="110" w:type="dxa"/>
            </w:tcMar>
            <w:vAlign w:val="center"/>
          </w:tcPr>
          <w:p>
            <w:pPr>
              <w:spacing w:after="0"/>
            </w:pPr>
            <w:r>
              <w:rPr>
                <w:sz w:val="17"/>
              </w:rPr>
              <w:t>Forms</w:t>
            </w:r>
          </w:p>
        </w:tc>
        <w:tc>
          <w:tcPr>
            <w:tcW w:type="dxa" w:w="1655"/>
            <w:tcMar>
              <w:top w:w="100" w:type="dxa"/>
              <w:start w:w="110" w:type="dxa"/>
              <w:bottom w:w="100" w:type="dxa"/>
              <w:end w:w="110" w:type="dxa"/>
            </w:tcMar>
            <w:vAlign w:val="center"/>
          </w:tcPr>
          <w:p>
            <w:pPr>
              <w:spacing w:after="0"/>
            </w:pPr>
            <w:r>
              <w:rPr>
                <w:sz w:val="17"/>
              </w:rPr>
              <w:t>form controls</w:t>
            </w:r>
          </w:p>
        </w:tc>
      </w:tr>
      <w:tr>
        <w:trPr>
          <w:cantSplit/>
        </w:trPr>
        <w:tc>
          <w:tcPr>
            <w:tcW w:type="dxa" w:w="936"/>
            <w:tcMar>
              <w:top w:w="100" w:type="dxa"/>
              <w:start w:w="110" w:type="dxa"/>
              <w:bottom w:w="100" w:type="dxa"/>
              <w:end w:w="110" w:type="dxa"/>
            </w:tcMar>
            <w:vAlign w:val="center"/>
          </w:tcPr>
          <w:p>
            <w:pPr>
              <w:spacing w:after="0"/>
            </w:pPr>
            <w:r>
              <w:rPr>
                <w:sz w:val="17"/>
              </w:rPr>
              <w:t>GEN-009</w:t>
            </w:r>
          </w:p>
        </w:tc>
        <w:tc>
          <w:tcPr>
            <w:tcW w:type="dxa" w:w="1944"/>
            <w:tcMar>
              <w:top w:w="100" w:type="dxa"/>
              <w:start w:w="110" w:type="dxa"/>
              <w:bottom w:w="100" w:type="dxa"/>
              <w:end w:w="110" w:type="dxa"/>
            </w:tcMar>
            <w:vAlign w:val="center"/>
          </w:tcPr>
          <w:p>
            <w:pPr>
              <w:spacing w:after="0"/>
            </w:pPr>
            <w:r>
              <w:rPr>
                <w:sz w:val="17"/>
              </w:rPr>
              <w:t>RadioGroup</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Mutually exclusive selection</w:t>
            </w:r>
          </w:p>
        </w:tc>
        <w:tc>
          <w:tcPr>
            <w:tcW w:type="dxa" w:w="1800"/>
            <w:tcMar>
              <w:top w:w="100" w:type="dxa"/>
              <w:start w:w="110" w:type="dxa"/>
              <w:bottom w:w="100" w:type="dxa"/>
              <w:end w:w="110" w:type="dxa"/>
            </w:tcMar>
            <w:vAlign w:val="center"/>
          </w:tcPr>
          <w:p>
            <w:pPr>
              <w:spacing w:after="0"/>
            </w:pPr>
            <w:r>
              <w:rPr>
                <w:sz w:val="17"/>
              </w:rPr>
              <w:t>Forms</w:t>
            </w:r>
          </w:p>
        </w:tc>
        <w:tc>
          <w:tcPr>
            <w:tcW w:type="dxa" w:w="1655"/>
            <w:tcMar>
              <w:top w:w="100" w:type="dxa"/>
              <w:start w:w="110" w:type="dxa"/>
              <w:bottom w:w="100" w:type="dxa"/>
              <w:end w:w="110" w:type="dxa"/>
            </w:tcMar>
            <w:vAlign w:val="center"/>
          </w:tcPr>
          <w:p>
            <w:pPr>
              <w:spacing w:after="0"/>
            </w:pPr>
            <w:r>
              <w:rPr>
                <w:sz w:val="17"/>
              </w:rPr>
              <w:t>form controls</w:t>
            </w:r>
          </w:p>
        </w:tc>
      </w:tr>
      <w:tr>
        <w:trPr>
          <w:cantSplit/>
        </w:trPr>
        <w:tc>
          <w:tcPr>
            <w:tcW w:type="dxa" w:w="936"/>
            <w:tcMar>
              <w:top w:w="100" w:type="dxa"/>
              <w:start w:w="110" w:type="dxa"/>
              <w:bottom w:w="100" w:type="dxa"/>
              <w:end w:w="110" w:type="dxa"/>
            </w:tcMar>
            <w:vAlign w:val="center"/>
          </w:tcPr>
          <w:p>
            <w:pPr>
              <w:spacing w:after="0"/>
            </w:pPr>
            <w:r>
              <w:rPr>
                <w:sz w:val="17"/>
              </w:rPr>
              <w:t>GEN-010</w:t>
            </w:r>
          </w:p>
        </w:tc>
        <w:tc>
          <w:tcPr>
            <w:tcW w:type="dxa" w:w="1944"/>
            <w:tcMar>
              <w:top w:w="100" w:type="dxa"/>
              <w:start w:w="110" w:type="dxa"/>
              <w:bottom w:w="100" w:type="dxa"/>
              <w:end w:w="110" w:type="dxa"/>
            </w:tcMar>
            <w:vAlign w:val="center"/>
          </w:tcPr>
          <w:p>
            <w:pPr>
              <w:spacing w:after="0"/>
            </w:pPr>
            <w:r>
              <w:rPr>
                <w:sz w:val="17"/>
              </w:rPr>
              <w:t>Switch</w:t>
            </w:r>
          </w:p>
        </w:tc>
        <w:tc>
          <w:tcPr>
            <w:tcW w:type="dxa" w:w="792"/>
            <w:tcMar>
              <w:top w:w="100" w:type="dxa"/>
              <w:start w:w="110" w:type="dxa"/>
              <w:bottom w:w="100" w:type="dxa"/>
              <w:end w:w="110" w:type="dxa"/>
            </w:tcMar>
            <w:vAlign w:val="center"/>
          </w:tcPr>
          <w:p>
            <w:pPr>
              <w:spacing w:after="0"/>
            </w:pPr>
            <w:r>
              <w:rPr>
                <w:sz w:val="17"/>
              </w:rPr>
              <w:t>P1</w:t>
            </w:r>
          </w:p>
        </w:tc>
        <w:tc>
          <w:tcPr>
            <w:tcW w:type="dxa" w:w="3311"/>
            <w:tcMar>
              <w:top w:w="100" w:type="dxa"/>
              <w:start w:w="110" w:type="dxa"/>
              <w:bottom w:w="100" w:type="dxa"/>
              <w:end w:w="110" w:type="dxa"/>
            </w:tcMar>
            <w:vAlign w:val="center"/>
          </w:tcPr>
          <w:p>
            <w:pPr>
              <w:spacing w:after="0"/>
            </w:pPr>
            <w:r>
              <w:rPr>
                <w:sz w:val="17"/>
              </w:rPr>
              <w:t>Immediate reversible setting</w:t>
            </w:r>
          </w:p>
        </w:tc>
        <w:tc>
          <w:tcPr>
            <w:tcW w:type="dxa" w:w="1800"/>
            <w:tcMar>
              <w:top w:w="100" w:type="dxa"/>
              <w:start w:w="110" w:type="dxa"/>
              <w:bottom w:w="100" w:type="dxa"/>
              <w:end w:w="110" w:type="dxa"/>
            </w:tcMar>
            <w:vAlign w:val="center"/>
          </w:tcPr>
          <w:p>
            <w:pPr>
              <w:spacing w:after="0"/>
            </w:pPr>
            <w:r>
              <w:rPr>
                <w:sz w:val="17"/>
              </w:rPr>
              <w:t>Admin</w:t>
            </w:r>
          </w:p>
        </w:tc>
        <w:tc>
          <w:tcPr>
            <w:tcW w:type="dxa" w:w="1655"/>
            <w:tcMar>
              <w:top w:w="100" w:type="dxa"/>
              <w:start w:w="110" w:type="dxa"/>
              <w:bottom w:w="100" w:type="dxa"/>
              <w:end w:w="110" w:type="dxa"/>
            </w:tcMar>
            <w:vAlign w:val="center"/>
          </w:tcPr>
          <w:p>
            <w:pPr>
              <w:spacing w:after="0"/>
            </w:pPr>
            <w:r>
              <w:rPr>
                <w:sz w:val="17"/>
              </w:rPr>
              <w:t>form controls</w:t>
            </w:r>
          </w:p>
        </w:tc>
      </w:tr>
      <w:tr>
        <w:trPr>
          <w:cantSplit/>
        </w:trPr>
        <w:tc>
          <w:tcPr>
            <w:tcW w:type="dxa" w:w="936"/>
            <w:tcMar>
              <w:top w:w="100" w:type="dxa"/>
              <w:start w:w="110" w:type="dxa"/>
              <w:bottom w:w="100" w:type="dxa"/>
              <w:end w:w="110" w:type="dxa"/>
            </w:tcMar>
            <w:vAlign w:val="center"/>
          </w:tcPr>
          <w:p>
            <w:pPr>
              <w:spacing w:after="0"/>
            </w:pPr>
            <w:r>
              <w:rPr>
                <w:sz w:val="17"/>
              </w:rPr>
              <w:t>GEN-011</w:t>
            </w:r>
          </w:p>
        </w:tc>
        <w:tc>
          <w:tcPr>
            <w:tcW w:type="dxa" w:w="1944"/>
            <w:tcMar>
              <w:top w:w="100" w:type="dxa"/>
              <w:start w:w="110" w:type="dxa"/>
              <w:bottom w:w="100" w:type="dxa"/>
              <w:end w:w="110" w:type="dxa"/>
            </w:tcMar>
            <w:vAlign w:val="center"/>
          </w:tcPr>
          <w:p>
            <w:pPr>
              <w:spacing w:after="0"/>
            </w:pPr>
            <w:r>
              <w:rPr>
                <w:sz w:val="17"/>
              </w:rPr>
              <w:t>DatePrecisionField</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Exact/month/year/range/unknown dates</w:t>
            </w:r>
          </w:p>
        </w:tc>
        <w:tc>
          <w:tcPr>
            <w:tcW w:type="dxa" w:w="1800"/>
            <w:tcMar>
              <w:top w:w="100" w:type="dxa"/>
              <w:start w:w="110" w:type="dxa"/>
              <w:bottom w:w="100" w:type="dxa"/>
              <w:end w:w="110" w:type="dxa"/>
            </w:tcMar>
            <w:vAlign w:val="center"/>
          </w:tcPr>
          <w:p>
            <w:pPr>
              <w:spacing w:after="0"/>
            </w:pPr>
            <w:r>
              <w:rPr>
                <w:sz w:val="17"/>
              </w:rPr>
              <w:t>Timeline</w:t>
            </w:r>
          </w:p>
        </w:tc>
        <w:tc>
          <w:tcPr>
            <w:tcW w:type="dxa" w:w="1655"/>
            <w:tcMar>
              <w:top w:w="100" w:type="dxa"/>
              <w:start w:w="110" w:type="dxa"/>
              <w:bottom w:w="100" w:type="dxa"/>
              <w:end w:w="110" w:type="dxa"/>
            </w:tcMar>
            <w:vAlign w:val="center"/>
          </w:tcPr>
          <w:p>
            <w:pPr>
              <w:spacing w:after="0"/>
            </w:pPr>
            <w:r>
              <w:rPr>
                <w:sz w:val="17"/>
              </w:rPr>
              <w:t>temporal semantics</w:t>
            </w:r>
          </w:p>
        </w:tc>
      </w:tr>
      <w:tr>
        <w:trPr>
          <w:cantSplit/>
        </w:trPr>
        <w:tc>
          <w:tcPr>
            <w:tcW w:type="dxa" w:w="936"/>
            <w:tcMar>
              <w:top w:w="100" w:type="dxa"/>
              <w:start w:w="110" w:type="dxa"/>
              <w:bottom w:w="100" w:type="dxa"/>
              <w:end w:w="110" w:type="dxa"/>
            </w:tcMar>
            <w:vAlign w:val="center"/>
          </w:tcPr>
          <w:p>
            <w:pPr>
              <w:spacing w:after="0"/>
            </w:pPr>
            <w:r>
              <w:rPr>
                <w:sz w:val="17"/>
              </w:rPr>
              <w:t>GEN-012</w:t>
            </w:r>
          </w:p>
        </w:tc>
        <w:tc>
          <w:tcPr>
            <w:tcW w:type="dxa" w:w="1944"/>
            <w:tcMar>
              <w:top w:w="100" w:type="dxa"/>
              <w:start w:w="110" w:type="dxa"/>
              <w:bottom w:w="100" w:type="dxa"/>
              <w:end w:w="110" w:type="dxa"/>
            </w:tcMar>
            <w:vAlign w:val="center"/>
          </w:tcPr>
          <w:p>
            <w:pPr>
              <w:spacing w:after="0"/>
            </w:pPr>
            <w:r>
              <w:rPr>
                <w:sz w:val="17"/>
              </w:rPr>
              <w:t>CurrencyValueField</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Known/range/approximate/unknown values</w:t>
            </w:r>
          </w:p>
        </w:tc>
        <w:tc>
          <w:tcPr>
            <w:tcW w:type="dxa" w:w="1800"/>
            <w:tcMar>
              <w:top w:w="100" w:type="dxa"/>
              <w:start w:w="110" w:type="dxa"/>
              <w:bottom w:w="100" w:type="dxa"/>
              <w:end w:w="110" w:type="dxa"/>
            </w:tcMar>
            <w:vAlign w:val="center"/>
          </w:tcPr>
          <w:p>
            <w:pPr>
              <w:spacing w:after="0"/>
            </w:pPr>
            <w:r>
              <w:rPr>
                <w:sz w:val="17"/>
              </w:rPr>
              <w:t>Value Flow</w:t>
            </w:r>
          </w:p>
        </w:tc>
        <w:tc>
          <w:tcPr>
            <w:tcW w:type="dxa" w:w="1655"/>
            <w:tcMar>
              <w:top w:w="100" w:type="dxa"/>
              <w:start w:w="110" w:type="dxa"/>
              <w:bottom w:w="100" w:type="dxa"/>
              <w:end w:w="110" w:type="dxa"/>
            </w:tcMar>
            <w:vAlign w:val="center"/>
          </w:tcPr>
          <w:p>
            <w:pPr>
              <w:spacing w:after="0"/>
            </w:pPr>
            <w:r>
              <w:rPr>
                <w:sz w:val="17"/>
              </w:rPr>
              <w:t>value semantics</w:t>
            </w:r>
          </w:p>
        </w:tc>
      </w:tr>
      <w:tr>
        <w:trPr>
          <w:cantSplit/>
        </w:trPr>
        <w:tc>
          <w:tcPr>
            <w:tcW w:type="dxa" w:w="936"/>
            <w:tcMar>
              <w:top w:w="100" w:type="dxa"/>
              <w:start w:w="110" w:type="dxa"/>
              <w:bottom w:w="100" w:type="dxa"/>
              <w:end w:w="110" w:type="dxa"/>
            </w:tcMar>
            <w:vAlign w:val="center"/>
          </w:tcPr>
          <w:p>
            <w:pPr>
              <w:spacing w:after="0"/>
            </w:pPr>
            <w:r>
              <w:rPr>
                <w:sz w:val="17"/>
              </w:rPr>
              <w:t>GEN-013</w:t>
            </w:r>
          </w:p>
        </w:tc>
        <w:tc>
          <w:tcPr>
            <w:tcW w:type="dxa" w:w="1944"/>
            <w:tcMar>
              <w:top w:w="100" w:type="dxa"/>
              <w:start w:w="110" w:type="dxa"/>
              <w:bottom w:w="100" w:type="dxa"/>
              <w:end w:w="110" w:type="dxa"/>
            </w:tcMar>
            <w:vAlign w:val="center"/>
          </w:tcPr>
          <w:p>
            <w:pPr>
              <w:spacing w:after="0"/>
            </w:pPr>
            <w:r>
              <w:rPr>
                <w:sz w:val="17"/>
              </w:rPr>
              <w:t>Badge</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Compact non-interactive semantic label</w:t>
            </w:r>
          </w:p>
        </w:tc>
        <w:tc>
          <w:tcPr>
            <w:tcW w:type="dxa" w:w="1800"/>
            <w:tcMar>
              <w:top w:w="100" w:type="dxa"/>
              <w:start w:w="110" w:type="dxa"/>
              <w:bottom w:w="100" w:type="dxa"/>
              <w:end w:w="110" w:type="dxa"/>
            </w:tcMar>
            <w:vAlign w:val="center"/>
          </w:tcPr>
          <w:p>
            <w:pPr>
              <w:spacing w:after="0"/>
            </w:pPr>
            <w:r>
              <w:rPr>
                <w:sz w:val="17"/>
              </w:rPr>
              <w:t>All</w:t>
            </w:r>
          </w:p>
        </w:tc>
        <w:tc>
          <w:tcPr>
            <w:tcW w:type="dxa" w:w="1655"/>
            <w:tcMar>
              <w:top w:w="100" w:type="dxa"/>
              <w:start w:w="110" w:type="dxa"/>
              <w:bottom w:w="100" w:type="dxa"/>
              <w:end w:w="110" w:type="dxa"/>
            </w:tcMar>
            <w:vAlign w:val="center"/>
          </w:tcPr>
          <w:p>
            <w:pPr>
              <w:spacing w:after="0"/>
            </w:pPr>
            <w:r>
              <w:rPr>
                <w:sz w:val="17"/>
              </w:rPr>
              <w:t>status</w:t>
            </w:r>
          </w:p>
        </w:tc>
      </w:tr>
      <w:tr>
        <w:trPr>
          <w:cantSplit/>
        </w:trPr>
        <w:tc>
          <w:tcPr>
            <w:tcW w:type="dxa" w:w="936"/>
            <w:tcMar>
              <w:top w:w="100" w:type="dxa"/>
              <w:start w:w="110" w:type="dxa"/>
              <w:bottom w:w="100" w:type="dxa"/>
              <w:end w:w="110" w:type="dxa"/>
            </w:tcMar>
            <w:vAlign w:val="center"/>
          </w:tcPr>
          <w:p>
            <w:pPr>
              <w:spacing w:after="0"/>
            </w:pPr>
            <w:r>
              <w:rPr>
                <w:sz w:val="17"/>
              </w:rPr>
              <w:t>GEN-014</w:t>
            </w:r>
          </w:p>
        </w:tc>
        <w:tc>
          <w:tcPr>
            <w:tcW w:type="dxa" w:w="1944"/>
            <w:tcMar>
              <w:top w:w="100" w:type="dxa"/>
              <w:start w:w="110" w:type="dxa"/>
              <w:bottom w:w="100" w:type="dxa"/>
              <w:end w:w="110" w:type="dxa"/>
            </w:tcMar>
            <w:vAlign w:val="center"/>
          </w:tcPr>
          <w:p>
            <w:pPr>
              <w:spacing w:after="0"/>
            </w:pPr>
            <w:r>
              <w:rPr>
                <w:sz w:val="17"/>
              </w:rPr>
              <w:t>Chip</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Removable/filter/token item</w:t>
            </w:r>
          </w:p>
        </w:tc>
        <w:tc>
          <w:tcPr>
            <w:tcW w:type="dxa" w:w="1800"/>
            <w:tcMar>
              <w:top w:w="100" w:type="dxa"/>
              <w:start w:w="110" w:type="dxa"/>
              <w:bottom w:w="100" w:type="dxa"/>
              <w:end w:w="110" w:type="dxa"/>
            </w:tcMar>
            <w:vAlign w:val="center"/>
          </w:tcPr>
          <w:p>
            <w:pPr>
              <w:spacing w:after="0"/>
            </w:pPr>
            <w:r>
              <w:rPr>
                <w:sz w:val="17"/>
              </w:rPr>
              <w:t>Search/filters</w:t>
            </w:r>
          </w:p>
        </w:tc>
        <w:tc>
          <w:tcPr>
            <w:tcW w:type="dxa" w:w="1655"/>
            <w:tcMar>
              <w:top w:w="100" w:type="dxa"/>
              <w:start w:w="110" w:type="dxa"/>
              <w:bottom w:w="100" w:type="dxa"/>
              <w:end w:w="110" w:type="dxa"/>
            </w:tcMar>
            <w:vAlign w:val="center"/>
          </w:tcPr>
          <w:p>
            <w:pPr>
              <w:spacing w:after="0"/>
            </w:pPr>
            <w:r>
              <w:rPr>
                <w:sz w:val="17"/>
              </w:rPr>
              <w:t>filters</w:t>
            </w:r>
          </w:p>
        </w:tc>
      </w:tr>
      <w:tr>
        <w:trPr>
          <w:cantSplit/>
        </w:trPr>
        <w:tc>
          <w:tcPr>
            <w:tcW w:type="dxa" w:w="936"/>
            <w:tcMar>
              <w:top w:w="100" w:type="dxa"/>
              <w:start w:w="110" w:type="dxa"/>
              <w:bottom w:w="100" w:type="dxa"/>
              <w:end w:w="110" w:type="dxa"/>
            </w:tcMar>
            <w:vAlign w:val="center"/>
          </w:tcPr>
          <w:p>
            <w:pPr>
              <w:spacing w:after="0"/>
            </w:pPr>
            <w:r>
              <w:rPr>
                <w:sz w:val="17"/>
              </w:rPr>
              <w:t>GEN-015</w:t>
            </w:r>
          </w:p>
        </w:tc>
        <w:tc>
          <w:tcPr>
            <w:tcW w:type="dxa" w:w="1944"/>
            <w:tcMar>
              <w:top w:w="100" w:type="dxa"/>
              <w:start w:w="110" w:type="dxa"/>
              <w:bottom w:w="100" w:type="dxa"/>
              <w:end w:w="110" w:type="dxa"/>
            </w:tcMar>
            <w:vAlign w:val="center"/>
          </w:tcPr>
          <w:p>
            <w:pPr>
              <w:spacing w:after="0"/>
            </w:pPr>
            <w:r>
              <w:rPr>
                <w:sz w:val="17"/>
              </w:rPr>
              <w:t>Alert</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Inline message with severity</w:t>
            </w:r>
          </w:p>
        </w:tc>
        <w:tc>
          <w:tcPr>
            <w:tcW w:type="dxa" w:w="1800"/>
            <w:tcMar>
              <w:top w:w="100" w:type="dxa"/>
              <w:start w:w="110" w:type="dxa"/>
              <w:bottom w:w="100" w:type="dxa"/>
              <w:end w:w="110" w:type="dxa"/>
            </w:tcMar>
            <w:vAlign w:val="center"/>
          </w:tcPr>
          <w:p>
            <w:pPr>
              <w:spacing w:after="0"/>
            </w:pPr>
            <w:r>
              <w:rPr>
                <w:sz w:val="17"/>
              </w:rPr>
              <w:t>All</w:t>
            </w:r>
          </w:p>
        </w:tc>
        <w:tc>
          <w:tcPr>
            <w:tcW w:type="dxa" w:w="1655"/>
            <w:tcMar>
              <w:top w:w="100" w:type="dxa"/>
              <w:start w:w="110" w:type="dxa"/>
              <w:bottom w:w="100" w:type="dxa"/>
              <w:end w:w="110" w:type="dxa"/>
            </w:tcMar>
            <w:vAlign w:val="center"/>
          </w:tcPr>
          <w:p>
            <w:pPr>
              <w:spacing w:after="0"/>
            </w:pPr>
            <w:r>
              <w:rPr>
                <w:sz w:val="17"/>
              </w:rPr>
              <w:t>feedback</w:t>
            </w:r>
          </w:p>
        </w:tc>
      </w:tr>
      <w:tr>
        <w:trPr>
          <w:cantSplit/>
        </w:trPr>
        <w:tc>
          <w:tcPr>
            <w:tcW w:type="dxa" w:w="936"/>
            <w:tcMar>
              <w:top w:w="100" w:type="dxa"/>
              <w:start w:w="110" w:type="dxa"/>
              <w:bottom w:w="100" w:type="dxa"/>
              <w:end w:w="110" w:type="dxa"/>
            </w:tcMar>
            <w:vAlign w:val="center"/>
          </w:tcPr>
          <w:p>
            <w:pPr>
              <w:spacing w:after="0"/>
            </w:pPr>
            <w:r>
              <w:rPr>
                <w:sz w:val="17"/>
              </w:rPr>
              <w:t>GEN-016</w:t>
            </w:r>
          </w:p>
        </w:tc>
        <w:tc>
          <w:tcPr>
            <w:tcW w:type="dxa" w:w="1944"/>
            <w:tcMar>
              <w:top w:w="100" w:type="dxa"/>
              <w:start w:w="110" w:type="dxa"/>
              <w:bottom w:w="100" w:type="dxa"/>
              <w:end w:w="110" w:type="dxa"/>
            </w:tcMar>
            <w:vAlign w:val="center"/>
          </w:tcPr>
          <w:p>
            <w:pPr>
              <w:spacing w:after="0"/>
            </w:pPr>
            <w:r>
              <w:rPr>
                <w:sz w:val="17"/>
              </w:rPr>
              <w:t>Toast</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Transient action feedback</w:t>
            </w:r>
          </w:p>
        </w:tc>
        <w:tc>
          <w:tcPr>
            <w:tcW w:type="dxa" w:w="1800"/>
            <w:tcMar>
              <w:top w:w="100" w:type="dxa"/>
              <w:start w:w="110" w:type="dxa"/>
              <w:bottom w:w="100" w:type="dxa"/>
              <w:end w:w="110" w:type="dxa"/>
            </w:tcMar>
            <w:vAlign w:val="center"/>
          </w:tcPr>
          <w:p>
            <w:pPr>
              <w:spacing w:after="0"/>
            </w:pPr>
            <w:r>
              <w:rPr>
                <w:sz w:val="17"/>
              </w:rPr>
              <w:t>All</w:t>
            </w:r>
          </w:p>
        </w:tc>
        <w:tc>
          <w:tcPr>
            <w:tcW w:type="dxa" w:w="1655"/>
            <w:tcMar>
              <w:top w:w="100" w:type="dxa"/>
              <w:start w:w="110" w:type="dxa"/>
              <w:bottom w:w="100" w:type="dxa"/>
              <w:end w:w="110" w:type="dxa"/>
            </w:tcMar>
            <w:vAlign w:val="center"/>
          </w:tcPr>
          <w:p>
            <w:pPr>
              <w:spacing w:after="0"/>
            </w:pPr>
            <w:r>
              <w:rPr>
                <w:sz w:val="17"/>
              </w:rPr>
              <w:t>feedback</w:t>
            </w:r>
          </w:p>
        </w:tc>
      </w:tr>
      <w:tr>
        <w:trPr>
          <w:cantSplit/>
        </w:trPr>
        <w:tc>
          <w:tcPr>
            <w:tcW w:type="dxa" w:w="936"/>
            <w:tcMar>
              <w:top w:w="100" w:type="dxa"/>
              <w:start w:w="110" w:type="dxa"/>
              <w:bottom w:w="100" w:type="dxa"/>
              <w:end w:w="110" w:type="dxa"/>
            </w:tcMar>
            <w:vAlign w:val="center"/>
          </w:tcPr>
          <w:p>
            <w:pPr>
              <w:spacing w:after="0"/>
            </w:pPr>
            <w:r>
              <w:rPr>
                <w:sz w:val="17"/>
              </w:rPr>
              <w:t>GEN-017</w:t>
            </w:r>
          </w:p>
        </w:tc>
        <w:tc>
          <w:tcPr>
            <w:tcW w:type="dxa" w:w="1944"/>
            <w:tcMar>
              <w:top w:w="100" w:type="dxa"/>
              <w:start w:w="110" w:type="dxa"/>
              <w:bottom w:w="100" w:type="dxa"/>
              <w:end w:w="110" w:type="dxa"/>
            </w:tcMar>
            <w:vAlign w:val="center"/>
          </w:tcPr>
          <w:p>
            <w:pPr>
              <w:spacing w:after="0"/>
            </w:pPr>
            <w:r>
              <w:rPr>
                <w:sz w:val="17"/>
              </w:rPr>
              <w:t>Modal</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Blocking confirmation/dialog</w:t>
            </w:r>
          </w:p>
        </w:tc>
        <w:tc>
          <w:tcPr>
            <w:tcW w:type="dxa" w:w="1800"/>
            <w:tcMar>
              <w:top w:w="100" w:type="dxa"/>
              <w:start w:w="110" w:type="dxa"/>
              <w:bottom w:w="100" w:type="dxa"/>
              <w:end w:w="110" w:type="dxa"/>
            </w:tcMar>
            <w:vAlign w:val="center"/>
          </w:tcPr>
          <w:p>
            <w:pPr>
              <w:spacing w:after="0"/>
            </w:pPr>
            <w:r>
              <w:rPr>
                <w:sz w:val="17"/>
              </w:rPr>
              <w:t>All</w:t>
            </w:r>
          </w:p>
        </w:tc>
        <w:tc>
          <w:tcPr>
            <w:tcW w:type="dxa" w:w="1655"/>
            <w:tcMar>
              <w:top w:w="100" w:type="dxa"/>
              <w:start w:w="110" w:type="dxa"/>
              <w:bottom w:w="100" w:type="dxa"/>
              <w:end w:w="110" w:type="dxa"/>
            </w:tcMar>
            <w:vAlign w:val="center"/>
          </w:tcPr>
          <w:p>
            <w:pPr>
              <w:spacing w:after="0"/>
            </w:pPr>
            <w:r>
              <w:rPr>
                <w:sz w:val="17"/>
              </w:rPr>
              <w:t>high-impact action</w:t>
            </w:r>
          </w:p>
        </w:tc>
      </w:tr>
      <w:tr>
        <w:trPr>
          <w:cantSplit/>
        </w:trPr>
        <w:tc>
          <w:tcPr>
            <w:tcW w:type="dxa" w:w="936"/>
            <w:tcMar>
              <w:top w:w="100" w:type="dxa"/>
              <w:start w:w="110" w:type="dxa"/>
              <w:bottom w:w="100" w:type="dxa"/>
              <w:end w:w="110" w:type="dxa"/>
            </w:tcMar>
            <w:vAlign w:val="center"/>
          </w:tcPr>
          <w:p>
            <w:pPr>
              <w:spacing w:after="0"/>
            </w:pPr>
            <w:r>
              <w:rPr>
                <w:sz w:val="17"/>
              </w:rPr>
              <w:t>GEN-018</w:t>
            </w:r>
          </w:p>
        </w:tc>
        <w:tc>
          <w:tcPr>
            <w:tcW w:type="dxa" w:w="1944"/>
            <w:tcMar>
              <w:top w:w="100" w:type="dxa"/>
              <w:start w:w="110" w:type="dxa"/>
              <w:bottom w:w="100" w:type="dxa"/>
              <w:end w:w="110" w:type="dxa"/>
            </w:tcMar>
            <w:vAlign w:val="center"/>
          </w:tcPr>
          <w:p>
            <w:pPr>
              <w:spacing w:after="0"/>
            </w:pPr>
            <w:r>
              <w:rPr>
                <w:sz w:val="17"/>
              </w:rPr>
              <w:t>Drawer</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Context/inspector panel</w:t>
            </w:r>
          </w:p>
        </w:tc>
        <w:tc>
          <w:tcPr>
            <w:tcW w:type="dxa" w:w="1800"/>
            <w:tcMar>
              <w:top w:w="100" w:type="dxa"/>
              <w:start w:w="110" w:type="dxa"/>
              <w:bottom w:w="100" w:type="dxa"/>
              <w:end w:w="110" w:type="dxa"/>
            </w:tcMar>
            <w:vAlign w:val="center"/>
          </w:tcPr>
          <w:p>
            <w:pPr>
              <w:spacing w:after="0"/>
            </w:pPr>
            <w:r>
              <w:rPr>
                <w:sz w:val="17"/>
              </w:rPr>
              <w:t>Analytical</w:t>
            </w:r>
          </w:p>
        </w:tc>
        <w:tc>
          <w:tcPr>
            <w:tcW w:type="dxa" w:w="1655"/>
            <w:tcMar>
              <w:top w:w="100" w:type="dxa"/>
              <w:start w:w="110" w:type="dxa"/>
              <w:bottom w:w="100" w:type="dxa"/>
              <w:end w:w="110" w:type="dxa"/>
            </w:tcMar>
            <w:vAlign w:val="center"/>
          </w:tcPr>
          <w:p>
            <w:pPr>
              <w:spacing w:after="0"/>
            </w:pPr>
            <w:r>
              <w:rPr>
                <w:sz w:val="17"/>
              </w:rPr>
              <w:t>context</w:t>
            </w:r>
          </w:p>
        </w:tc>
      </w:tr>
      <w:tr>
        <w:trPr>
          <w:cantSplit/>
        </w:trPr>
        <w:tc>
          <w:tcPr>
            <w:tcW w:type="dxa" w:w="936"/>
            <w:tcMar>
              <w:top w:w="100" w:type="dxa"/>
              <w:start w:w="110" w:type="dxa"/>
              <w:bottom w:w="100" w:type="dxa"/>
              <w:end w:w="110" w:type="dxa"/>
            </w:tcMar>
            <w:vAlign w:val="center"/>
          </w:tcPr>
          <w:p>
            <w:pPr>
              <w:spacing w:after="0"/>
            </w:pPr>
            <w:r>
              <w:rPr>
                <w:sz w:val="17"/>
              </w:rPr>
              <w:t>GEN-019</w:t>
            </w:r>
          </w:p>
        </w:tc>
        <w:tc>
          <w:tcPr>
            <w:tcW w:type="dxa" w:w="1944"/>
            <w:tcMar>
              <w:top w:w="100" w:type="dxa"/>
              <w:start w:w="110" w:type="dxa"/>
              <w:bottom w:w="100" w:type="dxa"/>
              <w:end w:w="110" w:type="dxa"/>
            </w:tcMar>
            <w:vAlign w:val="center"/>
          </w:tcPr>
          <w:p>
            <w:pPr>
              <w:spacing w:after="0"/>
            </w:pPr>
            <w:r>
              <w:rPr>
                <w:sz w:val="17"/>
              </w:rPr>
              <w:t>Tabs</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Local subnavigation</w:t>
            </w:r>
          </w:p>
        </w:tc>
        <w:tc>
          <w:tcPr>
            <w:tcW w:type="dxa" w:w="1800"/>
            <w:tcMar>
              <w:top w:w="100" w:type="dxa"/>
              <w:start w:w="110" w:type="dxa"/>
              <w:bottom w:w="100" w:type="dxa"/>
              <w:end w:w="110" w:type="dxa"/>
            </w:tcMar>
            <w:vAlign w:val="center"/>
          </w:tcPr>
          <w:p>
            <w:pPr>
              <w:spacing w:after="0"/>
            </w:pPr>
            <w:r>
              <w:rPr>
                <w:sz w:val="17"/>
              </w:rPr>
              <w:t>Object pages</w:t>
            </w:r>
          </w:p>
        </w:tc>
        <w:tc>
          <w:tcPr>
            <w:tcW w:type="dxa" w:w="1655"/>
            <w:tcMar>
              <w:top w:w="100" w:type="dxa"/>
              <w:start w:w="110" w:type="dxa"/>
              <w:bottom w:w="100" w:type="dxa"/>
              <w:end w:w="110" w:type="dxa"/>
            </w:tcMar>
            <w:vAlign w:val="center"/>
          </w:tcPr>
          <w:p>
            <w:pPr>
              <w:spacing w:after="0"/>
            </w:pPr>
            <w:r>
              <w:rPr>
                <w:sz w:val="17"/>
              </w:rPr>
              <w:t>local navigation</w:t>
            </w:r>
          </w:p>
        </w:tc>
      </w:tr>
      <w:tr>
        <w:trPr>
          <w:cantSplit/>
        </w:trPr>
        <w:tc>
          <w:tcPr>
            <w:tcW w:type="dxa" w:w="936"/>
            <w:tcMar>
              <w:top w:w="100" w:type="dxa"/>
              <w:start w:w="110" w:type="dxa"/>
              <w:bottom w:w="100" w:type="dxa"/>
              <w:end w:w="110" w:type="dxa"/>
            </w:tcMar>
            <w:vAlign w:val="center"/>
          </w:tcPr>
          <w:p>
            <w:pPr>
              <w:spacing w:after="0"/>
            </w:pPr>
            <w:r>
              <w:rPr>
                <w:sz w:val="17"/>
              </w:rPr>
              <w:t>GEN-020</w:t>
            </w:r>
          </w:p>
        </w:tc>
        <w:tc>
          <w:tcPr>
            <w:tcW w:type="dxa" w:w="1944"/>
            <w:tcMar>
              <w:top w:w="100" w:type="dxa"/>
              <w:start w:w="110" w:type="dxa"/>
              <w:bottom w:w="100" w:type="dxa"/>
              <w:end w:w="110" w:type="dxa"/>
            </w:tcMar>
            <w:vAlign w:val="center"/>
          </w:tcPr>
          <w:p>
            <w:pPr>
              <w:spacing w:after="0"/>
            </w:pPr>
            <w:r>
              <w:rPr>
                <w:sz w:val="17"/>
              </w:rPr>
              <w:t>Breadcrumbs</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Context path/deep-link cue</w:t>
            </w:r>
          </w:p>
        </w:tc>
        <w:tc>
          <w:tcPr>
            <w:tcW w:type="dxa" w:w="1800"/>
            <w:tcMar>
              <w:top w:w="100" w:type="dxa"/>
              <w:start w:w="110" w:type="dxa"/>
              <w:bottom w:w="100" w:type="dxa"/>
              <w:end w:w="110" w:type="dxa"/>
            </w:tcMar>
            <w:vAlign w:val="center"/>
          </w:tcPr>
          <w:p>
            <w:pPr>
              <w:spacing w:after="0"/>
            </w:pPr>
            <w:r>
              <w:rPr>
                <w:sz w:val="17"/>
              </w:rPr>
              <w:t>Object pages</w:t>
            </w:r>
          </w:p>
        </w:tc>
        <w:tc>
          <w:tcPr>
            <w:tcW w:type="dxa" w:w="1655"/>
            <w:tcMar>
              <w:top w:w="100" w:type="dxa"/>
              <w:start w:w="110" w:type="dxa"/>
              <w:bottom w:w="100" w:type="dxa"/>
              <w:end w:w="110" w:type="dxa"/>
            </w:tcMar>
            <w:vAlign w:val="center"/>
          </w:tcPr>
          <w:p>
            <w:pPr>
              <w:spacing w:after="0"/>
            </w:pPr>
            <w:r>
              <w:rPr>
                <w:sz w:val="17"/>
              </w:rPr>
              <w:t>navigation</w:t>
            </w:r>
          </w:p>
        </w:tc>
      </w:tr>
      <w:tr>
        <w:trPr>
          <w:cantSplit/>
        </w:trPr>
        <w:tc>
          <w:tcPr>
            <w:tcW w:type="dxa" w:w="936"/>
            <w:tcMar>
              <w:top w:w="100" w:type="dxa"/>
              <w:start w:w="110" w:type="dxa"/>
              <w:bottom w:w="100" w:type="dxa"/>
              <w:end w:w="110" w:type="dxa"/>
            </w:tcMar>
            <w:vAlign w:val="center"/>
          </w:tcPr>
          <w:p>
            <w:pPr>
              <w:spacing w:after="0"/>
            </w:pPr>
            <w:r>
              <w:rPr>
                <w:sz w:val="17"/>
              </w:rPr>
              <w:t>GEN-021</w:t>
            </w:r>
          </w:p>
        </w:tc>
        <w:tc>
          <w:tcPr>
            <w:tcW w:type="dxa" w:w="1944"/>
            <w:tcMar>
              <w:top w:w="100" w:type="dxa"/>
              <w:start w:w="110" w:type="dxa"/>
              <w:bottom w:w="100" w:type="dxa"/>
              <w:end w:w="110" w:type="dxa"/>
            </w:tcMar>
            <w:vAlign w:val="center"/>
          </w:tcPr>
          <w:p>
            <w:pPr>
              <w:spacing w:after="0"/>
            </w:pPr>
            <w:r>
              <w:rPr>
                <w:sz w:val="17"/>
              </w:rPr>
              <w:t>DataTable</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Sortable/faceted permission-aware table</w:t>
            </w:r>
          </w:p>
        </w:tc>
        <w:tc>
          <w:tcPr>
            <w:tcW w:type="dxa" w:w="1800"/>
            <w:tcMar>
              <w:top w:w="100" w:type="dxa"/>
              <w:start w:w="110" w:type="dxa"/>
              <w:bottom w:w="100" w:type="dxa"/>
              <w:end w:w="110" w:type="dxa"/>
            </w:tcMar>
            <w:vAlign w:val="center"/>
          </w:tcPr>
          <w:p>
            <w:pPr>
              <w:spacing w:after="0"/>
            </w:pPr>
            <w:r>
              <w:rPr>
                <w:sz w:val="17"/>
              </w:rPr>
              <w:t>Registers</w:t>
            </w:r>
          </w:p>
        </w:tc>
        <w:tc>
          <w:tcPr>
            <w:tcW w:type="dxa" w:w="1655"/>
            <w:tcMar>
              <w:top w:w="100" w:type="dxa"/>
              <w:start w:w="110" w:type="dxa"/>
              <w:bottom w:w="100" w:type="dxa"/>
              <w:end w:w="110" w:type="dxa"/>
            </w:tcMar>
            <w:vAlign w:val="center"/>
          </w:tcPr>
          <w:p>
            <w:pPr>
              <w:spacing w:after="0"/>
            </w:pPr>
            <w:r>
              <w:rPr>
                <w:sz w:val="17"/>
              </w:rPr>
              <w:t>data dense</w:t>
            </w:r>
          </w:p>
        </w:tc>
      </w:tr>
      <w:tr>
        <w:trPr>
          <w:cantSplit/>
        </w:trPr>
        <w:tc>
          <w:tcPr>
            <w:tcW w:type="dxa" w:w="936"/>
            <w:tcMar>
              <w:top w:w="100" w:type="dxa"/>
              <w:start w:w="110" w:type="dxa"/>
              <w:bottom w:w="100" w:type="dxa"/>
              <w:end w:w="110" w:type="dxa"/>
            </w:tcMar>
            <w:vAlign w:val="center"/>
          </w:tcPr>
          <w:p>
            <w:pPr>
              <w:spacing w:after="0"/>
            </w:pPr>
            <w:r>
              <w:rPr>
                <w:sz w:val="17"/>
              </w:rPr>
              <w:t>GEN-022</w:t>
            </w:r>
          </w:p>
        </w:tc>
        <w:tc>
          <w:tcPr>
            <w:tcW w:type="dxa" w:w="1944"/>
            <w:tcMar>
              <w:top w:w="100" w:type="dxa"/>
              <w:start w:w="110" w:type="dxa"/>
              <w:bottom w:w="100" w:type="dxa"/>
              <w:end w:w="110" w:type="dxa"/>
            </w:tcMar>
            <w:vAlign w:val="center"/>
          </w:tcPr>
          <w:p>
            <w:pPr>
              <w:spacing w:after="0"/>
            </w:pPr>
            <w:r>
              <w:rPr>
                <w:sz w:val="17"/>
              </w:rPr>
              <w:t>Pagination</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Paged large result navigation</w:t>
            </w:r>
          </w:p>
        </w:tc>
        <w:tc>
          <w:tcPr>
            <w:tcW w:type="dxa" w:w="1800"/>
            <w:tcMar>
              <w:top w:w="100" w:type="dxa"/>
              <w:start w:w="110" w:type="dxa"/>
              <w:bottom w:w="100" w:type="dxa"/>
              <w:end w:w="110" w:type="dxa"/>
            </w:tcMar>
            <w:vAlign w:val="center"/>
          </w:tcPr>
          <w:p>
            <w:pPr>
              <w:spacing w:after="0"/>
            </w:pPr>
            <w:r>
              <w:rPr>
                <w:sz w:val="17"/>
              </w:rPr>
              <w:t>Registers/Search</w:t>
            </w:r>
          </w:p>
        </w:tc>
        <w:tc>
          <w:tcPr>
            <w:tcW w:type="dxa" w:w="1655"/>
            <w:tcMar>
              <w:top w:w="100" w:type="dxa"/>
              <w:start w:w="110" w:type="dxa"/>
              <w:bottom w:w="100" w:type="dxa"/>
              <w:end w:w="110" w:type="dxa"/>
            </w:tcMar>
            <w:vAlign w:val="center"/>
          </w:tcPr>
          <w:p>
            <w:pPr>
              <w:spacing w:after="0"/>
            </w:pPr>
            <w:r>
              <w:rPr>
                <w:sz w:val="17"/>
              </w:rPr>
              <w:t>navigation</w:t>
            </w:r>
          </w:p>
        </w:tc>
      </w:tr>
      <w:tr>
        <w:trPr>
          <w:cantSplit/>
        </w:trPr>
        <w:tc>
          <w:tcPr>
            <w:tcW w:type="dxa" w:w="936"/>
            <w:tcMar>
              <w:top w:w="100" w:type="dxa"/>
              <w:start w:w="110" w:type="dxa"/>
              <w:bottom w:w="100" w:type="dxa"/>
              <w:end w:w="110" w:type="dxa"/>
            </w:tcMar>
            <w:vAlign w:val="center"/>
          </w:tcPr>
          <w:p>
            <w:pPr>
              <w:spacing w:after="0"/>
            </w:pPr>
            <w:r>
              <w:rPr>
                <w:sz w:val="17"/>
              </w:rPr>
              <w:t>GEN-023</w:t>
            </w:r>
          </w:p>
        </w:tc>
        <w:tc>
          <w:tcPr>
            <w:tcW w:type="dxa" w:w="1944"/>
            <w:tcMar>
              <w:top w:w="100" w:type="dxa"/>
              <w:start w:w="110" w:type="dxa"/>
              <w:bottom w:w="100" w:type="dxa"/>
              <w:end w:w="110" w:type="dxa"/>
            </w:tcMar>
            <w:vAlign w:val="center"/>
          </w:tcPr>
          <w:p>
            <w:pPr>
              <w:spacing w:after="0"/>
            </w:pPr>
            <w:r>
              <w:rPr>
                <w:sz w:val="17"/>
              </w:rPr>
              <w:t>FilterBar</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Filters/facets/query chips</w:t>
            </w:r>
          </w:p>
        </w:tc>
        <w:tc>
          <w:tcPr>
            <w:tcW w:type="dxa" w:w="1800"/>
            <w:tcMar>
              <w:top w:w="100" w:type="dxa"/>
              <w:start w:w="110" w:type="dxa"/>
              <w:bottom w:w="100" w:type="dxa"/>
              <w:end w:w="110" w:type="dxa"/>
            </w:tcMar>
            <w:vAlign w:val="center"/>
          </w:tcPr>
          <w:p>
            <w:pPr>
              <w:spacing w:after="0"/>
            </w:pPr>
            <w:r>
              <w:rPr>
                <w:sz w:val="17"/>
              </w:rPr>
              <w:t>Registers/Search</w:t>
            </w:r>
          </w:p>
        </w:tc>
        <w:tc>
          <w:tcPr>
            <w:tcW w:type="dxa" w:w="1655"/>
            <w:tcMar>
              <w:top w:w="100" w:type="dxa"/>
              <w:start w:w="110" w:type="dxa"/>
              <w:bottom w:w="100" w:type="dxa"/>
              <w:end w:w="110" w:type="dxa"/>
            </w:tcMar>
            <w:vAlign w:val="center"/>
          </w:tcPr>
          <w:p>
            <w:pPr>
              <w:spacing w:after="0"/>
            </w:pPr>
            <w:r>
              <w:rPr>
                <w:sz w:val="17"/>
              </w:rPr>
              <w:t>findability</w:t>
            </w:r>
          </w:p>
        </w:tc>
      </w:tr>
      <w:tr>
        <w:trPr>
          <w:cantSplit/>
        </w:trPr>
        <w:tc>
          <w:tcPr>
            <w:tcW w:type="dxa" w:w="936"/>
            <w:tcMar>
              <w:top w:w="100" w:type="dxa"/>
              <w:start w:w="110" w:type="dxa"/>
              <w:bottom w:w="100" w:type="dxa"/>
              <w:end w:w="110" w:type="dxa"/>
            </w:tcMar>
            <w:vAlign w:val="center"/>
          </w:tcPr>
          <w:p>
            <w:pPr>
              <w:spacing w:after="0"/>
            </w:pPr>
            <w:r>
              <w:rPr>
                <w:sz w:val="17"/>
              </w:rPr>
              <w:t>GEN-024</w:t>
            </w:r>
          </w:p>
        </w:tc>
        <w:tc>
          <w:tcPr>
            <w:tcW w:type="dxa" w:w="1944"/>
            <w:tcMar>
              <w:top w:w="100" w:type="dxa"/>
              <w:start w:w="110" w:type="dxa"/>
              <w:bottom w:w="100" w:type="dxa"/>
              <w:end w:w="110" w:type="dxa"/>
            </w:tcMar>
            <w:vAlign w:val="center"/>
          </w:tcPr>
          <w:p>
            <w:pPr>
              <w:spacing w:after="0"/>
            </w:pPr>
            <w:r>
              <w:rPr>
                <w:sz w:val="17"/>
              </w:rPr>
              <w:t>EmptyState</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No-data/no-result guidance</w:t>
            </w:r>
          </w:p>
        </w:tc>
        <w:tc>
          <w:tcPr>
            <w:tcW w:type="dxa" w:w="1800"/>
            <w:tcMar>
              <w:top w:w="100" w:type="dxa"/>
              <w:start w:w="110" w:type="dxa"/>
              <w:bottom w:w="100" w:type="dxa"/>
              <w:end w:w="110" w:type="dxa"/>
            </w:tcMar>
            <w:vAlign w:val="center"/>
          </w:tcPr>
          <w:p>
            <w:pPr>
              <w:spacing w:after="0"/>
            </w:pPr>
            <w:r>
              <w:rPr>
                <w:sz w:val="17"/>
              </w:rPr>
              <w:t>All</w:t>
            </w:r>
          </w:p>
        </w:tc>
        <w:tc>
          <w:tcPr>
            <w:tcW w:type="dxa" w:w="1655"/>
            <w:tcMar>
              <w:top w:w="100" w:type="dxa"/>
              <w:start w:w="110" w:type="dxa"/>
              <w:bottom w:w="100" w:type="dxa"/>
              <w:end w:w="110" w:type="dxa"/>
            </w:tcMar>
            <w:vAlign w:val="center"/>
          </w:tcPr>
          <w:p>
            <w:pPr>
              <w:spacing w:after="0"/>
            </w:pPr>
            <w:r>
              <w:rPr>
                <w:sz w:val="17"/>
              </w:rPr>
              <w:t>states</w:t>
            </w:r>
          </w:p>
        </w:tc>
      </w:tr>
      <w:tr>
        <w:trPr>
          <w:cantSplit/>
        </w:trPr>
        <w:tc>
          <w:tcPr>
            <w:tcW w:type="dxa" w:w="936"/>
            <w:tcMar>
              <w:top w:w="100" w:type="dxa"/>
              <w:start w:w="110" w:type="dxa"/>
              <w:bottom w:w="100" w:type="dxa"/>
              <w:end w:w="110" w:type="dxa"/>
            </w:tcMar>
            <w:vAlign w:val="center"/>
          </w:tcPr>
          <w:p>
            <w:pPr>
              <w:spacing w:after="0"/>
            </w:pPr>
            <w:r>
              <w:rPr>
                <w:sz w:val="17"/>
              </w:rPr>
              <w:t>GEN-025</w:t>
            </w:r>
          </w:p>
        </w:tc>
        <w:tc>
          <w:tcPr>
            <w:tcW w:type="dxa" w:w="1944"/>
            <w:tcMar>
              <w:top w:w="100" w:type="dxa"/>
              <w:start w:w="110" w:type="dxa"/>
              <w:bottom w:w="100" w:type="dxa"/>
              <w:end w:w="110" w:type="dxa"/>
            </w:tcMar>
            <w:vAlign w:val="center"/>
          </w:tcPr>
          <w:p>
            <w:pPr>
              <w:spacing w:after="0"/>
            </w:pPr>
            <w:r>
              <w:rPr>
                <w:sz w:val="17"/>
              </w:rPr>
              <w:t>LoadingState</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Skeleton/progress state</w:t>
            </w:r>
          </w:p>
        </w:tc>
        <w:tc>
          <w:tcPr>
            <w:tcW w:type="dxa" w:w="1800"/>
            <w:tcMar>
              <w:top w:w="100" w:type="dxa"/>
              <w:start w:w="110" w:type="dxa"/>
              <w:bottom w:w="100" w:type="dxa"/>
              <w:end w:w="110" w:type="dxa"/>
            </w:tcMar>
            <w:vAlign w:val="center"/>
          </w:tcPr>
          <w:p>
            <w:pPr>
              <w:spacing w:after="0"/>
            </w:pPr>
            <w:r>
              <w:rPr>
                <w:sz w:val="17"/>
              </w:rPr>
              <w:t>All</w:t>
            </w:r>
          </w:p>
        </w:tc>
        <w:tc>
          <w:tcPr>
            <w:tcW w:type="dxa" w:w="1655"/>
            <w:tcMar>
              <w:top w:w="100" w:type="dxa"/>
              <w:start w:w="110" w:type="dxa"/>
              <w:bottom w:w="100" w:type="dxa"/>
              <w:end w:w="110" w:type="dxa"/>
            </w:tcMar>
            <w:vAlign w:val="center"/>
          </w:tcPr>
          <w:p>
            <w:pPr>
              <w:spacing w:after="0"/>
            </w:pPr>
            <w:r>
              <w:rPr>
                <w:sz w:val="17"/>
              </w:rPr>
              <w:t>states</w:t>
            </w:r>
          </w:p>
        </w:tc>
      </w:tr>
      <w:tr>
        <w:trPr>
          <w:cantSplit/>
        </w:trPr>
        <w:tc>
          <w:tcPr>
            <w:tcW w:type="dxa" w:w="936"/>
            <w:tcMar>
              <w:top w:w="100" w:type="dxa"/>
              <w:start w:w="110" w:type="dxa"/>
              <w:bottom w:w="100" w:type="dxa"/>
              <w:end w:w="110" w:type="dxa"/>
            </w:tcMar>
            <w:vAlign w:val="center"/>
          </w:tcPr>
          <w:p>
            <w:pPr>
              <w:spacing w:after="0"/>
            </w:pPr>
            <w:r>
              <w:rPr>
                <w:sz w:val="17"/>
              </w:rPr>
              <w:t>GEN-026</w:t>
            </w:r>
          </w:p>
        </w:tc>
        <w:tc>
          <w:tcPr>
            <w:tcW w:type="dxa" w:w="1944"/>
            <w:tcMar>
              <w:top w:w="100" w:type="dxa"/>
              <w:start w:w="110" w:type="dxa"/>
              <w:bottom w:w="100" w:type="dxa"/>
              <w:end w:w="110" w:type="dxa"/>
            </w:tcMar>
            <w:vAlign w:val="center"/>
          </w:tcPr>
          <w:p>
            <w:pPr>
              <w:spacing w:after="0"/>
            </w:pPr>
            <w:r>
              <w:rPr>
                <w:sz w:val="17"/>
              </w:rPr>
              <w:t>AccessDeniedState</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Non-disclosing permission denial</w:t>
            </w:r>
          </w:p>
        </w:tc>
        <w:tc>
          <w:tcPr>
            <w:tcW w:type="dxa" w:w="1800"/>
            <w:tcMar>
              <w:top w:w="100" w:type="dxa"/>
              <w:start w:w="110" w:type="dxa"/>
              <w:bottom w:w="100" w:type="dxa"/>
              <w:end w:w="110" w:type="dxa"/>
            </w:tcMar>
            <w:vAlign w:val="center"/>
          </w:tcPr>
          <w:p>
            <w:pPr>
              <w:spacing w:after="0"/>
            </w:pPr>
            <w:r>
              <w:rPr>
                <w:sz w:val="17"/>
              </w:rPr>
              <w:t>System</w:t>
            </w:r>
          </w:p>
        </w:tc>
        <w:tc>
          <w:tcPr>
            <w:tcW w:type="dxa" w:w="1655"/>
            <w:tcMar>
              <w:top w:w="100" w:type="dxa"/>
              <w:start w:w="110" w:type="dxa"/>
              <w:bottom w:w="100" w:type="dxa"/>
              <w:end w:w="110" w:type="dxa"/>
            </w:tcMar>
            <w:vAlign w:val="center"/>
          </w:tcPr>
          <w:p>
            <w:pPr>
              <w:spacing w:after="0"/>
            </w:pPr>
            <w:r>
              <w:rPr>
                <w:sz w:val="17"/>
              </w:rPr>
              <w:t>security</w:t>
            </w:r>
          </w:p>
        </w:tc>
      </w:tr>
      <w:tr>
        <w:trPr>
          <w:cantSplit/>
        </w:trPr>
        <w:tc>
          <w:tcPr>
            <w:tcW w:type="dxa" w:w="936"/>
            <w:tcMar>
              <w:top w:w="100" w:type="dxa"/>
              <w:start w:w="110" w:type="dxa"/>
              <w:bottom w:w="100" w:type="dxa"/>
              <w:end w:w="110" w:type="dxa"/>
            </w:tcMar>
            <w:vAlign w:val="center"/>
          </w:tcPr>
          <w:p>
            <w:pPr>
              <w:spacing w:after="0"/>
            </w:pPr>
            <w:r>
              <w:rPr>
                <w:sz w:val="17"/>
              </w:rPr>
              <w:t>GEN-027</w:t>
            </w:r>
          </w:p>
        </w:tc>
        <w:tc>
          <w:tcPr>
            <w:tcW w:type="dxa" w:w="1944"/>
            <w:tcMar>
              <w:top w:w="100" w:type="dxa"/>
              <w:start w:w="110" w:type="dxa"/>
              <w:bottom w:w="100" w:type="dxa"/>
              <w:end w:w="110" w:type="dxa"/>
            </w:tcMar>
            <w:vAlign w:val="center"/>
          </w:tcPr>
          <w:p>
            <w:pPr>
              <w:spacing w:after="0"/>
            </w:pPr>
            <w:r>
              <w:rPr>
                <w:sz w:val="17"/>
              </w:rPr>
              <w:t>IntegrityWarningState</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Evidence integrity mismatch warning</w:t>
            </w:r>
          </w:p>
        </w:tc>
        <w:tc>
          <w:tcPr>
            <w:tcW w:type="dxa" w:w="1800"/>
            <w:tcMar>
              <w:top w:w="100" w:type="dxa"/>
              <w:start w:w="110" w:type="dxa"/>
              <w:bottom w:w="100" w:type="dxa"/>
              <w:end w:w="110" w:type="dxa"/>
            </w:tcMar>
            <w:vAlign w:val="center"/>
          </w:tcPr>
          <w:p>
            <w:pPr>
              <w:spacing w:after="0"/>
            </w:pPr>
            <w:r>
              <w:rPr>
                <w:sz w:val="17"/>
              </w:rPr>
              <w:t>Evidence</w:t>
            </w:r>
          </w:p>
        </w:tc>
        <w:tc>
          <w:tcPr>
            <w:tcW w:type="dxa" w:w="1655"/>
            <w:tcMar>
              <w:top w:w="100" w:type="dxa"/>
              <w:start w:w="110" w:type="dxa"/>
              <w:bottom w:w="100" w:type="dxa"/>
              <w:end w:w="110" w:type="dxa"/>
            </w:tcMar>
            <w:vAlign w:val="center"/>
          </w:tcPr>
          <w:p>
            <w:pPr>
              <w:spacing w:after="0"/>
            </w:pPr>
            <w:r>
              <w:rPr>
                <w:sz w:val="17"/>
              </w:rPr>
              <w:t>security</w:t>
            </w:r>
          </w:p>
        </w:tc>
      </w:tr>
      <w:tr>
        <w:trPr>
          <w:cantSplit/>
        </w:trPr>
        <w:tc>
          <w:tcPr>
            <w:tcW w:type="dxa" w:w="936"/>
            <w:tcMar>
              <w:top w:w="100" w:type="dxa"/>
              <w:start w:w="110" w:type="dxa"/>
              <w:bottom w:w="100" w:type="dxa"/>
              <w:end w:w="110" w:type="dxa"/>
            </w:tcMar>
            <w:vAlign w:val="center"/>
          </w:tcPr>
          <w:p>
            <w:pPr>
              <w:spacing w:after="0"/>
            </w:pPr>
            <w:r>
              <w:rPr>
                <w:sz w:val="17"/>
              </w:rPr>
              <w:t>GEN-028</w:t>
            </w:r>
          </w:p>
        </w:tc>
        <w:tc>
          <w:tcPr>
            <w:tcW w:type="dxa" w:w="1944"/>
            <w:tcMar>
              <w:top w:w="100" w:type="dxa"/>
              <w:start w:w="110" w:type="dxa"/>
              <w:bottom w:w="100" w:type="dxa"/>
              <w:end w:w="110" w:type="dxa"/>
            </w:tcMar>
            <w:vAlign w:val="center"/>
          </w:tcPr>
          <w:p>
            <w:pPr>
              <w:spacing w:after="0"/>
            </w:pPr>
            <w:r>
              <w:rPr>
                <w:sz w:val="17"/>
              </w:rPr>
              <w:t>ConflictState</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Stale/concurrent edit conflict</w:t>
            </w:r>
          </w:p>
        </w:tc>
        <w:tc>
          <w:tcPr>
            <w:tcW w:type="dxa" w:w="1800"/>
            <w:tcMar>
              <w:top w:w="100" w:type="dxa"/>
              <w:start w:w="110" w:type="dxa"/>
              <w:bottom w:w="100" w:type="dxa"/>
              <w:end w:w="110" w:type="dxa"/>
            </w:tcMar>
            <w:vAlign w:val="center"/>
          </w:tcPr>
          <w:p>
            <w:pPr>
              <w:spacing w:after="0"/>
            </w:pPr>
            <w:r>
              <w:rPr>
                <w:sz w:val="17"/>
              </w:rPr>
              <w:t>Editors</w:t>
            </w:r>
          </w:p>
        </w:tc>
        <w:tc>
          <w:tcPr>
            <w:tcW w:type="dxa" w:w="1655"/>
            <w:tcMar>
              <w:top w:w="100" w:type="dxa"/>
              <w:start w:w="110" w:type="dxa"/>
              <w:bottom w:w="100" w:type="dxa"/>
              <w:end w:w="110" w:type="dxa"/>
            </w:tcMar>
            <w:vAlign w:val="center"/>
          </w:tcPr>
          <w:p>
            <w:pPr>
              <w:spacing w:after="0"/>
            </w:pPr>
            <w:r>
              <w:rPr>
                <w:sz w:val="17"/>
              </w:rPr>
              <w:t>versioning</w:t>
            </w:r>
          </w:p>
        </w:tc>
      </w:tr>
    </w:tbl>
    <w:p>
      <w:pPr>
        <w:spacing w:after="20"/>
      </w:pPr>
    </w:p>
    <w:p>
      <w:pPr>
        <w:pStyle w:val="Heading2"/>
      </w:pPr>
      <w:r>
        <w:t>Analytical components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936"/>
            <w:shd w:fill="DCE8F3"/>
            <w:tcMar>
              <w:top w:w="100" w:type="dxa"/>
              <w:start w:w="110" w:type="dxa"/>
              <w:bottom w:w="100" w:type="dxa"/>
              <w:end w:w="110" w:type="dxa"/>
            </w:tcMar>
            <w:vAlign w:val="center"/>
          </w:tcPr>
          <w:p>
            <w:pPr>
              <w:jc w:val="center"/>
            </w:pPr>
            <w:r>
              <w:rPr>
                <w:b/>
                <w:color w:val="1C4160"/>
                <w:sz w:val="18"/>
              </w:rPr>
              <w:t>ID</w:t>
            </w:r>
          </w:p>
        </w:tc>
        <w:tc>
          <w:tcPr>
            <w:tcW w:type="dxa" w:w="1944"/>
            <w:shd w:fill="DCE8F3"/>
            <w:tcMar>
              <w:top w:w="100" w:type="dxa"/>
              <w:start w:w="110" w:type="dxa"/>
              <w:bottom w:w="100" w:type="dxa"/>
              <w:end w:w="110" w:type="dxa"/>
            </w:tcMar>
            <w:vAlign w:val="center"/>
          </w:tcPr>
          <w:p>
            <w:pPr>
              <w:jc w:val="center"/>
            </w:pPr>
            <w:r>
              <w:rPr>
                <w:b/>
                <w:color w:val="1C4160"/>
                <w:sz w:val="18"/>
              </w:rPr>
              <w:t>Component</w:t>
            </w:r>
          </w:p>
        </w:tc>
        <w:tc>
          <w:tcPr>
            <w:tcW w:type="dxa" w:w="792"/>
            <w:shd w:fill="DCE8F3"/>
            <w:tcMar>
              <w:top w:w="100" w:type="dxa"/>
              <w:start w:w="110" w:type="dxa"/>
              <w:bottom w:w="100" w:type="dxa"/>
              <w:end w:w="110" w:type="dxa"/>
            </w:tcMar>
            <w:vAlign w:val="center"/>
          </w:tcPr>
          <w:p>
            <w:pPr>
              <w:jc w:val="center"/>
            </w:pPr>
            <w:r>
              <w:rPr>
                <w:b/>
                <w:color w:val="1C4160"/>
                <w:sz w:val="18"/>
              </w:rPr>
              <w:t>Priority</w:t>
            </w:r>
          </w:p>
        </w:tc>
        <w:tc>
          <w:tcPr>
            <w:tcW w:type="dxa" w:w="3311"/>
            <w:shd w:fill="DCE8F3"/>
            <w:tcMar>
              <w:top w:w="100" w:type="dxa"/>
              <w:start w:w="110" w:type="dxa"/>
              <w:bottom w:w="100" w:type="dxa"/>
              <w:end w:w="110" w:type="dxa"/>
            </w:tcMar>
            <w:vAlign w:val="center"/>
          </w:tcPr>
          <w:p>
            <w:pPr>
              <w:jc w:val="center"/>
            </w:pPr>
            <w:r>
              <w:rPr>
                <w:b/>
                <w:color w:val="1C4160"/>
                <w:sz w:val="18"/>
              </w:rPr>
              <w:t>Purpose</w:t>
            </w:r>
          </w:p>
        </w:tc>
        <w:tc>
          <w:tcPr>
            <w:tcW w:type="dxa" w:w="1800"/>
            <w:shd w:fill="DCE8F3"/>
            <w:tcMar>
              <w:top w:w="100" w:type="dxa"/>
              <w:start w:w="110" w:type="dxa"/>
              <w:bottom w:w="100" w:type="dxa"/>
              <w:end w:w="110" w:type="dxa"/>
            </w:tcMar>
            <w:vAlign w:val="center"/>
          </w:tcPr>
          <w:p>
            <w:pPr>
              <w:jc w:val="center"/>
            </w:pPr>
            <w:r>
              <w:rPr>
                <w:b/>
                <w:color w:val="1C4160"/>
                <w:sz w:val="18"/>
              </w:rPr>
              <w:t>Primary usage</w:t>
            </w:r>
          </w:p>
        </w:tc>
        <w:tc>
          <w:tcPr>
            <w:tcW w:type="dxa" w:w="1655"/>
            <w:shd w:fill="DCE8F3"/>
            <w:tcMar>
              <w:top w:w="100" w:type="dxa"/>
              <w:start w:w="110" w:type="dxa"/>
              <w:bottom w:w="100" w:type="dxa"/>
              <w:end w:w="110" w:type="dxa"/>
            </w:tcMar>
            <w:vAlign w:val="center"/>
          </w:tcPr>
          <w:p>
            <w:pPr>
              <w:jc w:val="center"/>
            </w:pPr>
            <w:r>
              <w:rPr>
                <w:b/>
                <w:color w:val="1C4160"/>
                <w:sz w:val="18"/>
              </w:rPr>
              <w:t>Semantic owner</w:t>
            </w:r>
          </w:p>
        </w:tc>
      </w:tr>
      <w:tr>
        <w:trPr>
          <w:cantSplit/>
        </w:trPr>
        <w:tc>
          <w:tcPr>
            <w:tcW w:type="dxa" w:w="936"/>
            <w:tcMar>
              <w:top w:w="100" w:type="dxa"/>
              <w:start w:w="110" w:type="dxa"/>
              <w:bottom w:w="100" w:type="dxa"/>
              <w:end w:w="110" w:type="dxa"/>
            </w:tcMar>
            <w:vAlign w:val="center"/>
          </w:tcPr>
          <w:p>
            <w:pPr>
              <w:spacing w:after="0"/>
            </w:pPr>
            <w:r>
              <w:rPr>
                <w:sz w:val="17"/>
              </w:rPr>
              <w:t>ANA-001</w:t>
            </w:r>
          </w:p>
        </w:tc>
        <w:tc>
          <w:tcPr>
            <w:tcW w:type="dxa" w:w="1944"/>
            <w:tcMar>
              <w:top w:w="100" w:type="dxa"/>
              <w:start w:w="110" w:type="dxa"/>
              <w:bottom w:w="100" w:type="dxa"/>
              <w:end w:w="110" w:type="dxa"/>
            </w:tcMar>
            <w:vAlign w:val="center"/>
          </w:tcPr>
          <w:p>
            <w:pPr>
              <w:spacing w:after="0"/>
            </w:pPr>
            <w:r>
              <w:rPr>
                <w:sz w:val="17"/>
              </w:rPr>
              <w:t>AnalyticalStateBadge</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Claim/Fact/Inference/Candidate/Disputed/Unknown</w:t>
            </w:r>
          </w:p>
        </w:tc>
        <w:tc>
          <w:tcPr>
            <w:tcW w:type="dxa" w:w="1800"/>
            <w:tcMar>
              <w:top w:w="100" w:type="dxa"/>
              <w:start w:w="110" w:type="dxa"/>
              <w:bottom w:w="100" w:type="dxa"/>
              <w:end w:w="110" w:type="dxa"/>
            </w:tcMar>
            <w:vAlign w:val="center"/>
          </w:tcPr>
          <w:p>
            <w:pPr>
              <w:spacing w:after="0"/>
            </w:pPr>
            <w:r>
              <w:rPr>
                <w:sz w:val="17"/>
              </w:rPr>
              <w:t>Analysis</w:t>
            </w:r>
          </w:p>
        </w:tc>
        <w:tc>
          <w:tcPr>
            <w:tcW w:type="dxa" w:w="1655"/>
            <w:tcMar>
              <w:top w:w="100" w:type="dxa"/>
              <w:start w:w="110" w:type="dxa"/>
              <w:bottom w:w="100" w:type="dxa"/>
              <w:end w:w="110" w:type="dxa"/>
            </w:tcMar>
            <w:vAlign w:val="center"/>
          </w:tcPr>
          <w:p>
            <w:pPr>
              <w:spacing w:after="0"/>
            </w:pPr>
            <w:r>
              <w:rPr>
                <w:sz w:val="17"/>
              </w:rPr>
              <w:t>uncertainty</w:t>
            </w:r>
          </w:p>
        </w:tc>
      </w:tr>
      <w:tr>
        <w:trPr>
          <w:cantSplit/>
        </w:trPr>
        <w:tc>
          <w:tcPr>
            <w:tcW w:type="dxa" w:w="936"/>
            <w:tcMar>
              <w:top w:w="100" w:type="dxa"/>
              <w:start w:w="110" w:type="dxa"/>
              <w:bottom w:w="100" w:type="dxa"/>
              <w:end w:w="110" w:type="dxa"/>
            </w:tcMar>
            <w:vAlign w:val="center"/>
          </w:tcPr>
          <w:p>
            <w:pPr>
              <w:spacing w:after="0"/>
            </w:pPr>
            <w:r>
              <w:rPr>
                <w:sz w:val="17"/>
              </w:rPr>
              <w:t>ANA-002</w:t>
            </w:r>
          </w:p>
        </w:tc>
        <w:tc>
          <w:tcPr>
            <w:tcW w:type="dxa" w:w="1944"/>
            <w:tcMar>
              <w:top w:w="100" w:type="dxa"/>
              <w:start w:w="110" w:type="dxa"/>
              <w:bottom w:w="100" w:type="dxa"/>
              <w:end w:w="110" w:type="dxa"/>
            </w:tcMar>
            <w:vAlign w:val="center"/>
          </w:tcPr>
          <w:p>
            <w:pPr>
              <w:spacing w:after="0"/>
            </w:pPr>
            <w:r>
              <w:rPr>
                <w:sz w:val="17"/>
              </w:rPr>
              <w:t>ConfidenceBadge</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Controlled confidence label + rationale affordance</w:t>
            </w:r>
          </w:p>
        </w:tc>
        <w:tc>
          <w:tcPr>
            <w:tcW w:type="dxa" w:w="1800"/>
            <w:tcMar>
              <w:top w:w="100" w:type="dxa"/>
              <w:start w:w="110" w:type="dxa"/>
              <w:bottom w:w="100" w:type="dxa"/>
              <w:end w:w="110" w:type="dxa"/>
            </w:tcMar>
            <w:vAlign w:val="center"/>
          </w:tcPr>
          <w:p>
            <w:pPr>
              <w:spacing w:after="0"/>
            </w:pPr>
            <w:r>
              <w:rPr>
                <w:sz w:val="17"/>
              </w:rPr>
              <w:t>Assessment</w:t>
            </w:r>
          </w:p>
        </w:tc>
        <w:tc>
          <w:tcPr>
            <w:tcW w:type="dxa" w:w="1655"/>
            <w:tcMar>
              <w:top w:w="100" w:type="dxa"/>
              <w:start w:w="110" w:type="dxa"/>
              <w:bottom w:w="100" w:type="dxa"/>
              <w:end w:w="110" w:type="dxa"/>
            </w:tcMar>
            <w:vAlign w:val="center"/>
          </w:tcPr>
          <w:p>
            <w:pPr>
              <w:spacing w:after="0"/>
            </w:pPr>
            <w:r>
              <w:rPr>
                <w:sz w:val="17"/>
              </w:rPr>
              <w:t>confidence</w:t>
            </w:r>
          </w:p>
        </w:tc>
      </w:tr>
      <w:tr>
        <w:trPr>
          <w:cantSplit/>
        </w:trPr>
        <w:tc>
          <w:tcPr>
            <w:tcW w:type="dxa" w:w="936"/>
            <w:tcMar>
              <w:top w:w="100" w:type="dxa"/>
              <w:start w:w="110" w:type="dxa"/>
              <w:bottom w:w="100" w:type="dxa"/>
              <w:end w:w="110" w:type="dxa"/>
            </w:tcMar>
            <w:vAlign w:val="center"/>
          </w:tcPr>
          <w:p>
            <w:pPr>
              <w:spacing w:after="0"/>
            </w:pPr>
            <w:r>
              <w:rPr>
                <w:sz w:val="17"/>
              </w:rPr>
              <w:t>ANA-003</w:t>
            </w:r>
          </w:p>
        </w:tc>
        <w:tc>
          <w:tcPr>
            <w:tcW w:type="dxa" w:w="1944"/>
            <w:tcMar>
              <w:top w:w="100" w:type="dxa"/>
              <w:start w:w="110" w:type="dxa"/>
              <w:bottom w:w="100" w:type="dxa"/>
              <w:end w:w="110" w:type="dxa"/>
            </w:tcMar>
            <w:vAlign w:val="center"/>
          </w:tcPr>
          <w:p>
            <w:pPr>
              <w:spacing w:after="0"/>
            </w:pPr>
            <w:r>
              <w:rPr>
                <w:sz w:val="17"/>
              </w:rPr>
              <w:t>FlowClassBadge</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DIRECT/DOCUMENTED/RECONSTRUCTED/HYPOTHETICAL</w:t>
            </w:r>
          </w:p>
        </w:tc>
        <w:tc>
          <w:tcPr>
            <w:tcW w:type="dxa" w:w="1800"/>
            <w:tcMar>
              <w:top w:w="100" w:type="dxa"/>
              <w:start w:w="110" w:type="dxa"/>
              <w:bottom w:w="100" w:type="dxa"/>
              <w:end w:w="110" w:type="dxa"/>
            </w:tcMar>
            <w:vAlign w:val="center"/>
          </w:tcPr>
          <w:p>
            <w:pPr>
              <w:spacing w:after="0"/>
            </w:pPr>
            <w:r>
              <w:rPr>
                <w:sz w:val="17"/>
              </w:rPr>
              <w:t>Value Flow</w:t>
            </w:r>
          </w:p>
        </w:tc>
        <w:tc>
          <w:tcPr>
            <w:tcW w:type="dxa" w:w="1655"/>
            <w:tcMar>
              <w:top w:w="100" w:type="dxa"/>
              <w:start w:w="110" w:type="dxa"/>
              <w:bottom w:w="100" w:type="dxa"/>
              <w:end w:w="110" w:type="dxa"/>
            </w:tcMar>
            <w:vAlign w:val="center"/>
          </w:tcPr>
          <w:p>
            <w:pPr>
              <w:spacing w:after="0"/>
            </w:pPr>
            <w:r>
              <w:rPr>
                <w:sz w:val="17"/>
              </w:rPr>
              <w:t>epistemic class</w:t>
            </w:r>
          </w:p>
        </w:tc>
      </w:tr>
      <w:tr>
        <w:trPr>
          <w:cantSplit/>
        </w:trPr>
        <w:tc>
          <w:tcPr>
            <w:tcW w:type="dxa" w:w="936"/>
            <w:tcMar>
              <w:top w:w="100" w:type="dxa"/>
              <w:start w:w="110" w:type="dxa"/>
              <w:bottom w:w="100" w:type="dxa"/>
              <w:end w:w="110" w:type="dxa"/>
            </w:tcMar>
            <w:vAlign w:val="center"/>
          </w:tcPr>
          <w:p>
            <w:pPr>
              <w:spacing w:after="0"/>
            </w:pPr>
            <w:r>
              <w:rPr>
                <w:sz w:val="17"/>
              </w:rPr>
              <w:t>ANA-004</w:t>
            </w:r>
          </w:p>
        </w:tc>
        <w:tc>
          <w:tcPr>
            <w:tcW w:type="dxa" w:w="1944"/>
            <w:tcMar>
              <w:top w:w="100" w:type="dxa"/>
              <w:start w:w="110" w:type="dxa"/>
              <w:bottom w:w="100" w:type="dxa"/>
              <w:end w:w="110" w:type="dxa"/>
            </w:tcMar>
            <w:vAlign w:val="center"/>
          </w:tcPr>
          <w:p>
            <w:pPr>
              <w:spacing w:after="0"/>
            </w:pPr>
            <w:r>
              <w:rPr>
                <w:sz w:val="17"/>
              </w:rPr>
              <w:t>EvidenceCitation</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Canonical evidence citation with location</w:t>
            </w:r>
          </w:p>
        </w:tc>
        <w:tc>
          <w:tcPr>
            <w:tcW w:type="dxa" w:w="1800"/>
            <w:tcMar>
              <w:top w:w="100" w:type="dxa"/>
              <w:start w:w="110" w:type="dxa"/>
              <w:bottom w:w="100" w:type="dxa"/>
              <w:end w:w="110" w:type="dxa"/>
            </w:tcMar>
            <w:vAlign w:val="center"/>
          </w:tcPr>
          <w:p>
            <w:pPr>
              <w:spacing w:after="0"/>
            </w:pPr>
            <w:r>
              <w:rPr>
                <w:sz w:val="17"/>
              </w:rPr>
              <w:t>Evidence/Product</w:t>
            </w:r>
          </w:p>
        </w:tc>
        <w:tc>
          <w:tcPr>
            <w:tcW w:type="dxa" w:w="1655"/>
            <w:tcMar>
              <w:top w:w="100" w:type="dxa"/>
              <w:start w:w="110" w:type="dxa"/>
              <w:bottom w:w="100" w:type="dxa"/>
              <w:end w:w="110" w:type="dxa"/>
            </w:tcMar>
            <w:vAlign w:val="center"/>
          </w:tcPr>
          <w:p>
            <w:pPr>
              <w:spacing w:after="0"/>
            </w:pPr>
            <w:r>
              <w:rPr>
                <w:sz w:val="17"/>
              </w:rPr>
              <w:t>provenance</w:t>
            </w:r>
          </w:p>
        </w:tc>
      </w:tr>
      <w:tr>
        <w:trPr>
          <w:cantSplit/>
        </w:trPr>
        <w:tc>
          <w:tcPr>
            <w:tcW w:type="dxa" w:w="936"/>
            <w:tcMar>
              <w:top w:w="100" w:type="dxa"/>
              <w:start w:w="110" w:type="dxa"/>
              <w:bottom w:w="100" w:type="dxa"/>
              <w:end w:w="110" w:type="dxa"/>
            </w:tcMar>
            <w:vAlign w:val="center"/>
          </w:tcPr>
          <w:p>
            <w:pPr>
              <w:spacing w:after="0"/>
            </w:pPr>
            <w:r>
              <w:rPr>
                <w:sz w:val="17"/>
              </w:rPr>
              <w:t>ANA-005</w:t>
            </w:r>
          </w:p>
        </w:tc>
        <w:tc>
          <w:tcPr>
            <w:tcW w:type="dxa" w:w="1944"/>
            <w:tcMar>
              <w:top w:w="100" w:type="dxa"/>
              <w:start w:w="110" w:type="dxa"/>
              <w:bottom w:w="100" w:type="dxa"/>
              <w:end w:w="110" w:type="dxa"/>
            </w:tcMar>
            <w:vAlign w:val="center"/>
          </w:tcPr>
          <w:p>
            <w:pPr>
              <w:spacing w:after="0"/>
            </w:pPr>
            <w:r>
              <w:rPr>
                <w:sz w:val="17"/>
              </w:rPr>
              <w:t>ProvenanceTrail</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Source→Evidence→Derivative lineage summary</w:t>
            </w:r>
          </w:p>
        </w:tc>
        <w:tc>
          <w:tcPr>
            <w:tcW w:type="dxa" w:w="1800"/>
            <w:tcMar>
              <w:top w:w="100" w:type="dxa"/>
              <w:start w:w="110" w:type="dxa"/>
              <w:bottom w:w="100" w:type="dxa"/>
              <w:end w:w="110" w:type="dxa"/>
            </w:tcMar>
            <w:vAlign w:val="center"/>
          </w:tcPr>
          <w:p>
            <w:pPr>
              <w:spacing w:after="0"/>
            </w:pPr>
            <w:r>
              <w:rPr>
                <w:sz w:val="17"/>
              </w:rPr>
              <w:t>Evidence</w:t>
            </w:r>
          </w:p>
        </w:tc>
        <w:tc>
          <w:tcPr>
            <w:tcW w:type="dxa" w:w="1655"/>
            <w:tcMar>
              <w:top w:w="100" w:type="dxa"/>
              <w:start w:w="110" w:type="dxa"/>
              <w:bottom w:w="100" w:type="dxa"/>
              <w:end w:w="110" w:type="dxa"/>
            </w:tcMar>
            <w:vAlign w:val="center"/>
          </w:tcPr>
          <w:p>
            <w:pPr>
              <w:spacing w:after="0"/>
            </w:pPr>
            <w:r>
              <w:rPr>
                <w:sz w:val="17"/>
              </w:rPr>
              <w:t>provenance</w:t>
            </w:r>
          </w:p>
        </w:tc>
      </w:tr>
      <w:tr>
        <w:trPr>
          <w:cantSplit/>
        </w:trPr>
        <w:tc>
          <w:tcPr>
            <w:tcW w:type="dxa" w:w="936"/>
            <w:tcMar>
              <w:top w:w="100" w:type="dxa"/>
              <w:start w:w="110" w:type="dxa"/>
              <w:bottom w:w="100" w:type="dxa"/>
              <w:end w:w="110" w:type="dxa"/>
            </w:tcMar>
            <w:vAlign w:val="center"/>
          </w:tcPr>
          <w:p>
            <w:pPr>
              <w:spacing w:after="0"/>
            </w:pPr>
            <w:r>
              <w:rPr>
                <w:sz w:val="17"/>
              </w:rPr>
              <w:t>ANA-006</w:t>
            </w:r>
          </w:p>
        </w:tc>
        <w:tc>
          <w:tcPr>
            <w:tcW w:type="dxa" w:w="1944"/>
            <w:tcMar>
              <w:top w:w="100" w:type="dxa"/>
              <w:start w:w="110" w:type="dxa"/>
              <w:bottom w:w="100" w:type="dxa"/>
              <w:end w:w="110" w:type="dxa"/>
            </w:tcMar>
            <w:vAlign w:val="center"/>
          </w:tcPr>
          <w:p>
            <w:pPr>
              <w:spacing w:after="0"/>
            </w:pPr>
            <w:r>
              <w:rPr>
                <w:sz w:val="17"/>
              </w:rPr>
              <w:t>SourceRating</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A-F reliability display/input</w:t>
            </w:r>
          </w:p>
        </w:tc>
        <w:tc>
          <w:tcPr>
            <w:tcW w:type="dxa" w:w="1800"/>
            <w:tcMar>
              <w:top w:w="100" w:type="dxa"/>
              <w:start w:w="110" w:type="dxa"/>
              <w:bottom w:w="100" w:type="dxa"/>
              <w:end w:w="110" w:type="dxa"/>
            </w:tcMar>
            <w:vAlign w:val="center"/>
          </w:tcPr>
          <w:p>
            <w:pPr>
              <w:spacing w:after="0"/>
            </w:pPr>
            <w:r>
              <w:rPr>
                <w:sz w:val="17"/>
              </w:rPr>
              <w:t>Source</w:t>
            </w:r>
          </w:p>
        </w:tc>
        <w:tc>
          <w:tcPr>
            <w:tcW w:type="dxa" w:w="1655"/>
            <w:tcMar>
              <w:top w:w="100" w:type="dxa"/>
              <w:start w:w="110" w:type="dxa"/>
              <w:bottom w:w="100" w:type="dxa"/>
              <w:end w:w="110" w:type="dxa"/>
            </w:tcMar>
            <w:vAlign w:val="center"/>
          </w:tcPr>
          <w:p>
            <w:pPr>
              <w:spacing w:after="0"/>
            </w:pPr>
            <w:r>
              <w:rPr>
                <w:sz w:val="17"/>
              </w:rPr>
              <w:t>source evaluation</w:t>
            </w:r>
          </w:p>
        </w:tc>
      </w:tr>
      <w:tr>
        <w:trPr>
          <w:cantSplit/>
        </w:trPr>
        <w:tc>
          <w:tcPr>
            <w:tcW w:type="dxa" w:w="936"/>
            <w:tcMar>
              <w:top w:w="100" w:type="dxa"/>
              <w:start w:w="110" w:type="dxa"/>
              <w:bottom w:w="100" w:type="dxa"/>
              <w:end w:w="110" w:type="dxa"/>
            </w:tcMar>
            <w:vAlign w:val="center"/>
          </w:tcPr>
          <w:p>
            <w:pPr>
              <w:spacing w:after="0"/>
            </w:pPr>
            <w:r>
              <w:rPr>
                <w:sz w:val="17"/>
              </w:rPr>
              <w:t>ANA-007</w:t>
            </w:r>
          </w:p>
        </w:tc>
        <w:tc>
          <w:tcPr>
            <w:tcW w:type="dxa" w:w="1944"/>
            <w:tcMar>
              <w:top w:w="100" w:type="dxa"/>
              <w:start w:w="110" w:type="dxa"/>
              <w:bottom w:w="100" w:type="dxa"/>
              <w:end w:w="110" w:type="dxa"/>
            </w:tcMar>
            <w:vAlign w:val="center"/>
          </w:tcPr>
          <w:p>
            <w:pPr>
              <w:spacing w:after="0"/>
            </w:pPr>
            <w:r>
              <w:rPr>
                <w:sz w:val="17"/>
              </w:rPr>
              <w:t>CredibilityRating</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1-6 information credibility</w:t>
            </w:r>
          </w:p>
        </w:tc>
        <w:tc>
          <w:tcPr>
            <w:tcW w:type="dxa" w:w="1800"/>
            <w:tcMar>
              <w:top w:w="100" w:type="dxa"/>
              <w:start w:w="110" w:type="dxa"/>
              <w:bottom w:w="100" w:type="dxa"/>
              <w:end w:w="110" w:type="dxa"/>
            </w:tcMar>
            <w:vAlign w:val="center"/>
          </w:tcPr>
          <w:p>
            <w:pPr>
              <w:spacing w:after="0"/>
            </w:pPr>
            <w:r>
              <w:rPr>
                <w:sz w:val="17"/>
              </w:rPr>
              <w:t>Claims</w:t>
            </w:r>
          </w:p>
        </w:tc>
        <w:tc>
          <w:tcPr>
            <w:tcW w:type="dxa" w:w="1655"/>
            <w:tcMar>
              <w:top w:w="100" w:type="dxa"/>
              <w:start w:w="110" w:type="dxa"/>
              <w:bottom w:w="100" w:type="dxa"/>
              <w:end w:w="110" w:type="dxa"/>
            </w:tcMar>
            <w:vAlign w:val="center"/>
          </w:tcPr>
          <w:p>
            <w:pPr>
              <w:spacing w:after="0"/>
            </w:pPr>
            <w:r>
              <w:rPr>
                <w:sz w:val="17"/>
              </w:rPr>
              <w:t>information evaluation</w:t>
            </w:r>
          </w:p>
        </w:tc>
      </w:tr>
      <w:tr>
        <w:trPr>
          <w:cantSplit/>
        </w:trPr>
        <w:tc>
          <w:tcPr>
            <w:tcW w:type="dxa" w:w="936"/>
            <w:tcMar>
              <w:top w:w="100" w:type="dxa"/>
              <w:start w:w="110" w:type="dxa"/>
              <w:bottom w:w="100" w:type="dxa"/>
              <w:end w:w="110" w:type="dxa"/>
            </w:tcMar>
            <w:vAlign w:val="center"/>
          </w:tcPr>
          <w:p>
            <w:pPr>
              <w:spacing w:after="0"/>
            </w:pPr>
            <w:r>
              <w:rPr>
                <w:sz w:val="17"/>
              </w:rPr>
              <w:t>ANA-008</w:t>
            </w:r>
          </w:p>
        </w:tc>
        <w:tc>
          <w:tcPr>
            <w:tcW w:type="dxa" w:w="1944"/>
            <w:tcMar>
              <w:top w:w="100" w:type="dxa"/>
              <w:start w:w="110" w:type="dxa"/>
              <w:bottom w:w="100" w:type="dxa"/>
              <w:end w:w="110" w:type="dxa"/>
            </w:tcMar>
            <w:vAlign w:val="center"/>
          </w:tcPr>
          <w:p>
            <w:pPr>
              <w:spacing w:after="0"/>
            </w:pPr>
            <w:r>
              <w:rPr>
                <w:sz w:val="17"/>
              </w:rPr>
              <w:t>EntitySummaryCard</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Canonical identity summary without accusation</w:t>
            </w:r>
          </w:p>
        </w:tc>
        <w:tc>
          <w:tcPr>
            <w:tcW w:type="dxa" w:w="1800"/>
            <w:tcMar>
              <w:top w:w="100" w:type="dxa"/>
              <w:start w:w="110" w:type="dxa"/>
              <w:bottom w:w="100" w:type="dxa"/>
              <w:end w:w="110" w:type="dxa"/>
            </w:tcMar>
            <w:vAlign w:val="center"/>
          </w:tcPr>
          <w:p>
            <w:pPr>
              <w:spacing w:after="0"/>
            </w:pPr>
            <w:r>
              <w:rPr>
                <w:sz w:val="17"/>
              </w:rPr>
              <w:t>Entity</w:t>
            </w:r>
          </w:p>
        </w:tc>
        <w:tc>
          <w:tcPr>
            <w:tcW w:type="dxa" w:w="1655"/>
            <w:tcMar>
              <w:top w:w="100" w:type="dxa"/>
              <w:start w:w="110" w:type="dxa"/>
              <w:bottom w:w="100" w:type="dxa"/>
              <w:end w:w="110" w:type="dxa"/>
            </w:tcMar>
            <w:vAlign w:val="center"/>
          </w:tcPr>
          <w:p>
            <w:pPr>
              <w:spacing w:after="0"/>
            </w:pPr>
            <w:r>
              <w:rPr>
                <w:sz w:val="17"/>
              </w:rPr>
              <w:t>identity</w:t>
            </w:r>
          </w:p>
        </w:tc>
      </w:tr>
      <w:tr>
        <w:trPr>
          <w:cantSplit/>
        </w:trPr>
        <w:tc>
          <w:tcPr>
            <w:tcW w:type="dxa" w:w="936"/>
            <w:tcMar>
              <w:top w:w="100" w:type="dxa"/>
              <w:start w:w="110" w:type="dxa"/>
              <w:bottom w:w="100" w:type="dxa"/>
              <w:end w:w="110" w:type="dxa"/>
            </w:tcMar>
            <w:vAlign w:val="center"/>
          </w:tcPr>
          <w:p>
            <w:pPr>
              <w:spacing w:after="0"/>
            </w:pPr>
            <w:r>
              <w:rPr>
                <w:sz w:val="17"/>
              </w:rPr>
              <w:t>ANA-009</w:t>
            </w:r>
          </w:p>
        </w:tc>
        <w:tc>
          <w:tcPr>
            <w:tcW w:type="dxa" w:w="1944"/>
            <w:tcMar>
              <w:top w:w="100" w:type="dxa"/>
              <w:start w:w="110" w:type="dxa"/>
              <w:bottom w:w="100" w:type="dxa"/>
              <w:end w:w="110" w:type="dxa"/>
            </w:tcMar>
            <w:vAlign w:val="center"/>
          </w:tcPr>
          <w:p>
            <w:pPr>
              <w:spacing w:after="0"/>
            </w:pPr>
            <w:r>
              <w:rPr>
                <w:sz w:val="17"/>
              </w:rPr>
              <w:t>RelationshipSummary</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Typed evidence-backed relationship summary</w:t>
            </w:r>
          </w:p>
        </w:tc>
        <w:tc>
          <w:tcPr>
            <w:tcW w:type="dxa" w:w="1800"/>
            <w:tcMar>
              <w:top w:w="100" w:type="dxa"/>
              <w:start w:w="110" w:type="dxa"/>
              <w:bottom w:w="100" w:type="dxa"/>
              <w:end w:w="110" w:type="dxa"/>
            </w:tcMar>
            <w:vAlign w:val="center"/>
          </w:tcPr>
          <w:p>
            <w:pPr>
              <w:spacing w:after="0"/>
            </w:pPr>
            <w:r>
              <w:rPr>
                <w:sz w:val="17"/>
              </w:rPr>
              <w:t>Entity/Graph</w:t>
            </w:r>
          </w:p>
        </w:tc>
        <w:tc>
          <w:tcPr>
            <w:tcW w:type="dxa" w:w="1655"/>
            <w:tcMar>
              <w:top w:w="100" w:type="dxa"/>
              <w:start w:w="110" w:type="dxa"/>
              <w:bottom w:w="100" w:type="dxa"/>
              <w:end w:w="110" w:type="dxa"/>
            </w:tcMar>
            <w:vAlign w:val="center"/>
          </w:tcPr>
          <w:p>
            <w:pPr>
              <w:spacing w:after="0"/>
            </w:pPr>
            <w:r>
              <w:rPr>
                <w:sz w:val="17"/>
              </w:rPr>
              <w:t>relationship</w:t>
            </w:r>
          </w:p>
        </w:tc>
      </w:tr>
      <w:tr>
        <w:trPr>
          <w:cantSplit/>
        </w:trPr>
        <w:tc>
          <w:tcPr>
            <w:tcW w:type="dxa" w:w="936"/>
            <w:tcMar>
              <w:top w:w="100" w:type="dxa"/>
              <w:start w:w="110" w:type="dxa"/>
              <w:bottom w:w="100" w:type="dxa"/>
              <w:end w:w="110" w:type="dxa"/>
            </w:tcMar>
            <w:vAlign w:val="center"/>
          </w:tcPr>
          <w:p>
            <w:pPr>
              <w:spacing w:after="0"/>
            </w:pPr>
            <w:r>
              <w:rPr>
                <w:sz w:val="17"/>
              </w:rPr>
              <w:t>ANA-010</w:t>
            </w:r>
          </w:p>
        </w:tc>
        <w:tc>
          <w:tcPr>
            <w:tcW w:type="dxa" w:w="1944"/>
            <w:tcMar>
              <w:top w:w="100" w:type="dxa"/>
              <w:start w:w="110" w:type="dxa"/>
              <w:bottom w:w="100" w:type="dxa"/>
              <w:end w:w="110" w:type="dxa"/>
            </w:tcMar>
            <w:vAlign w:val="center"/>
          </w:tcPr>
          <w:p>
            <w:pPr>
              <w:spacing w:after="0"/>
            </w:pPr>
            <w:r>
              <w:rPr>
                <w:sz w:val="17"/>
              </w:rPr>
              <w:t>AssetAttribution</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Ownership/control/use attribution display</w:t>
            </w:r>
          </w:p>
        </w:tc>
        <w:tc>
          <w:tcPr>
            <w:tcW w:type="dxa" w:w="1800"/>
            <w:tcMar>
              <w:top w:w="100" w:type="dxa"/>
              <w:start w:w="110" w:type="dxa"/>
              <w:bottom w:w="100" w:type="dxa"/>
              <w:end w:w="110" w:type="dxa"/>
            </w:tcMar>
            <w:vAlign w:val="center"/>
          </w:tcPr>
          <w:p>
            <w:pPr>
              <w:spacing w:after="0"/>
            </w:pPr>
            <w:r>
              <w:rPr>
                <w:sz w:val="17"/>
              </w:rPr>
              <w:t>Asset</w:t>
            </w:r>
          </w:p>
        </w:tc>
        <w:tc>
          <w:tcPr>
            <w:tcW w:type="dxa" w:w="1655"/>
            <w:tcMar>
              <w:top w:w="100" w:type="dxa"/>
              <w:start w:w="110" w:type="dxa"/>
              <w:bottom w:w="100" w:type="dxa"/>
              <w:end w:w="110" w:type="dxa"/>
            </w:tcMar>
            <w:vAlign w:val="center"/>
          </w:tcPr>
          <w:p>
            <w:pPr>
              <w:spacing w:after="0"/>
            </w:pPr>
            <w:r>
              <w:rPr>
                <w:sz w:val="17"/>
              </w:rPr>
              <w:t>asset attribution</w:t>
            </w:r>
          </w:p>
        </w:tc>
      </w:tr>
      <w:tr>
        <w:trPr>
          <w:cantSplit/>
        </w:trPr>
        <w:tc>
          <w:tcPr>
            <w:tcW w:type="dxa" w:w="936"/>
            <w:tcMar>
              <w:top w:w="100" w:type="dxa"/>
              <w:start w:w="110" w:type="dxa"/>
              <w:bottom w:w="100" w:type="dxa"/>
              <w:end w:w="110" w:type="dxa"/>
            </w:tcMar>
            <w:vAlign w:val="center"/>
          </w:tcPr>
          <w:p>
            <w:pPr>
              <w:spacing w:after="0"/>
            </w:pPr>
            <w:r>
              <w:rPr>
                <w:sz w:val="17"/>
              </w:rPr>
              <w:t>ANA-011</w:t>
            </w:r>
          </w:p>
        </w:tc>
        <w:tc>
          <w:tcPr>
            <w:tcW w:type="dxa" w:w="1944"/>
            <w:tcMar>
              <w:top w:w="100" w:type="dxa"/>
              <w:start w:w="110" w:type="dxa"/>
              <w:bottom w:w="100" w:type="dxa"/>
              <w:end w:w="110" w:type="dxa"/>
            </w:tcMar>
            <w:vAlign w:val="center"/>
          </w:tcPr>
          <w:p>
            <w:pPr>
              <w:spacing w:after="0"/>
            </w:pPr>
            <w:r>
              <w:rPr>
                <w:sz w:val="17"/>
              </w:rPr>
              <w:t>TemporalPrecision</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Exact/approx/range/unknown date cue</w:t>
            </w:r>
          </w:p>
        </w:tc>
        <w:tc>
          <w:tcPr>
            <w:tcW w:type="dxa" w:w="1800"/>
            <w:tcMar>
              <w:top w:w="100" w:type="dxa"/>
              <w:start w:w="110" w:type="dxa"/>
              <w:bottom w:w="100" w:type="dxa"/>
              <w:end w:w="110" w:type="dxa"/>
            </w:tcMar>
            <w:vAlign w:val="center"/>
          </w:tcPr>
          <w:p>
            <w:pPr>
              <w:spacing w:after="0"/>
            </w:pPr>
            <w:r>
              <w:rPr>
                <w:sz w:val="17"/>
              </w:rPr>
              <w:t>Timeline</w:t>
            </w:r>
          </w:p>
        </w:tc>
        <w:tc>
          <w:tcPr>
            <w:tcW w:type="dxa" w:w="1655"/>
            <w:tcMar>
              <w:top w:w="100" w:type="dxa"/>
              <w:start w:w="110" w:type="dxa"/>
              <w:bottom w:w="100" w:type="dxa"/>
              <w:end w:w="110" w:type="dxa"/>
            </w:tcMar>
            <w:vAlign w:val="center"/>
          </w:tcPr>
          <w:p>
            <w:pPr>
              <w:spacing w:after="0"/>
            </w:pPr>
            <w:r>
              <w:rPr>
                <w:sz w:val="17"/>
              </w:rPr>
              <w:t>temporal semantics</w:t>
            </w:r>
          </w:p>
        </w:tc>
      </w:tr>
      <w:tr>
        <w:trPr>
          <w:cantSplit/>
        </w:trPr>
        <w:tc>
          <w:tcPr>
            <w:tcW w:type="dxa" w:w="936"/>
            <w:tcMar>
              <w:top w:w="100" w:type="dxa"/>
              <w:start w:w="110" w:type="dxa"/>
              <w:bottom w:w="100" w:type="dxa"/>
              <w:end w:w="110" w:type="dxa"/>
            </w:tcMar>
            <w:vAlign w:val="center"/>
          </w:tcPr>
          <w:p>
            <w:pPr>
              <w:spacing w:after="0"/>
            </w:pPr>
            <w:r>
              <w:rPr>
                <w:sz w:val="17"/>
              </w:rPr>
              <w:t>ANA-012</w:t>
            </w:r>
          </w:p>
        </w:tc>
        <w:tc>
          <w:tcPr>
            <w:tcW w:type="dxa" w:w="1944"/>
            <w:tcMar>
              <w:top w:w="100" w:type="dxa"/>
              <w:start w:w="110" w:type="dxa"/>
              <w:bottom w:w="100" w:type="dxa"/>
              <w:end w:w="110" w:type="dxa"/>
            </w:tcMar>
            <w:vAlign w:val="center"/>
          </w:tcPr>
          <w:p>
            <w:pPr>
              <w:spacing w:after="0"/>
            </w:pPr>
            <w:r>
              <w:rPr>
                <w:sz w:val="17"/>
              </w:rPr>
              <w:t>EvidenceInspector</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Evidence/provenance/context rail</w:t>
            </w:r>
          </w:p>
        </w:tc>
        <w:tc>
          <w:tcPr>
            <w:tcW w:type="dxa" w:w="1800"/>
            <w:tcMar>
              <w:top w:w="100" w:type="dxa"/>
              <w:start w:w="110" w:type="dxa"/>
              <w:bottom w:w="100" w:type="dxa"/>
              <w:end w:w="110" w:type="dxa"/>
            </w:tcMar>
            <w:vAlign w:val="center"/>
          </w:tcPr>
          <w:p>
            <w:pPr>
              <w:spacing w:after="0"/>
            </w:pPr>
            <w:r>
              <w:rPr>
                <w:sz w:val="17"/>
              </w:rPr>
              <w:t>Evidence/Analysis</w:t>
            </w:r>
          </w:p>
        </w:tc>
        <w:tc>
          <w:tcPr>
            <w:tcW w:type="dxa" w:w="1655"/>
            <w:tcMar>
              <w:top w:w="100" w:type="dxa"/>
              <w:start w:w="110" w:type="dxa"/>
              <w:bottom w:w="100" w:type="dxa"/>
              <w:end w:w="110" w:type="dxa"/>
            </w:tcMar>
            <w:vAlign w:val="center"/>
          </w:tcPr>
          <w:p>
            <w:pPr>
              <w:spacing w:after="0"/>
            </w:pPr>
            <w:r>
              <w:rPr>
                <w:sz w:val="17"/>
              </w:rPr>
              <w:t>provenance</w:t>
            </w:r>
          </w:p>
        </w:tc>
      </w:tr>
      <w:tr>
        <w:trPr>
          <w:cantSplit/>
        </w:trPr>
        <w:tc>
          <w:tcPr>
            <w:tcW w:type="dxa" w:w="936"/>
            <w:tcMar>
              <w:top w:w="100" w:type="dxa"/>
              <w:start w:w="110" w:type="dxa"/>
              <w:bottom w:w="100" w:type="dxa"/>
              <w:end w:w="110" w:type="dxa"/>
            </w:tcMar>
            <w:vAlign w:val="center"/>
          </w:tcPr>
          <w:p>
            <w:pPr>
              <w:spacing w:after="0"/>
            </w:pPr>
            <w:r>
              <w:rPr>
                <w:sz w:val="17"/>
              </w:rPr>
              <w:t>ANA-013</w:t>
            </w:r>
          </w:p>
        </w:tc>
        <w:tc>
          <w:tcPr>
            <w:tcW w:type="dxa" w:w="1944"/>
            <w:tcMar>
              <w:top w:w="100" w:type="dxa"/>
              <w:start w:w="110" w:type="dxa"/>
              <w:bottom w:w="100" w:type="dxa"/>
              <w:end w:w="110" w:type="dxa"/>
            </w:tcMar>
            <w:vAlign w:val="center"/>
          </w:tcPr>
          <w:p>
            <w:pPr>
              <w:spacing w:after="0"/>
            </w:pPr>
            <w:r>
              <w:rPr>
                <w:sz w:val="17"/>
              </w:rPr>
              <w:t>GraphNode</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Neutral canonical-object node</w:t>
            </w:r>
          </w:p>
        </w:tc>
        <w:tc>
          <w:tcPr>
            <w:tcW w:type="dxa" w:w="1800"/>
            <w:tcMar>
              <w:top w:w="100" w:type="dxa"/>
              <w:start w:w="110" w:type="dxa"/>
              <w:bottom w:w="100" w:type="dxa"/>
              <w:end w:w="110" w:type="dxa"/>
            </w:tcMar>
            <w:vAlign w:val="center"/>
          </w:tcPr>
          <w:p>
            <w:pPr>
              <w:spacing w:after="0"/>
            </w:pPr>
            <w:r>
              <w:rPr>
                <w:sz w:val="17"/>
              </w:rPr>
              <w:t>Graph</w:t>
            </w:r>
          </w:p>
        </w:tc>
        <w:tc>
          <w:tcPr>
            <w:tcW w:type="dxa" w:w="1655"/>
            <w:tcMar>
              <w:top w:w="100" w:type="dxa"/>
              <w:start w:w="110" w:type="dxa"/>
              <w:bottom w:w="100" w:type="dxa"/>
              <w:end w:w="110" w:type="dxa"/>
            </w:tcMar>
            <w:vAlign w:val="center"/>
          </w:tcPr>
          <w:p>
            <w:pPr>
              <w:spacing w:after="0"/>
            </w:pPr>
            <w:r>
              <w:rPr>
                <w:sz w:val="17"/>
              </w:rPr>
              <w:t>graph semantics</w:t>
            </w:r>
          </w:p>
        </w:tc>
      </w:tr>
      <w:tr>
        <w:trPr>
          <w:cantSplit/>
        </w:trPr>
        <w:tc>
          <w:tcPr>
            <w:tcW w:type="dxa" w:w="936"/>
            <w:tcMar>
              <w:top w:w="100" w:type="dxa"/>
              <w:start w:w="110" w:type="dxa"/>
              <w:bottom w:w="100" w:type="dxa"/>
              <w:end w:w="110" w:type="dxa"/>
            </w:tcMar>
            <w:vAlign w:val="center"/>
          </w:tcPr>
          <w:p>
            <w:pPr>
              <w:spacing w:after="0"/>
            </w:pPr>
            <w:r>
              <w:rPr>
                <w:sz w:val="17"/>
              </w:rPr>
              <w:t>ANA-014</w:t>
            </w:r>
          </w:p>
        </w:tc>
        <w:tc>
          <w:tcPr>
            <w:tcW w:type="dxa" w:w="1944"/>
            <w:tcMar>
              <w:top w:w="100" w:type="dxa"/>
              <w:start w:w="110" w:type="dxa"/>
              <w:bottom w:w="100" w:type="dxa"/>
              <w:end w:w="110" w:type="dxa"/>
            </w:tcMar>
            <w:vAlign w:val="center"/>
          </w:tcPr>
          <w:p>
            <w:pPr>
              <w:spacing w:after="0"/>
            </w:pPr>
            <w:r>
              <w:rPr>
                <w:sz w:val="17"/>
              </w:rPr>
              <w:t>GraphEdge</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Evidence-backed relationship/value-flow edge</w:t>
            </w:r>
          </w:p>
        </w:tc>
        <w:tc>
          <w:tcPr>
            <w:tcW w:type="dxa" w:w="1800"/>
            <w:tcMar>
              <w:top w:w="100" w:type="dxa"/>
              <w:start w:w="110" w:type="dxa"/>
              <w:bottom w:w="100" w:type="dxa"/>
              <w:end w:w="110" w:type="dxa"/>
            </w:tcMar>
            <w:vAlign w:val="center"/>
          </w:tcPr>
          <w:p>
            <w:pPr>
              <w:spacing w:after="0"/>
            </w:pPr>
            <w:r>
              <w:rPr>
                <w:sz w:val="17"/>
              </w:rPr>
              <w:t>Graph</w:t>
            </w:r>
          </w:p>
        </w:tc>
        <w:tc>
          <w:tcPr>
            <w:tcW w:type="dxa" w:w="1655"/>
            <w:tcMar>
              <w:top w:w="100" w:type="dxa"/>
              <w:start w:w="110" w:type="dxa"/>
              <w:bottom w:w="100" w:type="dxa"/>
              <w:end w:w="110" w:type="dxa"/>
            </w:tcMar>
            <w:vAlign w:val="center"/>
          </w:tcPr>
          <w:p>
            <w:pPr>
              <w:spacing w:after="0"/>
            </w:pPr>
            <w:r>
              <w:rPr>
                <w:sz w:val="17"/>
              </w:rPr>
              <w:t>graph semantics</w:t>
            </w:r>
          </w:p>
        </w:tc>
      </w:tr>
      <w:tr>
        <w:trPr>
          <w:cantSplit/>
        </w:trPr>
        <w:tc>
          <w:tcPr>
            <w:tcW w:type="dxa" w:w="936"/>
            <w:tcMar>
              <w:top w:w="100" w:type="dxa"/>
              <w:start w:w="110" w:type="dxa"/>
              <w:bottom w:w="100" w:type="dxa"/>
              <w:end w:w="110" w:type="dxa"/>
            </w:tcMar>
            <w:vAlign w:val="center"/>
          </w:tcPr>
          <w:p>
            <w:pPr>
              <w:spacing w:after="0"/>
            </w:pPr>
            <w:r>
              <w:rPr>
                <w:sz w:val="17"/>
              </w:rPr>
              <w:t>ANA-015</w:t>
            </w:r>
          </w:p>
        </w:tc>
        <w:tc>
          <w:tcPr>
            <w:tcW w:type="dxa" w:w="1944"/>
            <w:tcMar>
              <w:top w:w="100" w:type="dxa"/>
              <w:start w:w="110" w:type="dxa"/>
              <w:bottom w:w="100" w:type="dxa"/>
              <w:end w:w="110" w:type="dxa"/>
            </w:tcMar>
            <w:vAlign w:val="center"/>
          </w:tcPr>
          <w:p>
            <w:pPr>
              <w:spacing w:after="0"/>
            </w:pPr>
            <w:r>
              <w:rPr>
                <w:sz w:val="17"/>
              </w:rPr>
              <w:t>GraphLegend</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Visible relationship/flow semantics</w:t>
            </w:r>
          </w:p>
        </w:tc>
        <w:tc>
          <w:tcPr>
            <w:tcW w:type="dxa" w:w="1800"/>
            <w:tcMar>
              <w:top w:w="100" w:type="dxa"/>
              <w:start w:w="110" w:type="dxa"/>
              <w:bottom w:w="100" w:type="dxa"/>
              <w:end w:w="110" w:type="dxa"/>
            </w:tcMar>
            <w:vAlign w:val="center"/>
          </w:tcPr>
          <w:p>
            <w:pPr>
              <w:spacing w:after="0"/>
            </w:pPr>
            <w:r>
              <w:rPr>
                <w:sz w:val="17"/>
              </w:rPr>
              <w:t>Graph</w:t>
            </w:r>
          </w:p>
        </w:tc>
        <w:tc>
          <w:tcPr>
            <w:tcW w:type="dxa" w:w="1655"/>
            <w:tcMar>
              <w:top w:w="100" w:type="dxa"/>
              <w:start w:w="110" w:type="dxa"/>
              <w:bottom w:w="100" w:type="dxa"/>
              <w:end w:w="110" w:type="dxa"/>
            </w:tcMar>
            <w:vAlign w:val="center"/>
          </w:tcPr>
          <w:p>
            <w:pPr>
              <w:spacing w:after="0"/>
            </w:pPr>
            <w:r>
              <w:rPr>
                <w:sz w:val="17"/>
              </w:rPr>
              <w:t>legend</w:t>
            </w:r>
          </w:p>
        </w:tc>
      </w:tr>
      <w:tr>
        <w:trPr>
          <w:cantSplit/>
        </w:trPr>
        <w:tc>
          <w:tcPr>
            <w:tcW w:type="dxa" w:w="936"/>
            <w:tcMar>
              <w:top w:w="100" w:type="dxa"/>
              <w:start w:w="110" w:type="dxa"/>
              <w:bottom w:w="100" w:type="dxa"/>
              <w:end w:w="110" w:type="dxa"/>
            </w:tcMar>
            <w:vAlign w:val="center"/>
          </w:tcPr>
          <w:p>
            <w:pPr>
              <w:spacing w:after="0"/>
            </w:pPr>
            <w:r>
              <w:rPr>
                <w:sz w:val="17"/>
              </w:rPr>
              <w:t>ANA-016</w:t>
            </w:r>
          </w:p>
        </w:tc>
        <w:tc>
          <w:tcPr>
            <w:tcW w:type="dxa" w:w="1944"/>
            <w:tcMar>
              <w:top w:w="100" w:type="dxa"/>
              <w:start w:w="110" w:type="dxa"/>
              <w:bottom w:w="100" w:type="dxa"/>
              <w:end w:w="110" w:type="dxa"/>
            </w:tcMar>
            <w:vAlign w:val="center"/>
          </w:tcPr>
          <w:p>
            <w:pPr>
              <w:spacing w:after="0"/>
            </w:pPr>
            <w:r>
              <w:rPr>
                <w:sz w:val="17"/>
              </w:rPr>
              <w:t>TimelineItem</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Evidence-linked event item</w:t>
            </w:r>
          </w:p>
        </w:tc>
        <w:tc>
          <w:tcPr>
            <w:tcW w:type="dxa" w:w="1800"/>
            <w:tcMar>
              <w:top w:w="100" w:type="dxa"/>
              <w:start w:w="110" w:type="dxa"/>
              <w:bottom w:w="100" w:type="dxa"/>
              <w:end w:w="110" w:type="dxa"/>
            </w:tcMar>
            <w:vAlign w:val="center"/>
          </w:tcPr>
          <w:p>
            <w:pPr>
              <w:spacing w:after="0"/>
            </w:pPr>
            <w:r>
              <w:rPr>
                <w:sz w:val="17"/>
              </w:rPr>
              <w:t>Timeline</w:t>
            </w:r>
          </w:p>
        </w:tc>
        <w:tc>
          <w:tcPr>
            <w:tcW w:type="dxa" w:w="1655"/>
            <w:tcMar>
              <w:top w:w="100" w:type="dxa"/>
              <w:start w:w="110" w:type="dxa"/>
              <w:bottom w:w="100" w:type="dxa"/>
              <w:end w:w="110" w:type="dxa"/>
            </w:tcMar>
            <w:vAlign w:val="center"/>
          </w:tcPr>
          <w:p>
            <w:pPr>
              <w:spacing w:after="0"/>
            </w:pPr>
            <w:r>
              <w:rPr>
                <w:sz w:val="17"/>
              </w:rPr>
              <w:t>chronology</w:t>
            </w:r>
          </w:p>
        </w:tc>
      </w:tr>
      <w:tr>
        <w:trPr>
          <w:cantSplit/>
        </w:trPr>
        <w:tc>
          <w:tcPr>
            <w:tcW w:type="dxa" w:w="936"/>
            <w:tcMar>
              <w:top w:w="100" w:type="dxa"/>
              <w:start w:w="110" w:type="dxa"/>
              <w:bottom w:w="100" w:type="dxa"/>
              <w:end w:w="110" w:type="dxa"/>
            </w:tcMar>
            <w:vAlign w:val="center"/>
          </w:tcPr>
          <w:p>
            <w:pPr>
              <w:spacing w:after="0"/>
            </w:pPr>
            <w:r>
              <w:rPr>
                <w:sz w:val="17"/>
              </w:rPr>
              <w:t>ANA-017</w:t>
            </w:r>
          </w:p>
        </w:tc>
        <w:tc>
          <w:tcPr>
            <w:tcW w:type="dxa" w:w="1944"/>
            <w:tcMar>
              <w:top w:w="100" w:type="dxa"/>
              <w:start w:w="110" w:type="dxa"/>
              <w:bottom w:w="100" w:type="dxa"/>
              <w:end w:w="110" w:type="dxa"/>
            </w:tcMar>
            <w:vAlign w:val="center"/>
          </w:tcPr>
          <w:p>
            <w:pPr>
              <w:spacing w:after="0"/>
            </w:pPr>
            <w:r>
              <w:rPr>
                <w:sz w:val="17"/>
              </w:rPr>
              <w:t>HypothesisCard</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Hypothesis state, rationale and evidence balance</w:t>
            </w:r>
          </w:p>
        </w:tc>
        <w:tc>
          <w:tcPr>
            <w:tcW w:type="dxa" w:w="1800"/>
            <w:tcMar>
              <w:top w:w="100" w:type="dxa"/>
              <w:start w:w="110" w:type="dxa"/>
              <w:bottom w:w="100" w:type="dxa"/>
              <w:end w:w="110" w:type="dxa"/>
            </w:tcMar>
            <w:vAlign w:val="center"/>
          </w:tcPr>
          <w:p>
            <w:pPr>
              <w:spacing w:after="0"/>
            </w:pPr>
            <w:r>
              <w:rPr>
                <w:sz w:val="17"/>
              </w:rPr>
              <w:t>Hypothesis</w:t>
            </w:r>
          </w:p>
        </w:tc>
        <w:tc>
          <w:tcPr>
            <w:tcW w:type="dxa" w:w="1655"/>
            <w:tcMar>
              <w:top w:w="100" w:type="dxa"/>
              <w:start w:w="110" w:type="dxa"/>
              <w:bottom w:w="100" w:type="dxa"/>
              <w:end w:w="110" w:type="dxa"/>
            </w:tcMar>
            <w:vAlign w:val="center"/>
          </w:tcPr>
          <w:p>
            <w:pPr>
              <w:spacing w:after="0"/>
            </w:pPr>
            <w:r>
              <w:rPr>
                <w:sz w:val="17"/>
              </w:rPr>
              <w:t>reasoning</w:t>
            </w:r>
          </w:p>
        </w:tc>
      </w:tr>
      <w:tr>
        <w:trPr>
          <w:cantSplit/>
        </w:trPr>
        <w:tc>
          <w:tcPr>
            <w:tcW w:type="dxa" w:w="936"/>
            <w:tcMar>
              <w:top w:w="100" w:type="dxa"/>
              <w:start w:w="110" w:type="dxa"/>
              <w:bottom w:w="100" w:type="dxa"/>
              <w:end w:w="110" w:type="dxa"/>
            </w:tcMar>
            <w:vAlign w:val="center"/>
          </w:tcPr>
          <w:p>
            <w:pPr>
              <w:spacing w:after="0"/>
            </w:pPr>
            <w:r>
              <w:rPr>
                <w:sz w:val="17"/>
              </w:rPr>
              <w:t>ANA-018</w:t>
            </w:r>
          </w:p>
        </w:tc>
        <w:tc>
          <w:tcPr>
            <w:tcW w:type="dxa" w:w="1944"/>
            <w:tcMar>
              <w:top w:w="100" w:type="dxa"/>
              <w:start w:w="110" w:type="dxa"/>
              <w:bottom w:w="100" w:type="dxa"/>
              <w:end w:w="110" w:type="dxa"/>
            </w:tcMar>
            <w:vAlign w:val="center"/>
          </w:tcPr>
          <w:p>
            <w:pPr>
              <w:spacing w:after="0"/>
            </w:pPr>
            <w:r>
              <w:rPr>
                <w:sz w:val="17"/>
              </w:rPr>
              <w:t>EvidenceBalanceMatrix</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Support/contradict/neutral/unknown matrix</w:t>
            </w:r>
          </w:p>
        </w:tc>
        <w:tc>
          <w:tcPr>
            <w:tcW w:type="dxa" w:w="1800"/>
            <w:tcMar>
              <w:top w:w="100" w:type="dxa"/>
              <w:start w:w="110" w:type="dxa"/>
              <w:bottom w:w="100" w:type="dxa"/>
              <w:end w:w="110" w:type="dxa"/>
            </w:tcMar>
            <w:vAlign w:val="center"/>
          </w:tcPr>
          <w:p>
            <w:pPr>
              <w:spacing w:after="0"/>
            </w:pPr>
            <w:r>
              <w:rPr>
                <w:sz w:val="17"/>
              </w:rPr>
              <w:t>Hypothesis</w:t>
            </w:r>
          </w:p>
        </w:tc>
        <w:tc>
          <w:tcPr>
            <w:tcW w:type="dxa" w:w="1655"/>
            <w:tcMar>
              <w:top w:w="100" w:type="dxa"/>
              <w:start w:w="110" w:type="dxa"/>
              <w:bottom w:w="100" w:type="dxa"/>
              <w:end w:w="110" w:type="dxa"/>
            </w:tcMar>
            <w:vAlign w:val="center"/>
          </w:tcPr>
          <w:p>
            <w:pPr>
              <w:spacing w:after="0"/>
            </w:pPr>
            <w:r>
              <w:rPr>
                <w:sz w:val="17"/>
              </w:rPr>
              <w:t>reasoning</w:t>
            </w:r>
          </w:p>
        </w:tc>
      </w:tr>
      <w:tr>
        <w:trPr>
          <w:cantSplit/>
        </w:trPr>
        <w:tc>
          <w:tcPr>
            <w:tcW w:type="dxa" w:w="936"/>
            <w:tcMar>
              <w:top w:w="100" w:type="dxa"/>
              <w:start w:w="110" w:type="dxa"/>
              <w:bottom w:w="100" w:type="dxa"/>
              <w:end w:w="110" w:type="dxa"/>
            </w:tcMar>
            <w:vAlign w:val="center"/>
          </w:tcPr>
          <w:p>
            <w:pPr>
              <w:spacing w:after="0"/>
            </w:pPr>
            <w:r>
              <w:rPr>
                <w:sz w:val="17"/>
              </w:rPr>
              <w:t>ANA-019</w:t>
            </w:r>
          </w:p>
        </w:tc>
        <w:tc>
          <w:tcPr>
            <w:tcW w:type="dxa" w:w="1944"/>
            <w:tcMar>
              <w:top w:w="100" w:type="dxa"/>
              <w:start w:w="110" w:type="dxa"/>
              <w:bottom w:w="100" w:type="dxa"/>
              <w:end w:w="110" w:type="dxa"/>
            </w:tcMar>
            <w:vAlign w:val="center"/>
          </w:tcPr>
          <w:p>
            <w:pPr>
              <w:spacing w:after="0"/>
            </w:pPr>
            <w:r>
              <w:rPr>
                <w:sz w:val="17"/>
              </w:rPr>
              <w:t>IntelligenceGapItem</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Explicit unknown/gap display</w:t>
            </w:r>
          </w:p>
        </w:tc>
        <w:tc>
          <w:tcPr>
            <w:tcW w:type="dxa" w:w="1800"/>
            <w:tcMar>
              <w:top w:w="100" w:type="dxa"/>
              <w:start w:w="110" w:type="dxa"/>
              <w:bottom w:w="100" w:type="dxa"/>
              <w:end w:w="110" w:type="dxa"/>
            </w:tcMar>
            <w:vAlign w:val="center"/>
          </w:tcPr>
          <w:p>
            <w:pPr>
              <w:spacing w:after="0"/>
            </w:pPr>
            <w:r>
              <w:rPr>
                <w:sz w:val="17"/>
              </w:rPr>
              <w:t>Assessment</w:t>
            </w:r>
          </w:p>
        </w:tc>
        <w:tc>
          <w:tcPr>
            <w:tcW w:type="dxa" w:w="1655"/>
            <w:tcMar>
              <w:top w:w="100" w:type="dxa"/>
              <w:start w:w="110" w:type="dxa"/>
              <w:bottom w:w="100" w:type="dxa"/>
              <w:end w:w="110" w:type="dxa"/>
            </w:tcMar>
            <w:vAlign w:val="center"/>
          </w:tcPr>
          <w:p>
            <w:pPr>
              <w:spacing w:after="0"/>
            </w:pPr>
            <w:r>
              <w:rPr>
                <w:sz w:val="17"/>
              </w:rPr>
              <w:t>uncertainty</w:t>
            </w:r>
          </w:p>
        </w:tc>
      </w:tr>
      <w:tr>
        <w:trPr>
          <w:cantSplit/>
        </w:trPr>
        <w:tc>
          <w:tcPr>
            <w:tcW w:type="dxa" w:w="936"/>
            <w:tcMar>
              <w:top w:w="100" w:type="dxa"/>
              <w:start w:w="110" w:type="dxa"/>
              <w:bottom w:w="100" w:type="dxa"/>
              <w:end w:w="110" w:type="dxa"/>
            </w:tcMar>
            <w:vAlign w:val="center"/>
          </w:tcPr>
          <w:p>
            <w:pPr>
              <w:spacing w:after="0"/>
            </w:pPr>
            <w:r>
              <w:rPr>
                <w:sz w:val="17"/>
              </w:rPr>
              <w:t>ANA-020</w:t>
            </w:r>
          </w:p>
        </w:tc>
        <w:tc>
          <w:tcPr>
            <w:tcW w:type="dxa" w:w="1944"/>
            <w:tcMar>
              <w:top w:w="100" w:type="dxa"/>
              <w:start w:w="110" w:type="dxa"/>
              <w:bottom w:w="100" w:type="dxa"/>
              <w:end w:w="110" w:type="dxa"/>
            </w:tcMar>
            <w:vAlign w:val="center"/>
          </w:tcPr>
          <w:p>
            <w:pPr>
              <w:spacing w:after="0"/>
            </w:pPr>
            <w:r>
              <w:rPr>
                <w:sz w:val="17"/>
              </w:rPr>
              <w:t>TypologyMatchPanel</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Indicators/counter-indicators/alternatives</w:t>
            </w:r>
          </w:p>
        </w:tc>
        <w:tc>
          <w:tcPr>
            <w:tcW w:type="dxa" w:w="1800"/>
            <w:tcMar>
              <w:top w:w="100" w:type="dxa"/>
              <w:start w:w="110" w:type="dxa"/>
              <w:bottom w:w="100" w:type="dxa"/>
              <w:end w:w="110" w:type="dxa"/>
            </w:tcMar>
            <w:vAlign w:val="center"/>
          </w:tcPr>
          <w:p>
            <w:pPr>
              <w:spacing w:after="0"/>
            </w:pPr>
            <w:r>
              <w:rPr>
                <w:sz w:val="17"/>
              </w:rPr>
              <w:t>Typology</w:t>
            </w:r>
          </w:p>
        </w:tc>
        <w:tc>
          <w:tcPr>
            <w:tcW w:type="dxa" w:w="1655"/>
            <w:tcMar>
              <w:top w:w="100" w:type="dxa"/>
              <w:start w:w="110" w:type="dxa"/>
              <w:bottom w:w="100" w:type="dxa"/>
              <w:end w:w="110" w:type="dxa"/>
            </w:tcMar>
            <w:vAlign w:val="center"/>
          </w:tcPr>
          <w:p>
            <w:pPr>
              <w:spacing w:after="0"/>
            </w:pPr>
            <w:r>
              <w:rPr>
                <w:sz w:val="17"/>
              </w:rPr>
              <w:t>typology caution</w:t>
            </w:r>
          </w:p>
        </w:tc>
      </w:tr>
      <w:tr>
        <w:trPr>
          <w:cantSplit/>
        </w:trPr>
        <w:tc>
          <w:tcPr>
            <w:tcW w:type="dxa" w:w="936"/>
            <w:tcMar>
              <w:top w:w="100" w:type="dxa"/>
              <w:start w:w="110" w:type="dxa"/>
              <w:bottom w:w="100" w:type="dxa"/>
              <w:end w:w="110" w:type="dxa"/>
            </w:tcMar>
            <w:vAlign w:val="center"/>
          </w:tcPr>
          <w:p>
            <w:pPr>
              <w:spacing w:after="0"/>
            </w:pPr>
            <w:r>
              <w:rPr>
                <w:sz w:val="17"/>
              </w:rPr>
              <w:t>ANA-021</w:t>
            </w:r>
          </w:p>
        </w:tc>
        <w:tc>
          <w:tcPr>
            <w:tcW w:type="dxa" w:w="1944"/>
            <w:tcMar>
              <w:top w:w="100" w:type="dxa"/>
              <w:start w:w="110" w:type="dxa"/>
              <w:bottom w:w="100" w:type="dxa"/>
              <w:end w:w="110" w:type="dxa"/>
            </w:tcMar>
            <w:vAlign w:val="center"/>
          </w:tcPr>
          <w:p>
            <w:pPr>
              <w:spacing w:after="0"/>
            </w:pPr>
            <w:r>
              <w:rPr>
                <w:sz w:val="17"/>
              </w:rPr>
              <w:t>AssessmentSummary</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Judgement, confidence, basis, gaps</w:t>
            </w:r>
          </w:p>
        </w:tc>
        <w:tc>
          <w:tcPr>
            <w:tcW w:type="dxa" w:w="1800"/>
            <w:tcMar>
              <w:top w:w="100" w:type="dxa"/>
              <w:start w:w="110" w:type="dxa"/>
              <w:bottom w:w="100" w:type="dxa"/>
              <w:end w:w="110" w:type="dxa"/>
            </w:tcMar>
            <w:vAlign w:val="center"/>
          </w:tcPr>
          <w:p>
            <w:pPr>
              <w:spacing w:after="0"/>
            </w:pPr>
            <w:r>
              <w:rPr>
                <w:sz w:val="17"/>
              </w:rPr>
              <w:t>Assessment</w:t>
            </w:r>
          </w:p>
        </w:tc>
        <w:tc>
          <w:tcPr>
            <w:tcW w:type="dxa" w:w="1655"/>
            <w:tcMar>
              <w:top w:w="100" w:type="dxa"/>
              <w:start w:w="110" w:type="dxa"/>
              <w:bottom w:w="100" w:type="dxa"/>
              <w:end w:w="110" w:type="dxa"/>
            </w:tcMar>
            <w:vAlign w:val="center"/>
          </w:tcPr>
          <w:p>
            <w:pPr>
              <w:spacing w:after="0"/>
            </w:pPr>
            <w:r>
              <w:rPr>
                <w:sz w:val="17"/>
              </w:rPr>
              <w:t>assessment</w:t>
            </w:r>
          </w:p>
        </w:tc>
      </w:tr>
      <w:tr>
        <w:trPr>
          <w:cantSplit/>
        </w:trPr>
        <w:tc>
          <w:tcPr>
            <w:tcW w:type="dxa" w:w="936"/>
            <w:tcMar>
              <w:top w:w="100" w:type="dxa"/>
              <w:start w:w="110" w:type="dxa"/>
              <w:bottom w:w="100" w:type="dxa"/>
              <w:end w:w="110" w:type="dxa"/>
            </w:tcMar>
            <w:vAlign w:val="center"/>
          </w:tcPr>
          <w:p>
            <w:pPr>
              <w:spacing w:after="0"/>
            </w:pPr>
            <w:r>
              <w:rPr>
                <w:sz w:val="17"/>
              </w:rPr>
              <w:t>ANA-022</w:t>
            </w:r>
          </w:p>
        </w:tc>
        <w:tc>
          <w:tcPr>
            <w:tcW w:type="dxa" w:w="1944"/>
            <w:tcMar>
              <w:top w:w="100" w:type="dxa"/>
              <w:start w:w="110" w:type="dxa"/>
              <w:bottom w:w="100" w:type="dxa"/>
              <w:end w:w="110" w:type="dxa"/>
            </w:tcMar>
            <w:vAlign w:val="center"/>
          </w:tcPr>
          <w:p>
            <w:pPr>
              <w:spacing w:after="0"/>
            </w:pPr>
            <w:r>
              <w:rPr>
                <w:sz w:val="17"/>
              </w:rPr>
              <w:t>ReviewDecisionPanel</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Comment/request changes/approve/reject</w:t>
            </w:r>
          </w:p>
        </w:tc>
        <w:tc>
          <w:tcPr>
            <w:tcW w:type="dxa" w:w="1800"/>
            <w:tcMar>
              <w:top w:w="100" w:type="dxa"/>
              <w:start w:w="110" w:type="dxa"/>
              <w:bottom w:w="100" w:type="dxa"/>
              <w:end w:w="110" w:type="dxa"/>
            </w:tcMar>
            <w:vAlign w:val="center"/>
          </w:tcPr>
          <w:p>
            <w:pPr>
              <w:spacing w:after="0"/>
            </w:pPr>
            <w:r>
              <w:rPr>
                <w:sz w:val="17"/>
              </w:rPr>
              <w:t>Review</w:t>
            </w:r>
          </w:p>
        </w:tc>
        <w:tc>
          <w:tcPr>
            <w:tcW w:type="dxa" w:w="1655"/>
            <w:tcMar>
              <w:top w:w="100" w:type="dxa"/>
              <w:start w:w="110" w:type="dxa"/>
              <w:bottom w:w="100" w:type="dxa"/>
              <w:end w:w="110" w:type="dxa"/>
            </w:tcMar>
            <w:vAlign w:val="center"/>
          </w:tcPr>
          <w:p>
            <w:pPr>
              <w:spacing w:after="0"/>
            </w:pPr>
            <w:r>
              <w:rPr>
                <w:sz w:val="17"/>
              </w:rPr>
              <w:t>review</w:t>
            </w:r>
          </w:p>
        </w:tc>
      </w:tr>
      <w:tr>
        <w:trPr>
          <w:cantSplit/>
        </w:trPr>
        <w:tc>
          <w:tcPr>
            <w:tcW w:type="dxa" w:w="936"/>
            <w:tcMar>
              <w:top w:w="100" w:type="dxa"/>
              <w:start w:w="110" w:type="dxa"/>
              <w:bottom w:w="100" w:type="dxa"/>
              <w:end w:w="110" w:type="dxa"/>
            </w:tcMar>
            <w:vAlign w:val="center"/>
          </w:tcPr>
          <w:p>
            <w:pPr>
              <w:spacing w:after="0"/>
            </w:pPr>
            <w:r>
              <w:rPr>
                <w:sz w:val="17"/>
              </w:rPr>
              <w:t>ANA-023</w:t>
            </w:r>
          </w:p>
        </w:tc>
        <w:tc>
          <w:tcPr>
            <w:tcW w:type="dxa" w:w="1944"/>
            <w:tcMar>
              <w:top w:w="100" w:type="dxa"/>
              <w:start w:w="110" w:type="dxa"/>
              <w:bottom w:w="100" w:type="dxa"/>
              <w:end w:w="110" w:type="dxa"/>
            </w:tcMar>
            <w:vAlign w:val="center"/>
          </w:tcPr>
          <w:p>
            <w:pPr>
              <w:spacing w:after="0"/>
            </w:pPr>
            <w:r>
              <w:rPr>
                <w:sz w:val="17"/>
              </w:rPr>
              <w:t>ClassificationBanner</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Handling/classification context</w:t>
            </w:r>
          </w:p>
        </w:tc>
        <w:tc>
          <w:tcPr>
            <w:tcW w:type="dxa" w:w="1800"/>
            <w:tcMar>
              <w:top w:w="100" w:type="dxa"/>
              <w:start w:w="110" w:type="dxa"/>
              <w:bottom w:w="100" w:type="dxa"/>
              <w:end w:w="110" w:type="dxa"/>
            </w:tcMar>
            <w:vAlign w:val="center"/>
          </w:tcPr>
          <w:p>
            <w:pPr>
              <w:spacing w:after="0"/>
            </w:pPr>
            <w:r>
              <w:rPr>
                <w:sz w:val="17"/>
              </w:rPr>
              <w:t>All sensitive</w:t>
            </w:r>
          </w:p>
        </w:tc>
        <w:tc>
          <w:tcPr>
            <w:tcW w:type="dxa" w:w="1655"/>
            <w:tcMar>
              <w:top w:w="100" w:type="dxa"/>
              <w:start w:w="110" w:type="dxa"/>
              <w:bottom w:w="100" w:type="dxa"/>
              <w:end w:w="110" w:type="dxa"/>
            </w:tcMar>
            <w:vAlign w:val="center"/>
          </w:tcPr>
          <w:p>
            <w:pPr>
              <w:spacing w:after="0"/>
            </w:pPr>
            <w:r>
              <w:rPr>
                <w:sz w:val="17"/>
              </w:rPr>
              <w:t>security</w:t>
            </w:r>
          </w:p>
        </w:tc>
      </w:tr>
      <w:tr>
        <w:trPr>
          <w:cantSplit/>
        </w:trPr>
        <w:tc>
          <w:tcPr>
            <w:tcW w:type="dxa" w:w="936"/>
            <w:tcMar>
              <w:top w:w="100" w:type="dxa"/>
              <w:start w:w="110" w:type="dxa"/>
              <w:bottom w:w="100" w:type="dxa"/>
              <w:end w:w="110" w:type="dxa"/>
            </w:tcMar>
            <w:vAlign w:val="center"/>
          </w:tcPr>
          <w:p>
            <w:pPr>
              <w:spacing w:after="0"/>
            </w:pPr>
            <w:r>
              <w:rPr>
                <w:sz w:val="17"/>
              </w:rPr>
              <w:t>ANA-024</w:t>
            </w:r>
          </w:p>
        </w:tc>
        <w:tc>
          <w:tcPr>
            <w:tcW w:type="dxa" w:w="1944"/>
            <w:tcMar>
              <w:top w:w="100" w:type="dxa"/>
              <w:start w:w="110" w:type="dxa"/>
              <w:bottom w:w="100" w:type="dxa"/>
              <w:end w:w="110" w:type="dxa"/>
            </w:tcMar>
            <w:vAlign w:val="center"/>
          </w:tcPr>
          <w:p>
            <w:pPr>
              <w:spacing w:after="0"/>
            </w:pPr>
            <w:r>
              <w:rPr>
                <w:sz w:val="17"/>
              </w:rPr>
              <w:t>ProtectedSourceMarker</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Authorized protected-source presence indicator without identity leak</w:t>
            </w:r>
          </w:p>
        </w:tc>
        <w:tc>
          <w:tcPr>
            <w:tcW w:type="dxa" w:w="1800"/>
            <w:tcMar>
              <w:top w:w="100" w:type="dxa"/>
              <w:start w:w="110" w:type="dxa"/>
              <w:bottom w:w="100" w:type="dxa"/>
              <w:end w:w="110" w:type="dxa"/>
            </w:tcMar>
            <w:vAlign w:val="center"/>
          </w:tcPr>
          <w:p>
            <w:pPr>
              <w:spacing w:after="0"/>
            </w:pPr>
            <w:r>
              <w:rPr>
                <w:sz w:val="17"/>
              </w:rPr>
              <w:t>Source</w:t>
            </w:r>
          </w:p>
        </w:tc>
        <w:tc>
          <w:tcPr>
            <w:tcW w:type="dxa" w:w="1655"/>
            <w:tcMar>
              <w:top w:w="100" w:type="dxa"/>
              <w:start w:w="110" w:type="dxa"/>
              <w:bottom w:w="100" w:type="dxa"/>
              <w:end w:w="110" w:type="dxa"/>
            </w:tcMar>
            <w:vAlign w:val="center"/>
          </w:tcPr>
          <w:p>
            <w:pPr>
              <w:spacing w:after="0"/>
            </w:pPr>
            <w:r>
              <w:rPr>
                <w:sz w:val="17"/>
              </w:rPr>
              <w:t>source protection</w:t>
            </w:r>
          </w:p>
        </w:tc>
      </w:tr>
    </w:tbl>
    <w:p>
      <w:pPr>
        <w:spacing w:after="20"/>
      </w:pPr>
    </w:p>
    <w:p>
      <w:pPr>
        <w:pStyle w:val="Heading2"/>
      </w:pPr>
      <w:r>
        <w:t>Compound components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rPr>
          <w:tblHeader w:val="true"/>
        </w:trPr>
        <w:tc>
          <w:tcPr>
            <w:tcW w:type="dxa" w:w="936"/>
            <w:shd w:fill="DCE8F3"/>
            <w:tcMar>
              <w:top w:w="100" w:type="dxa"/>
              <w:start w:w="110" w:type="dxa"/>
              <w:bottom w:w="100" w:type="dxa"/>
              <w:end w:w="110" w:type="dxa"/>
            </w:tcMar>
            <w:vAlign w:val="center"/>
          </w:tcPr>
          <w:p>
            <w:pPr>
              <w:jc w:val="center"/>
            </w:pPr>
            <w:r>
              <w:rPr>
                <w:b/>
                <w:color w:val="1C4160"/>
                <w:sz w:val="18"/>
              </w:rPr>
              <w:t>ID</w:t>
            </w:r>
          </w:p>
        </w:tc>
        <w:tc>
          <w:tcPr>
            <w:tcW w:type="dxa" w:w="1944"/>
            <w:shd w:fill="DCE8F3"/>
            <w:tcMar>
              <w:top w:w="100" w:type="dxa"/>
              <w:start w:w="110" w:type="dxa"/>
              <w:bottom w:w="100" w:type="dxa"/>
              <w:end w:w="110" w:type="dxa"/>
            </w:tcMar>
            <w:vAlign w:val="center"/>
          </w:tcPr>
          <w:p>
            <w:pPr>
              <w:jc w:val="center"/>
            </w:pPr>
            <w:r>
              <w:rPr>
                <w:b/>
                <w:color w:val="1C4160"/>
                <w:sz w:val="18"/>
              </w:rPr>
              <w:t>Component</w:t>
            </w:r>
          </w:p>
        </w:tc>
        <w:tc>
          <w:tcPr>
            <w:tcW w:type="dxa" w:w="792"/>
            <w:shd w:fill="DCE8F3"/>
            <w:tcMar>
              <w:top w:w="100" w:type="dxa"/>
              <w:start w:w="110" w:type="dxa"/>
              <w:bottom w:w="100" w:type="dxa"/>
              <w:end w:w="110" w:type="dxa"/>
            </w:tcMar>
            <w:vAlign w:val="center"/>
          </w:tcPr>
          <w:p>
            <w:pPr>
              <w:jc w:val="center"/>
            </w:pPr>
            <w:r>
              <w:rPr>
                <w:b/>
                <w:color w:val="1C4160"/>
                <w:sz w:val="18"/>
              </w:rPr>
              <w:t>Priority</w:t>
            </w:r>
          </w:p>
        </w:tc>
        <w:tc>
          <w:tcPr>
            <w:tcW w:type="dxa" w:w="3311"/>
            <w:shd w:fill="DCE8F3"/>
            <w:tcMar>
              <w:top w:w="100" w:type="dxa"/>
              <w:start w:w="110" w:type="dxa"/>
              <w:bottom w:w="100" w:type="dxa"/>
              <w:end w:w="110" w:type="dxa"/>
            </w:tcMar>
            <w:vAlign w:val="center"/>
          </w:tcPr>
          <w:p>
            <w:pPr>
              <w:jc w:val="center"/>
            </w:pPr>
            <w:r>
              <w:rPr>
                <w:b/>
                <w:color w:val="1C4160"/>
                <w:sz w:val="18"/>
              </w:rPr>
              <w:t>Purpose</w:t>
            </w:r>
          </w:p>
        </w:tc>
        <w:tc>
          <w:tcPr>
            <w:tcW w:type="dxa" w:w="1800"/>
            <w:shd w:fill="DCE8F3"/>
            <w:tcMar>
              <w:top w:w="100" w:type="dxa"/>
              <w:start w:w="110" w:type="dxa"/>
              <w:bottom w:w="100" w:type="dxa"/>
              <w:end w:w="110" w:type="dxa"/>
            </w:tcMar>
            <w:vAlign w:val="center"/>
          </w:tcPr>
          <w:p>
            <w:pPr>
              <w:jc w:val="center"/>
            </w:pPr>
            <w:r>
              <w:rPr>
                <w:b/>
                <w:color w:val="1C4160"/>
                <w:sz w:val="18"/>
              </w:rPr>
              <w:t>Primary usage</w:t>
            </w:r>
          </w:p>
        </w:tc>
        <w:tc>
          <w:tcPr>
            <w:tcW w:type="dxa" w:w="1655"/>
            <w:shd w:fill="DCE8F3"/>
            <w:tcMar>
              <w:top w:w="100" w:type="dxa"/>
              <w:start w:w="110" w:type="dxa"/>
              <w:bottom w:w="100" w:type="dxa"/>
              <w:end w:w="110" w:type="dxa"/>
            </w:tcMar>
            <w:vAlign w:val="center"/>
          </w:tcPr>
          <w:p>
            <w:pPr>
              <w:jc w:val="center"/>
            </w:pPr>
            <w:r>
              <w:rPr>
                <w:b/>
                <w:color w:val="1C4160"/>
                <w:sz w:val="18"/>
              </w:rPr>
              <w:t>Semantic owner</w:t>
            </w:r>
          </w:p>
        </w:tc>
      </w:tr>
      <w:tr>
        <w:trPr>
          <w:cantSplit/>
        </w:trPr>
        <w:tc>
          <w:tcPr>
            <w:tcW w:type="dxa" w:w="936"/>
            <w:tcMar>
              <w:top w:w="100" w:type="dxa"/>
              <w:start w:w="110" w:type="dxa"/>
              <w:bottom w:w="100" w:type="dxa"/>
              <w:end w:w="110" w:type="dxa"/>
            </w:tcMar>
            <w:vAlign w:val="center"/>
          </w:tcPr>
          <w:p>
            <w:pPr>
              <w:spacing w:after="0"/>
            </w:pPr>
            <w:r>
              <w:rPr>
                <w:sz w:val="17"/>
              </w:rPr>
              <w:t>CMP-001</w:t>
            </w:r>
          </w:p>
        </w:tc>
        <w:tc>
          <w:tcPr>
            <w:tcW w:type="dxa" w:w="1944"/>
            <w:tcMar>
              <w:top w:w="100" w:type="dxa"/>
              <w:start w:w="110" w:type="dxa"/>
              <w:bottom w:w="100" w:type="dxa"/>
              <w:end w:w="110" w:type="dxa"/>
            </w:tcMar>
            <w:vAlign w:val="center"/>
          </w:tcPr>
          <w:p>
            <w:pPr>
              <w:spacing w:after="0"/>
            </w:pPr>
            <w:r>
              <w:rPr>
                <w:sz w:val="17"/>
              </w:rPr>
              <w:t>RegisterPageFrame</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Header + filters + DataTable + pagination</w:t>
            </w:r>
          </w:p>
        </w:tc>
        <w:tc>
          <w:tcPr>
            <w:tcW w:type="dxa" w:w="1800"/>
            <w:tcMar>
              <w:top w:w="100" w:type="dxa"/>
              <w:start w:w="110" w:type="dxa"/>
              <w:bottom w:w="100" w:type="dxa"/>
              <w:end w:w="110" w:type="dxa"/>
            </w:tcMar>
            <w:vAlign w:val="center"/>
          </w:tcPr>
          <w:p>
            <w:pPr>
              <w:spacing w:after="0"/>
            </w:pPr>
            <w:r>
              <w:rPr>
                <w:sz w:val="17"/>
              </w:rPr>
              <w:t>Registers</w:t>
            </w:r>
          </w:p>
        </w:tc>
        <w:tc>
          <w:tcPr>
            <w:tcW w:type="dxa" w:w="1655"/>
            <w:tcMar>
              <w:top w:w="100" w:type="dxa"/>
              <w:start w:w="110" w:type="dxa"/>
              <w:bottom w:w="100" w:type="dxa"/>
              <w:end w:w="110" w:type="dxa"/>
            </w:tcMar>
            <w:vAlign w:val="center"/>
          </w:tcPr>
          <w:p>
            <w:pPr>
              <w:spacing w:after="0"/>
            </w:pPr>
            <w:r>
              <w:rPr>
                <w:sz w:val="17"/>
              </w:rPr>
              <w:t>WF-PAT-01</w:t>
            </w:r>
          </w:p>
        </w:tc>
      </w:tr>
      <w:tr>
        <w:trPr>
          <w:cantSplit/>
        </w:trPr>
        <w:tc>
          <w:tcPr>
            <w:tcW w:type="dxa" w:w="936"/>
            <w:tcMar>
              <w:top w:w="100" w:type="dxa"/>
              <w:start w:w="110" w:type="dxa"/>
              <w:bottom w:w="100" w:type="dxa"/>
              <w:end w:w="110" w:type="dxa"/>
            </w:tcMar>
            <w:vAlign w:val="center"/>
          </w:tcPr>
          <w:p>
            <w:pPr>
              <w:spacing w:after="0"/>
            </w:pPr>
            <w:r>
              <w:rPr>
                <w:sz w:val="17"/>
              </w:rPr>
              <w:t>CMP-002</w:t>
            </w:r>
          </w:p>
        </w:tc>
        <w:tc>
          <w:tcPr>
            <w:tcW w:type="dxa" w:w="1944"/>
            <w:tcMar>
              <w:top w:w="100" w:type="dxa"/>
              <w:start w:w="110" w:type="dxa"/>
              <w:bottom w:w="100" w:type="dxa"/>
              <w:end w:w="110" w:type="dxa"/>
            </w:tcMar>
            <w:vAlign w:val="center"/>
          </w:tcPr>
          <w:p>
            <w:pPr>
              <w:spacing w:after="0"/>
            </w:pPr>
            <w:r>
              <w:rPr>
                <w:sz w:val="17"/>
              </w:rPr>
              <w:t>CanonicalObjectHeader</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Object identity/status/classification/actions</w:t>
            </w:r>
          </w:p>
        </w:tc>
        <w:tc>
          <w:tcPr>
            <w:tcW w:type="dxa" w:w="1800"/>
            <w:tcMar>
              <w:top w:w="100" w:type="dxa"/>
              <w:start w:w="110" w:type="dxa"/>
              <w:bottom w:w="100" w:type="dxa"/>
              <w:end w:w="110" w:type="dxa"/>
            </w:tcMar>
            <w:vAlign w:val="center"/>
          </w:tcPr>
          <w:p>
            <w:pPr>
              <w:spacing w:after="0"/>
            </w:pPr>
            <w:r>
              <w:rPr>
                <w:sz w:val="17"/>
              </w:rPr>
              <w:t>Object detail</w:t>
            </w:r>
          </w:p>
        </w:tc>
        <w:tc>
          <w:tcPr>
            <w:tcW w:type="dxa" w:w="1655"/>
            <w:tcMar>
              <w:top w:w="100" w:type="dxa"/>
              <w:start w:w="110" w:type="dxa"/>
              <w:bottom w:w="100" w:type="dxa"/>
              <w:end w:w="110" w:type="dxa"/>
            </w:tcMar>
            <w:vAlign w:val="center"/>
          </w:tcPr>
          <w:p>
            <w:pPr>
              <w:spacing w:after="0"/>
            </w:pPr>
            <w:r>
              <w:rPr>
                <w:sz w:val="17"/>
              </w:rPr>
              <w:t>WF-PAT-02</w:t>
            </w:r>
          </w:p>
        </w:tc>
      </w:tr>
      <w:tr>
        <w:trPr>
          <w:cantSplit/>
        </w:trPr>
        <w:tc>
          <w:tcPr>
            <w:tcW w:type="dxa" w:w="936"/>
            <w:tcMar>
              <w:top w:w="100" w:type="dxa"/>
              <w:start w:w="110" w:type="dxa"/>
              <w:bottom w:w="100" w:type="dxa"/>
              <w:end w:w="110" w:type="dxa"/>
            </w:tcMar>
            <w:vAlign w:val="center"/>
          </w:tcPr>
          <w:p>
            <w:pPr>
              <w:spacing w:after="0"/>
            </w:pPr>
            <w:r>
              <w:rPr>
                <w:sz w:val="17"/>
              </w:rPr>
              <w:t>CMP-003</w:t>
            </w:r>
          </w:p>
        </w:tc>
        <w:tc>
          <w:tcPr>
            <w:tcW w:type="dxa" w:w="1944"/>
            <w:tcMar>
              <w:top w:w="100" w:type="dxa"/>
              <w:start w:w="110" w:type="dxa"/>
              <w:bottom w:w="100" w:type="dxa"/>
              <w:end w:w="110" w:type="dxa"/>
            </w:tcMar>
            <w:vAlign w:val="center"/>
          </w:tcPr>
          <w:p>
            <w:pPr>
              <w:spacing w:after="0"/>
            </w:pPr>
            <w:r>
              <w:rPr>
                <w:sz w:val="17"/>
              </w:rPr>
              <w:t>ObjectDetailFrame</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Context header + tabs + main + inspector</w:t>
            </w:r>
          </w:p>
        </w:tc>
        <w:tc>
          <w:tcPr>
            <w:tcW w:type="dxa" w:w="1800"/>
            <w:tcMar>
              <w:top w:w="100" w:type="dxa"/>
              <w:start w:w="110" w:type="dxa"/>
              <w:bottom w:w="100" w:type="dxa"/>
              <w:end w:w="110" w:type="dxa"/>
            </w:tcMar>
            <w:vAlign w:val="center"/>
          </w:tcPr>
          <w:p>
            <w:pPr>
              <w:spacing w:after="0"/>
            </w:pPr>
            <w:r>
              <w:rPr>
                <w:sz w:val="17"/>
              </w:rPr>
              <w:t>Object detail</w:t>
            </w:r>
          </w:p>
        </w:tc>
        <w:tc>
          <w:tcPr>
            <w:tcW w:type="dxa" w:w="1655"/>
            <w:tcMar>
              <w:top w:w="100" w:type="dxa"/>
              <w:start w:w="110" w:type="dxa"/>
              <w:bottom w:w="100" w:type="dxa"/>
              <w:end w:w="110" w:type="dxa"/>
            </w:tcMar>
            <w:vAlign w:val="center"/>
          </w:tcPr>
          <w:p>
            <w:pPr>
              <w:spacing w:after="0"/>
            </w:pPr>
            <w:r>
              <w:rPr>
                <w:sz w:val="17"/>
              </w:rPr>
              <w:t>WF-PAT-02</w:t>
            </w:r>
          </w:p>
        </w:tc>
      </w:tr>
      <w:tr>
        <w:trPr>
          <w:cantSplit/>
        </w:trPr>
        <w:tc>
          <w:tcPr>
            <w:tcW w:type="dxa" w:w="936"/>
            <w:tcMar>
              <w:top w:w="100" w:type="dxa"/>
              <w:start w:w="110" w:type="dxa"/>
              <w:bottom w:w="100" w:type="dxa"/>
              <w:end w:w="110" w:type="dxa"/>
            </w:tcMar>
            <w:vAlign w:val="center"/>
          </w:tcPr>
          <w:p>
            <w:pPr>
              <w:spacing w:after="0"/>
            </w:pPr>
            <w:r>
              <w:rPr>
                <w:sz w:val="17"/>
              </w:rPr>
              <w:t>CMP-004</w:t>
            </w:r>
          </w:p>
        </w:tc>
        <w:tc>
          <w:tcPr>
            <w:tcW w:type="dxa" w:w="1944"/>
            <w:tcMar>
              <w:top w:w="100" w:type="dxa"/>
              <w:start w:w="110" w:type="dxa"/>
              <w:bottom w:w="100" w:type="dxa"/>
              <w:end w:w="110" w:type="dxa"/>
            </w:tcMar>
            <w:vAlign w:val="center"/>
          </w:tcPr>
          <w:p>
            <w:pPr>
              <w:spacing w:after="0"/>
            </w:pPr>
            <w:r>
              <w:rPr>
                <w:sz w:val="17"/>
              </w:rPr>
              <w:t>EditorFrame</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Form sections + validation + action footer</w:t>
            </w:r>
          </w:p>
        </w:tc>
        <w:tc>
          <w:tcPr>
            <w:tcW w:type="dxa" w:w="1800"/>
            <w:tcMar>
              <w:top w:w="100" w:type="dxa"/>
              <w:start w:w="110" w:type="dxa"/>
              <w:bottom w:w="100" w:type="dxa"/>
              <w:end w:w="110" w:type="dxa"/>
            </w:tcMar>
            <w:vAlign w:val="center"/>
          </w:tcPr>
          <w:p>
            <w:pPr>
              <w:spacing w:after="0"/>
            </w:pPr>
            <w:r>
              <w:rPr>
                <w:sz w:val="17"/>
              </w:rPr>
              <w:t>Editors</w:t>
            </w:r>
          </w:p>
        </w:tc>
        <w:tc>
          <w:tcPr>
            <w:tcW w:type="dxa" w:w="1655"/>
            <w:tcMar>
              <w:top w:w="100" w:type="dxa"/>
              <w:start w:w="110" w:type="dxa"/>
              <w:bottom w:w="100" w:type="dxa"/>
              <w:end w:w="110" w:type="dxa"/>
            </w:tcMar>
            <w:vAlign w:val="center"/>
          </w:tcPr>
          <w:p>
            <w:pPr>
              <w:spacing w:after="0"/>
            </w:pPr>
            <w:r>
              <w:rPr>
                <w:sz w:val="17"/>
              </w:rPr>
              <w:t>WF-PAT-03</w:t>
            </w:r>
          </w:p>
        </w:tc>
      </w:tr>
      <w:tr>
        <w:trPr>
          <w:cantSplit/>
        </w:trPr>
        <w:tc>
          <w:tcPr>
            <w:tcW w:type="dxa" w:w="936"/>
            <w:tcMar>
              <w:top w:w="100" w:type="dxa"/>
              <w:start w:w="110" w:type="dxa"/>
              <w:bottom w:w="100" w:type="dxa"/>
              <w:end w:w="110" w:type="dxa"/>
            </w:tcMar>
            <w:vAlign w:val="center"/>
          </w:tcPr>
          <w:p>
            <w:pPr>
              <w:spacing w:after="0"/>
            </w:pPr>
            <w:r>
              <w:rPr>
                <w:sz w:val="17"/>
              </w:rPr>
              <w:t>CMP-005</w:t>
            </w:r>
          </w:p>
        </w:tc>
        <w:tc>
          <w:tcPr>
            <w:tcW w:type="dxa" w:w="1944"/>
            <w:tcMar>
              <w:top w:w="100" w:type="dxa"/>
              <w:start w:w="110" w:type="dxa"/>
              <w:bottom w:w="100" w:type="dxa"/>
              <w:end w:w="110" w:type="dxa"/>
            </w:tcMar>
            <w:vAlign w:val="center"/>
          </w:tcPr>
          <w:p>
            <w:pPr>
              <w:spacing w:after="0"/>
            </w:pPr>
            <w:r>
              <w:rPr>
                <w:sz w:val="17"/>
              </w:rPr>
              <w:t>AnalyticalWorkspaceFrame</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Toolbar + canvas + inspector + accessible alternative</w:t>
            </w:r>
          </w:p>
        </w:tc>
        <w:tc>
          <w:tcPr>
            <w:tcW w:type="dxa" w:w="1800"/>
            <w:tcMar>
              <w:top w:w="100" w:type="dxa"/>
              <w:start w:w="110" w:type="dxa"/>
              <w:bottom w:w="100" w:type="dxa"/>
              <w:end w:w="110" w:type="dxa"/>
            </w:tcMar>
            <w:vAlign w:val="center"/>
          </w:tcPr>
          <w:p>
            <w:pPr>
              <w:spacing w:after="0"/>
            </w:pPr>
            <w:r>
              <w:rPr>
                <w:sz w:val="17"/>
              </w:rPr>
              <w:t>Analysis</w:t>
            </w:r>
          </w:p>
        </w:tc>
        <w:tc>
          <w:tcPr>
            <w:tcW w:type="dxa" w:w="1655"/>
            <w:tcMar>
              <w:top w:w="100" w:type="dxa"/>
              <w:start w:w="110" w:type="dxa"/>
              <w:bottom w:w="100" w:type="dxa"/>
              <w:end w:w="110" w:type="dxa"/>
            </w:tcMar>
            <w:vAlign w:val="center"/>
          </w:tcPr>
          <w:p>
            <w:pPr>
              <w:spacing w:after="0"/>
            </w:pPr>
            <w:r>
              <w:rPr>
                <w:sz w:val="17"/>
              </w:rPr>
              <w:t>WF-PAT-04</w:t>
            </w:r>
          </w:p>
        </w:tc>
      </w:tr>
      <w:tr>
        <w:trPr>
          <w:cantSplit/>
        </w:trPr>
        <w:tc>
          <w:tcPr>
            <w:tcW w:type="dxa" w:w="936"/>
            <w:tcMar>
              <w:top w:w="100" w:type="dxa"/>
              <w:start w:w="110" w:type="dxa"/>
              <w:bottom w:w="100" w:type="dxa"/>
              <w:end w:w="110" w:type="dxa"/>
            </w:tcMar>
            <w:vAlign w:val="center"/>
          </w:tcPr>
          <w:p>
            <w:pPr>
              <w:spacing w:after="0"/>
            </w:pPr>
            <w:r>
              <w:rPr>
                <w:sz w:val="17"/>
              </w:rPr>
              <w:t>CMP-006</w:t>
            </w:r>
          </w:p>
        </w:tc>
        <w:tc>
          <w:tcPr>
            <w:tcW w:type="dxa" w:w="1944"/>
            <w:tcMar>
              <w:top w:w="100" w:type="dxa"/>
              <w:start w:w="110" w:type="dxa"/>
              <w:bottom w:w="100" w:type="dxa"/>
              <w:end w:w="110" w:type="dxa"/>
            </w:tcMar>
            <w:vAlign w:val="center"/>
          </w:tcPr>
          <w:p>
            <w:pPr>
              <w:spacing w:after="0"/>
            </w:pPr>
            <w:r>
              <w:rPr>
                <w:sz w:val="17"/>
              </w:rPr>
              <w:t>CompareResolutionFrame</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Symmetric A/B comparison + differences + decision</w:t>
            </w:r>
          </w:p>
        </w:tc>
        <w:tc>
          <w:tcPr>
            <w:tcW w:type="dxa" w:w="1800"/>
            <w:tcMar>
              <w:top w:w="100" w:type="dxa"/>
              <w:start w:w="110" w:type="dxa"/>
              <w:bottom w:w="100" w:type="dxa"/>
              <w:end w:w="110" w:type="dxa"/>
            </w:tcMar>
            <w:vAlign w:val="center"/>
          </w:tcPr>
          <w:p>
            <w:pPr>
              <w:spacing w:after="0"/>
            </w:pPr>
            <w:r>
              <w:rPr>
                <w:sz w:val="17"/>
              </w:rPr>
              <w:t>Entity match</w:t>
            </w:r>
          </w:p>
        </w:tc>
        <w:tc>
          <w:tcPr>
            <w:tcW w:type="dxa" w:w="1655"/>
            <w:tcMar>
              <w:top w:w="100" w:type="dxa"/>
              <w:start w:w="110" w:type="dxa"/>
              <w:bottom w:w="100" w:type="dxa"/>
              <w:end w:w="110" w:type="dxa"/>
            </w:tcMar>
            <w:vAlign w:val="center"/>
          </w:tcPr>
          <w:p>
            <w:pPr>
              <w:spacing w:after="0"/>
            </w:pPr>
            <w:r>
              <w:rPr>
                <w:sz w:val="17"/>
              </w:rPr>
              <w:t>WF-PAT-05</w:t>
            </w:r>
          </w:p>
        </w:tc>
      </w:tr>
      <w:tr>
        <w:trPr>
          <w:cantSplit/>
        </w:trPr>
        <w:tc>
          <w:tcPr>
            <w:tcW w:type="dxa" w:w="936"/>
            <w:tcMar>
              <w:top w:w="100" w:type="dxa"/>
              <w:start w:w="110" w:type="dxa"/>
              <w:bottom w:w="100" w:type="dxa"/>
              <w:end w:w="110" w:type="dxa"/>
            </w:tcMar>
            <w:vAlign w:val="center"/>
          </w:tcPr>
          <w:p>
            <w:pPr>
              <w:spacing w:after="0"/>
            </w:pPr>
            <w:r>
              <w:rPr>
                <w:sz w:val="17"/>
              </w:rPr>
              <w:t>CMP-007</w:t>
            </w:r>
          </w:p>
        </w:tc>
        <w:tc>
          <w:tcPr>
            <w:tcW w:type="dxa" w:w="1944"/>
            <w:tcMar>
              <w:top w:w="100" w:type="dxa"/>
              <w:start w:w="110" w:type="dxa"/>
              <w:bottom w:w="100" w:type="dxa"/>
              <w:end w:w="110" w:type="dxa"/>
            </w:tcMar>
            <w:vAlign w:val="center"/>
          </w:tcPr>
          <w:p>
            <w:pPr>
              <w:spacing w:after="0"/>
            </w:pPr>
            <w:r>
              <w:rPr>
                <w:sz w:val="17"/>
              </w:rPr>
              <w:t>ReviewApprovalFrame</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Artifact + review panel + decision controls</w:t>
            </w:r>
          </w:p>
        </w:tc>
        <w:tc>
          <w:tcPr>
            <w:tcW w:type="dxa" w:w="1800"/>
            <w:tcMar>
              <w:top w:w="100" w:type="dxa"/>
              <w:start w:w="110" w:type="dxa"/>
              <w:bottom w:w="100" w:type="dxa"/>
              <w:end w:w="110" w:type="dxa"/>
            </w:tcMar>
            <w:vAlign w:val="center"/>
          </w:tcPr>
          <w:p>
            <w:pPr>
              <w:spacing w:after="0"/>
            </w:pPr>
            <w:r>
              <w:rPr>
                <w:sz w:val="17"/>
              </w:rPr>
              <w:t>Review</w:t>
            </w:r>
          </w:p>
        </w:tc>
        <w:tc>
          <w:tcPr>
            <w:tcW w:type="dxa" w:w="1655"/>
            <w:tcMar>
              <w:top w:w="100" w:type="dxa"/>
              <w:start w:w="110" w:type="dxa"/>
              <w:bottom w:w="100" w:type="dxa"/>
              <w:end w:w="110" w:type="dxa"/>
            </w:tcMar>
            <w:vAlign w:val="center"/>
          </w:tcPr>
          <w:p>
            <w:pPr>
              <w:spacing w:after="0"/>
            </w:pPr>
            <w:r>
              <w:rPr>
                <w:sz w:val="17"/>
              </w:rPr>
              <w:t>WF-PAT-06</w:t>
            </w:r>
          </w:p>
        </w:tc>
      </w:tr>
      <w:tr>
        <w:trPr>
          <w:cantSplit/>
        </w:trPr>
        <w:tc>
          <w:tcPr>
            <w:tcW w:type="dxa" w:w="936"/>
            <w:tcMar>
              <w:top w:w="100" w:type="dxa"/>
              <w:start w:w="110" w:type="dxa"/>
              <w:bottom w:w="100" w:type="dxa"/>
              <w:end w:w="110" w:type="dxa"/>
            </w:tcMar>
            <w:vAlign w:val="center"/>
          </w:tcPr>
          <w:p>
            <w:pPr>
              <w:spacing w:after="0"/>
            </w:pPr>
            <w:r>
              <w:rPr>
                <w:sz w:val="17"/>
              </w:rPr>
              <w:t>CMP-008</w:t>
            </w:r>
          </w:p>
        </w:tc>
        <w:tc>
          <w:tcPr>
            <w:tcW w:type="dxa" w:w="1944"/>
            <w:tcMar>
              <w:top w:w="100" w:type="dxa"/>
              <w:start w:w="110" w:type="dxa"/>
              <w:bottom w:w="100" w:type="dxa"/>
              <w:end w:w="110" w:type="dxa"/>
            </w:tcMar>
            <w:vAlign w:val="center"/>
          </w:tcPr>
          <w:p>
            <w:pPr>
              <w:spacing w:after="0"/>
            </w:pPr>
            <w:r>
              <w:rPr>
                <w:sz w:val="17"/>
              </w:rPr>
              <w:t>SystemStateFrame</w:t>
            </w:r>
          </w:p>
        </w:tc>
        <w:tc>
          <w:tcPr>
            <w:tcW w:type="dxa" w:w="792"/>
            <w:tcMar>
              <w:top w:w="100" w:type="dxa"/>
              <w:start w:w="110" w:type="dxa"/>
              <w:bottom w:w="100" w:type="dxa"/>
              <w:end w:w="110" w:type="dxa"/>
            </w:tcMar>
            <w:vAlign w:val="center"/>
          </w:tcPr>
          <w:p>
            <w:pPr>
              <w:spacing w:after="0"/>
            </w:pPr>
            <w:r>
              <w:rPr>
                <w:sz w:val="17"/>
              </w:rPr>
              <w:t>P0</w:t>
            </w:r>
          </w:p>
        </w:tc>
        <w:tc>
          <w:tcPr>
            <w:tcW w:type="dxa" w:w="3311"/>
            <w:tcMar>
              <w:top w:w="100" w:type="dxa"/>
              <w:start w:w="110" w:type="dxa"/>
              <w:bottom w:w="100" w:type="dxa"/>
              <w:end w:w="110" w:type="dxa"/>
            </w:tcMar>
            <w:vAlign w:val="center"/>
          </w:tcPr>
          <w:p>
            <w:pPr>
              <w:spacing w:after="0"/>
            </w:pPr>
            <w:r>
              <w:rPr>
                <w:sz w:val="17"/>
              </w:rPr>
              <w:t>Safe failure/permission/integrity state</w:t>
            </w:r>
          </w:p>
        </w:tc>
        <w:tc>
          <w:tcPr>
            <w:tcW w:type="dxa" w:w="1800"/>
            <w:tcMar>
              <w:top w:w="100" w:type="dxa"/>
              <w:start w:w="110" w:type="dxa"/>
              <w:bottom w:w="100" w:type="dxa"/>
              <w:end w:w="110" w:type="dxa"/>
            </w:tcMar>
            <w:vAlign w:val="center"/>
          </w:tcPr>
          <w:p>
            <w:pPr>
              <w:spacing w:after="0"/>
            </w:pPr>
            <w:r>
              <w:rPr>
                <w:sz w:val="17"/>
              </w:rPr>
              <w:t>System</w:t>
            </w:r>
          </w:p>
        </w:tc>
        <w:tc>
          <w:tcPr>
            <w:tcW w:type="dxa" w:w="1655"/>
            <w:tcMar>
              <w:top w:w="100" w:type="dxa"/>
              <w:start w:w="110" w:type="dxa"/>
              <w:bottom w:w="100" w:type="dxa"/>
              <w:end w:w="110" w:type="dxa"/>
            </w:tcMar>
            <w:vAlign w:val="center"/>
          </w:tcPr>
          <w:p>
            <w:pPr>
              <w:spacing w:after="0"/>
            </w:pPr>
            <w:r>
              <w:rPr>
                <w:sz w:val="17"/>
              </w:rPr>
              <w:t>WF-PAT-07</w:t>
            </w:r>
          </w:p>
        </w:tc>
      </w:tr>
    </w:tbl>
    <w:p>
      <w:pPr>
        <w:spacing w:after="20"/>
      </w:pPr>
    </w:p>
    <w:p>
      <w:pPr>
        <w:pStyle w:val="Heading1"/>
      </w:pPr>
      <w:r>
        <w:t>6. Component API Contract</w:t>
      </w:r>
    </w:p>
    <w:p>
      <w:pPr>
        <w:spacing w:after="80"/>
      </w:pPr>
      <w:r>
        <w:rPr>
          <w:b/>
          <w:color w:val="285C8E"/>
        </w:rPr>
        <w:t xml:space="preserve">CISB-010 — </w:t>
      </w:r>
      <w:r>
        <w:t>All public components SHALL define explicit TypeScript props and SHALL avoid `any` in public interfaces.</w:t>
      </w:r>
    </w:p>
    <w:p>
      <w:pPr>
        <w:spacing w:after="80"/>
      </w:pPr>
      <w:r>
        <w:rPr>
          <w:b/>
          <w:color w:val="285C8E"/>
        </w:rPr>
        <w:t xml:space="preserve">CISB-011 — </w:t>
      </w:r>
      <w:r>
        <w:t>Status and analytical variants SHALL use controlled typed values aligned to normative vocabularies.</w:t>
      </w:r>
    </w:p>
    <w:p>
      <w:pPr>
        <w:spacing w:after="80"/>
      </w:pPr>
      <w:r>
        <w:rPr>
          <w:b/>
          <w:color w:val="285C8E"/>
        </w:rPr>
        <w:t xml:space="preserve">CISB-012 — </w:t>
      </w:r>
      <w:r>
        <w:t>Components that render canonical objects SHOULD accept stable IDs/links separately from display labels so canonical navigation remains explicit.</w:t>
      </w:r>
    </w:p>
    <w:p>
      <w:pPr>
        <w:spacing w:after="80"/>
      </w:pPr>
      <w:r>
        <w:rPr>
          <w:b/>
          <w:color w:val="285C8E"/>
        </w:rPr>
        <w:t xml:space="preserve">CISB-013 — </w:t>
      </w:r>
      <w:r>
        <w:t>Components rendering restricted content SHALL support redacted/withheld states without leaking hidden metadata through tooltips, DOM labels, or story fixtures.</w:t>
      </w:r>
    </w:p>
    <w:p>
      <w:pPr>
        <w:spacing w:after="80"/>
      </w:pPr>
      <w:r>
        <w:rPr>
          <w:b/>
          <w:color w:val="285C8E"/>
        </w:rPr>
        <w:t xml:space="preserve">CISB-014 — </w:t>
      </w:r>
      <w:r>
        <w:t>Destructive or high-impact actions SHALL expose disabled, pending, success, failure, and confirmation states where applicable.</w:t>
      </w:r>
    </w:p>
    <w:p>
      <w:pPr>
        <w:spacing w:after="80"/>
      </w:pPr>
      <w:r>
        <w:rPr>
          <w:b/>
          <w:color w:val="285C8E"/>
        </w:rPr>
        <w:t xml:space="preserve">CISB-015 — </w:t>
      </w:r>
      <w:r>
        <w:t>Components SHALL permit accessible names independent from visible iconography or abbreviated labels.</w:t>
      </w:r>
    </w:p>
    <w:p>
      <w:pPr>
        <w:spacing w:after="80"/>
      </w:pPr>
      <w:r>
        <w:rPr>
          <w:b/>
          <w:color w:val="285C8E"/>
        </w:rPr>
        <w:t xml:space="preserve">CISB-016 — </w:t>
      </w:r>
      <w:r>
        <w:t>Loading state SHALL not erase surrounding context needed to understand which object is loading.</w:t>
      </w:r>
    </w:p>
    <w:p>
      <w:pPr>
        <w:pStyle w:val="Heading1"/>
      </w:pPr>
      <w:r>
        <w:t>7. Accessibility Contract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DCE8F3"/>
            <w:tcMar>
              <w:top w:w="100" w:type="dxa"/>
              <w:start w:w="110" w:type="dxa"/>
              <w:bottom w:w="100" w:type="dxa"/>
              <w:end w:w="110" w:type="dxa"/>
            </w:tcMar>
            <w:vAlign w:val="center"/>
          </w:tcPr>
          <w:p>
            <w:pPr>
              <w:jc w:val="center"/>
            </w:pPr>
            <w:r>
              <w:rPr>
                <w:b/>
                <w:color w:val="1C4160"/>
                <w:sz w:val="18"/>
              </w:rPr>
              <w:t>Component class</w:t>
            </w:r>
          </w:p>
        </w:tc>
        <w:tc>
          <w:tcPr>
            <w:tcW w:type="dxa" w:w="7920"/>
            <w:shd w:fill="DCE8F3"/>
            <w:tcMar>
              <w:top w:w="100" w:type="dxa"/>
              <w:start w:w="110" w:type="dxa"/>
              <w:bottom w:w="100" w:type="dxa"/>
              <w:end w:w="110" w:type="dxa"/>
            </w:tcMar>
            <w:vAlign w:val="center"/>
          </w:tcPr>
          <w:p>
            <w:pPr>
              <w:jc w:val="center"/>
            </w:pPr>
            <w:r>
              <w:rPr>
                <w:b/>
                <w:color w:val="1C4160"/>
                <w:sz w:val="18"/>
              </w:rPr>
              <w:t>Mandatory accessibility behavior</w:t>
            </w:r>
          </w:p>
        </w:tc>
      </w:tr>
      <w:tr>
        <w:trPr>
          <w:cantSplit/>
        </w:trPr>
        <w:tc>
          <w:tcPr>
            <w:tcW w:type="dxa" w:w="2592"/>
            <w:tcMar>
              <w:top w:w="100" w:type="dxa"/>
              <w:start w:w="110" w:type="dxa"/>
              <w:bottom w:w="100" w:type="dxa"/>
              <w:end w:w="110" w:type="dxa"/>
            </w:tcMar>
            <w:vAlign w:val="center"/>
          </w:tcPr>
          <w:p>
            <w:pPr>
              <w:spacing w:after="0"/>
            </w:pPr>
            <w:r>
              <w:rPr>
                <w:sz w:val="17"/>
              </w:rPr>
              <w:t>Buttons/actions</w:t>
            </w:r>
          </w:p>
        </w:tc>
        <w:tc>
          <w:tcPr>
            <w:tcW w:type="dxa" w:w="7920"/>
            <w:tcMar>
              <w:top w:w="100" w:type="dxa"/>
              <w:start w:w="110" w:type="dxa"/>
              <w:bottom w:w="100" w:type="dxa"/>
              <w:end w:w="110" w:type="dxa"/>
            </w:tcMar>
            <w:vAlign w:val="center"/>
          </w:tcPr>
          <w:p>
            <w:pPr>
              <w:spacing w:after="0"/>
            </w:pPr>
            <w:r>
              <w:rPr>
                <w:sz w:val="17"/>
              </w:rPr>
              <w:t>Keyboard operable; visible focus; accessible name; disabled vs aria-disabled used intentionally.</w:t>
            </w:r>
          </w:p>
        </w:tc>
      </w:tr>
      <w:tr>
        <w:trPr>
          <w:cantSplit/>
        </w:trPr>
        <w:tc>
          <w:tcPr>
            <w:tcW w:type="dxa" w:w="2592"/>
            <w:tcMar>
              <w:top w:w="100" w:type="dxa"/>
              <w:start w:w="110" w:type="dxa"/>
              <w:bottom w:w="100" w:type="dxa"/>
              <w:end w:w="110" w:type="dxa"/>
            </w:tcMar>
            <w:vAlign w:val="center"/>
          </w:tcPr>
          <w:p>
            <w:pPr>
              <w:spacing w:after="0"/>
            </w:pPr>
            <w:r>
              <w:rPr>
                <w:sz w:val="17"/>
              </w:rPr>
              <w:t>Dialogs/drawers</w:t>
            </w:r>
          </w:p>
        </w:tc>
        <w:tc>
          <w:tcPr>
            <w:tcW w:type="dxa" w:w="7920"/>
            <w:tcMar>
              <w:top w:w="100" w:type="dxa"/>
              <w:start w:w="110" w:type="dxa"/>
              <w:bottom w:w="100" w:type="dxa"/>
              <w:end w:w="110" w:type="dxa"/>
            </w:tcMar>
            <w:vAlign w:val="center"/>
          </w:tcPr>
          <w:p>
            <w:pPr>
              <w:spacing w:after="0"/>
            </w:pPr>
            <w:r>
              <w:rPr>
                <w:sz w:val="17"/>
              </w:rPr>
              <w:t>Focus trap where blocking; focus restoration; labelled title; Escape behavior where safe.</w:t>
            </w:r>
          </w:p>
        </w:tc>
      </w:tr>
      <w:tr>
        <w:trPr>
          <w:cantSplit/>
        </w:trPr>
        <w:tc>
          <w:tcPr>
            <w:tcW w:type="dxa" w:w="2592"/>
            <w:tcMar>
              <w:top w:w="100" w:type="dxa"/>
              <w:start w:w="110" w:type="dxa"/>
              <w:bottom w:w="100" w:type="dxa"/>
              <w:end w:w="110" w:type="dxa"/>
            </w:tcMar>
            <w:vAlign w:val="center"/>
          </w:tcPr>
          <w:p>
            <w:pPr>
              <w:spacing w:after="0"/>
            </w:pPr>
            <w:r>
              <w:rPr>
                <w:sz w:val="17"/>
              </w:rPr>
              <w:t>Tables</w:t>
            </w:r>
          </w:p>
        </w:tc>
        <w:tc>
          <w:tcPr>
            <w:tcW w:type="dxa" w:w="7920"/>
            <w:tcMar>
              <w:top w:w="100" w:type="dxa"/>
              <w:start w:w="110" w:type="dxa"/>
              <w:bottom w:w="100" w:type="dxa"/>
              <w:end w:w="110" w:type="dxa"/>
            </w:tcMar>
            <w:vAlign w:val="center"/>
          </w:tcPr>
          <w:p>
            <w:pPr>
              <w:spacing w:after="0"/>
            </w:pPr>
            <w:r>
              <w:rPr>
                <w:sz w:val="17"/>
              </w:rPr>
              <w:t>Semantic headers; keyboard/screen-reader discoverable sort state; no permission leak in hidden rows.</w:t>
            </w:r>
          </w:p>
        </w:tc>
      </w:tr>
      <w:tr>
        <w:trPr>
          <w:cantSplit/>
        </w:trPr>
        <w:tc>
          <w:tcPr>
            <w:tcW w:type="dxa" w:w="2592"/>
            <w:tcMar>
              <w:top w:w="100" w:type="dxa"/>
              <w:start w:w="110" w:type="dxa"/>
              <w:bottom w:w="100" w:type="dxa"/>
              <w:end w:w="110" w:type="dxa"/>
            </w:tcMar>
            <w:vAlign w:val="center"/>
          </w:tcPr>
          <w:p>
            <w:pPr>
              <w:spacing w:after="0"/>
            </w:pPr>
            <w:r>
              <w:rPr>
                <w:sz w:val="17"/>
              </w:rPr>
              <w:t>Tabs</w:t>
            </w:r>
          </w:p>
        </w:tc>
        <w:tc>
          <w:tcPr>
            <w:tcW w:type="dxa" w:w="7920"/>
            <w:tcMar>
              <w:top w:w="100" w:type="dxa"/>
              <w:start w:w="110" w:type="dxa"/>
              <w:bottom w:w="100" w:type="dxa"/>
              <w:end w:w="110" w:type="dxa"/>
            </w:tcMar>
            <w:vAlign w:val="center"/>
          </w:tcPr>
          <w:p>
            <w:pPr>
              <w:spacing w:after="0"/>
            </w:pPr>
            <w:r>
              <w:rPr>
                <w:sz w:val="17"/>
              </w:rPr>
              <w:t>ARIA tab semantics or equivalent; roving focus; current state announced.</w:t>
            </w:r>
          </w:p>
        </w:tc>
      </w:tr>
      <w:tr>
        <w:trPr>
          <w:cantSplit/>
        </w:trPr>
        <w:tc>
          <w:tcPr>
            <w:tcW w:type="dxa" w:w="2592"/>
            <w:tcMar>
              <w:top w:w="100" w:type="dxa"/>
              <w:start w:w="110" w:type="dxa"/>
              <w:bottom w:w="100" w:type="dxa"/>
              <w:end w:w="110" w:type="dxa"/>
            </w:tcMar>
            <w:vAlign w:val="center"/>
          </w:tcPr>
          <w:p>
            <w:pPr>
              <w:spacing w:after="0"/>
            </w:pPr>
            <w:r>
              <w:rPr>
                <w:sz w:val="17"/>
              </w:rPr>
              <w:t>Forms</w:t>
            </w:r>
          </w:p>
        </w:tc>
        <w:tc>
          <w:tcPr>
            <w:tcW w:type="dxa" w:w="7920"/>
            <w:tcMar>
              <w:top w:w="100" w:type="dxa"/>
              <w:start w:w="110" w:type="dxa"/>
              <w:bottom w:w="100" w:type="dxa"/>
              <w:end w:w="110" w:type="dxa"/>
            </w:tcMar>
            <w:vAlign w:val="center"/>
          </w:tcPr>
          <w:p>
            <w:pPr>
              <w:spacing w:after="0"/>
            </w:pPr>
            <w:r>
              <w:rPr>
                <w:sz w:val="17"/>
              </w:rPr>
              <w:t>Programmatic label, help, error association; required state not color-only.</w:t>
            </w:r>
          </w:p>
        </w:tc>
      </w:tr>
      <w:tr>
        <w:trPr>
          <w:cantSplit/>
        </w:trPr>
        <w:tc>
          <w:tcPr>
            <w:tcW w:type="dxa" w:w="2592"/>
            <w:tcMar>
              <w:top w:w="100" w:type="dxa"/>
              <w:start w:w="110" w:type="dxa"/>
              <w:bottom w:w="100" w:type="dxa"/>
              <w:end w:w="110" w:type="dxa"/>
            </w:tcMar>
            <w:vAlign w:val="center"/>
          </w:tcPr>
          <w:p>
            <w:pPr>
              <w:spacing w:after="0"/>
            </w:pPr>
            <w:r>
              <w:rPr>
                <w:sz w:val="17"/>
              </w:rPr>
              <w:t>Graph/timeline/value flow</w:t>
            </w:r>
          </w:p>
        </w:tc>
        <w:tc>
          <w:tcPr>
            <w:tcW w:type="dxa" w:w="7920"/>
            <w:tcMar>
              <w:top w:w="100" w:type="dxa"/>
              <w:start w:w="110" w:type="dxa"/>
              <w:bottom w:w="100" w:type="dxa"/>
              <w:end w:w="110" w:type="dxa"/>
            </w:tcMar>
            <w:vAlign w:val="center"/>
          </w:tcPr>
          <w:p>
            <w:pPr>
              <w:spacing w:after="0"/>
            </w:pPr>
            <w:r>
              <w:rPr>
                <w:sz w:val="17"/>
              </w:rPr>
              <w:t>Accessible alternative list/table preserving equivalent analytical semantics.</w:t>
            </w:r>
          </w:p>
        </w:tc>
      </w:tr>
      <w:tr>
        <w:trPr>
          <w:cantSplit/>
        </w:trPr>
        <w:tc>
          <w:tcPr>
            <w:tcW w:type="dxa" w:w="2592"/>
            <w:tcMar>
              <w:top w:w="100" w:type="dxa"/>
              <w:start w:w="110" w:type="dxa"/>
              <w:bottom w:w="100" w:type="dxa"/>
              <w:end w:w="110" w:type="dxa"/>
            </w:tcMar>
            <w:vAlign w:val="center"/>
          </w:tcPr>
          <w:p>
            <w:pPr>
              <w:spacing w:after="0"/>
            </w:pPr>
            <w:r>
              <w:rPr>
                <w:sz w:val="17"/>
              </w:rPr>
              <w:t>Analytical states</w:t>
            </w:r>
          </w:p>
        </w:tc>
        <w:tc>
          <w:tcPr>
            <w:tcW w:type="dxa" w:w="7920"/>
            <w:tcMar>
              <w:top w:w="100" w:type="dxa"/>
              <w:start w:w="110" w:type="dxa"/>
              <w:bottom w:w="100" w:type="dxa"/>
              <w:end w:w="110" w:type="dxa"/>
            </w:tcMar>
            <w:vAlign w:val="center"/>
          </w:tcPr>
          <w:p>
            <w:pPr>
              <w:spacing w:after="0"/>
            </w:pPr>
            <w:r>
              <w:rPr>
                <w:sz w:val="17"/>
              </w:rPr>
              <w:t>Color-independent icon/pattern/text label for Claim/Fact/Inference etc.</w:t>
            </w:r>
          </w:p>
        </w:tc>
      </w:tr>
      <w:tr>
        <w:trPr>
          <w:cantSplit/>
        </w:trPr>
        <w:tc>
          <w:tcPr>
            <w:tcW w:type="dxa" w:w="2592"/>
            <w:tcMar>
              <w:top w:w="100" w:type="dxa"/>
              <w:start w:w="110" w:type="dxa"/>
              <w:bottom w:w="100" w:type="dxa"/>
              <w:end w:w="110" w:type="dxa"/>
            </w:tcMar>
            <w:vAlign w:val="center"/>
          </w:tcPr>
          <w:p>
            <w:pPr>
              <w:spacing w:after="0"/>
            </w:pPr>
            <w:r>
              <w:rPr>
                <w:sz w:val="17"/>
              </w:rPr>
              <w:t>Flow classes</w:t>
            </w:r>
          </w:p>
        </w:tc>
        <w:tc>
          <w:tcPr>
            <w:tcW w:type="dxa" w:w="7920"/>
            <w:tcMar>
              <w:top w:w="100" w:type="dxa"/>
              <w:start w:w="110" w:type="dxa"/>
              <w:bottom w:w="100" w:type="dxa"/>
              <w:end w:w="110" w:type="dxa"/>
            </w:tcMar>
            <w:vAlign w:val="center"/>
          </w:tcPr>
          <w:p>
            <w:pPr>
              <w:spacing w:after="0"/>
            </w:pPr>
            <w:r>
              <w:rPr>
                <w:sz w:val="17"/>
              </w:rPr>
              <w:t>Line pattern + text/legend; not color-only.</w:t>
            </w:r>
          </w:p>
        </w:tc>
      </w:tr>
      <w:tr>
        <w:trPr>
          <w:cantSplit/>
        </w:trPr>
        <w:tc>
          <w:tcPr>
            <w:tcW w:type="dxa" w:w="2592"/>
            <w:tcMar>
              <w:top w:w="100" w:type="dxa"/>
              <w:start w:w="110" w:type="dxa"/>
              <w:bottom w:w="100" w:type="dxa"/>
              <w:end w:w="110" w:type="dxa"/>
            </w:tcMar>
            <w:vAlign w:val="center"/>
          </w:tcPr>
          <w:p>
            <w:pPr>
              <w:spacing w:after="0"/>
            </w:pPr>
            <w:r>
              <w:rPr>
                <w:sz w:val="17"/>
              </w:rPr>
              <w:t>Toast/alerts</w:t>
            </w:r>
          </w:p>
        </w:tc>
        <w:tc>
          <w:tcPr>
            <w:tcW w:type="dxa" w:w="7920"/>
            <w:tcMar>
              <w:top w:w="100" w:type="dxa"/>
              <w:start w:w="110" w:type="dxa"/>
              <w:bottom w:w="100" w:type="dxa"/>
              <w:end w:w="110" w:type="dxa"/>
            </w:tcMar>
            <w:vAlign w:val="center"/>
          </w:tcPr>
          <w:p>
            <w:pPr>
              <w:spacing w:after="0"/>
            </w:pPr>
            <w:r>
              <w:rPr>
                <w:sz w:val="17"/>
              </w:rPr>
              <w:t>Appropriate live-region priority; avoid repeated noisy announcements.</w:t>
            </w:r>
          </w:p>
        </w:tc>
      </w:tr>
      <w:tr>
        <w:trPr>
          <w:cantSplit/>
        </w:trPr>
        <w:tc>
          <w:tcPr>
            <w:tcW w:type="dxa" w:w="2592"/>
            <w:tcMar>
              <w:top w:w="100" w:type="dxa"/>
              <w:start w:w="110" w:type="dxa"/>
              <w:bottom w:w="100" w:type="dxa"/>
              <w:end w:w="110" w:type="dxa"/>
            </w:tcMar>
            <w:vAlign w:val="center"/>
          </w:tcPr>
          <w:p>
            <w:pPr>
              <w:spacing w:after="0"/>
            </w:pPr>
            <w:r>
              <w:rPr>
                <w:sz w:val="17"/>
              </w:rPr>
              <w:t>Protected content</w:t>
            </w:r>
          </w:p>
        </w:tc>
        <w:tc>
          <w:tcPr>
            <w:tcW w:type="dxa" w:w="7920"/>
            <w:tcMar>
              <w:top w:w="100" w:type="dxa"/>
              <w:start w:w="110" w:type="dxa"/>
              <w:bottom w:w="100" w:type="dxa"/>
              <w:end w:w="110" w:type="dxa"/>
            </w:tcMar>
            <w:vAlign w:val="center"/>
          </w:tcPr>
          <w:p>
            <w:pPr>
              <w:spacing w:after="0"/>
            </w:pPr>
            <w:r>
              <w:rPr>
                <w:sz w:val="17"/>
              </w:rPr>
              <w:t>Accessible text SHALL not reveal information withheld visually.</w:t>
            </w:r>
          </w:p>
        </w:tc>
      </w:tr>
    </w:tbl>
    <w:p>
      <w:pPr>
        <w:spacing w:after="20"/>
      </w:pPr>
    </w:p>
    <w:p>
      <w:pPr>
        <w:spacing w:after="80"/>
      </w:pPr>
      <w:r>
        <w:rPr>
          <w:b/>
          <w:color w:val="285C8E"/>
        </w:rPr>
        <w:t xml:space="preserve">CISB-020 — </w:t>
      </w:r>
      <w:r>
        <w:t>Storybook accessibility checks SHALL be required for P0 interactive shared components.</w:t>
      </w:r>
    </w:p>
    <w:p>
      <w:pPr>
        <w:pStyle w:val="Heading1"/>
      </w:pPr>
      <w:r>
        <w:t>8. Storybook Architecture</w:t>
      </w:r>
    </w:p>
    <w:tbl>
      <w:tblPr>
        <w:tblW w:type="auto" w:w="0"/>
        <w:jc w:val="center"/>
        <w:tblLook w:firstColumn="1" w:firstRow="1" w:lastColumn="0" w:lastRow="0" w:noHBand="0" w:noVBand="1" w:val="04A0"/>
      </w:tblPr>
      <w:tblGrid>
        <w:gridCol w:w="10080"/>
      </w:tblGrid>
      <w:tr>
        <w:tc>
          <w:tcPr>
            <w:tcW w:type="dxa" w:w="10080"/>
            <w:shd w:fill="EEF4FA"/>
            <w:tcMar>
              <w:top w:w="160" w:type="dxa"/>
              <w:start w:w="180" w:type="dxa"/>
              <w:bottom w:w="160" w:type="dxa"/>
              <w:end w:w="180" w:type="dxa"/>
            </w:tcMar>
          </w:tcPr>
          <w:p>
            <w:r>
              <w:rPr>
                <w:b/>
                <w:color w:val="1C4160"/>
                <w:sz w:val="21"/>
              </w:rPr>
              <w:t>Storybook purpose</w:t>
              <w:br/>
            </w:r>
            <w:r>
              <w:rPr>
                <w:sz w:val="19"/>
              </w:rPr>
              <w:t>Storybook is the executable catalogue of component semantics. It SHALL serve design review, engineering documentation, accessibility review, interaction testing, visual regression, and reference composition. It is not merely a gallery of default states.</w:t>
            </w:r>
          </w:p>
        </w:tc>
      </w:tr>
    </w:tbl>
    <w:p>
      <w:pPr>
        <w:spacing w:after="40"/>
      </w:pP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448"/>
            <w:shd w:fill="DCE8F3"/>
            <w:tcMar>
              <w:top w:w="100" w:type="dxa"/>
              <w:start w:w="110" w:type="dxa"/>
              <w:bottom w:w="100" w:type="dxa"/>
              <w:end w:w="110" w:type="dxa"/>
            </w:tcMar>
            <w:vAlign w:val="center"/>
          </w:tcPr>
          <w:p>
            <w:pPr>
              <w:jc w:val="center"/>
            </w:pPr>
            <w:r>
              <w:rPr>
                <w:b/>
                <w:color w:val="1C4160"/>
                <w:sz w:val="18"/>
              </w:rPr>
              <w:t>Storybook group</w:t>
            </w:r>
          </w:p>
        </w:tc>
        <w:tc>
          <w:tcPr>
            <w:tcW w:type="dxa" w:w="4031"/>
            <w:shd w:fill="DCE8F3"/>
            <w:tcMar>
              <w:top w:w="100" w:type="dxa"/>
              <w:start w:w="110" w:type="dxa"/>
              <w:bottom w:w="100" w:type="dxa"/>
              <w:end w:w="110" w:type="dxa"/>
            </w:tcMar>
            <w:vAlign w:val="center"/>
          </w:tcPr>
          <w:p>
            <w:pPr>
              <w:jc w:val="center"/>
            </w:pPr>
            <w:r>
              <w:rPr>
                <w:b/>
                <w:color w:val="1C4160"/>
                <w:sz w:val="18"/>
              </w:rPr>
              <w:t>Coverage</w:t>
            </w:r>
          </w:p>
        </w:tc>
        <w:tc>
          <w:tcPr>
            <w:tcW w:type="dxa" w:w="4031"/>
            <w:shd w:fill="DCE8F3"/>
            <w:tcMar>
              <w:top w:w="100" w:type="dxa"/>
              <w:start w:w="110" w:type="dxa"/>
              <w:bottom w:w="100" w:type="dxa"/>
              <w:end w:w="110" w:type="dxa"/>
            </w:tcMar>
            <w:vAlign w:val="center"/>
          </w:tcPr>
          <w:p>
            <w:pPr>
              <w:jc w:val="center"/>
            </w:pPr>
            <w:r>
              <w:rPr>
                <w:b/>
                <w:color w:val="1C4160"/>
                <w:sz w:val="18"/>
              </w:rPr>
              <w:t>Required story emphasis</w:t>
            </w:r>
          </w:p>
        </w:tc>
      </w:tr>
      <w:tr>
        <w:trPr>
          <w:cantSplit/>
        </w:trPr>
        <w:tc>
          <w:tcPr>
            <w:tcW w:type="dxa" w:w="2448"/>
            <w:tcMar>
              <w:top w:w="100" w:type="dxa"/>
              <w:start w:w="110" w:type="dxa"/>
              <w:bottom w:w="100" w:type="dxa"/>
              <w:end w:w="110" w:type="dxa"/>
            </w:tcMar>
            <w:vAlign w:val="center"/>
          </w:tcPr>
          <w:p>
            <w:pPr>
              <w:spacing w:after="0"/>
            </w:pPr>
            <w:r>
              <w:rPr>
                <w:sz w:val="17"/>
              </w:rPr>
              <w:t>Foundations</w:t>
            </w:r>
          </w:p>
        </w:tc>
        <w:tc>
          <w:tcPr>
            <w:tcW w:type="dxa" w:w="4031"/>
            <w:tcMar>
              <w:top w:w="100" w:type="dxa"/>
              <w:start w:w="110" w:type="dxa"/>
              <w:bottom w:w="100" w:type="dxa"/>
              <w:end w:w="110" w:type="dxa"/>
            </w:tcMar>
            <w:vAlign w:val="center"/>
          </w:tcPr>
          <w:p>
            <w:pPr>
              <w:spacing w:after="0"/>
            </w:pPr>
            <w:r>
              <w:rPr>
                <w:sz w:val="17"/>
              </w:rPr>
              <w:t>Tokens, typography, surfaces, icons</w:t>
            </w:r>
          </w:p>
        </w:tc>
        <w:tc>
          <w:tcPr>
            <w:tcW w:type="dxa" w:w="4031"/>
            <w:tcMar>
              <w:top w:w="100" w:type="dxa"/>
              <w:start w:w="110" w:type="dxa"/>
              <w:bottom w:w="100" w:type="dxa"/>
              <w:end w:w="110" w:type="dxa"/>
            </w:tcMar>
            <w:vAlign w:val="center"/>
          </w:tcPr>
          <w:p>
            <w:pPr>
              <w:spacing w:after="0"/>
            </w:pPr>
            <w:r>
              <w:rPr>
                <w:sz w:val="17"/>
              </w:rPr>
              <w:t>Docs only + smoke stories</w:t>
            </w:r>
          </w:p>
        </w:tc>
      </w:tr>
      <w:tr>
        <w:trPr>
          <w:cantSplit/>
        </w:trPr>
        <w:tc>
          <w:tcPr>
            <w:tcW w:type="dxa" w:w="2448"/>
            <w:tcMar>
              <w:top w:w="100" w:type="dxa"/>
              <w:start w:w="110" w:type="dxa"/>
              <w:bottom w:w="100" w:type="dxa"/>
              <w:end w:w="110" w:type="dxa"/>
            </w:tcMar>
            <w:vAlign w:val="center"/>
          </w:tcPr>
          <w:p>
            <w:pPr>
              <w:spacing w:after="0"/>
            </w:pPr>
            <w:r>
              <w:rPr>
                <w:sz w:val="17"/>
              </w:rPr>
              <w:t>General/Actions</w:t>
            </w:r>
          </w:p>
        </w:tc>
        <w:tc>
          <w:tcPr>
            <w:tcW w:type="dxa" w:w="4031"/>
            <w:tcMar>
              <w:top w:w="100" w:type="dxa"/>
              <w:start w:w="110" w:type="dxa"/>
              <w:bottom w:w="100" w:type="dxa"/>
              <w:end w:w="110" w:type="dxa"/>
            </w:tcMar>
            <w:vAlign w:val="center"/>
          </w:tcPr>
          <w:p>
            <w:pPr>
              <w:spacing w:after="0"/>
            </w:pPr>
            <w:r>
              <w:rPr>
                <w:sz w:val="17"/>
              </w:rPr>
              <w:t>Button, IconButton, Link</w:t>
            </w:r>
          </w:p>
        </w:tc>
        <w:tc>
          <w:tcPr>
            <w:tcW w:type="dxa" w:w="4031"/>
            <w:tcMar>
              <w:top w:w="100" w:type="dxa"/>
              <w:start w:w="110" w:type="dxa"/>
              <w:bottom w:w="100" w:type="dxa"/>
              <w:end w:w="110" w:type="dxa"/>
            </w:tcMar>
            <w:vAlign w:val="center"/>
          </w:tcPr>
          <w:p>
            <w:pPr>
              <w:spacing w:after="0"/>
            </w:pPr>
            <w:r>
              <w:rPr>
                <w:sz w:val="17"/>
              </w:rPr>
              <w:t>Variants, disabled, loading, keyboard</w:t>
            </w:r>
          </w:p>
        </w:tc>
      </w:tr>
      <w:tr>
        <w:trPr>
          <w:cantSplit/>
        </w:trPr>
        <w:tc>
          <w:tcPr>
            <w:tcW w:type="dxa" w:w="2448"/>
            <w:tcMar>
              <w:top w:w="100" w:type="dxa"/>
              <w:start w:w="110" w:type="dxa"/>
              <w:bottom w:w="100" w:type="dxa"/>
              <w:end w:w="110" w:type="dxa"/>
            </w:tcMar>
            <w:vAlign w:val="center"/>
          </w:tcPr>
          <w:p>
            <w:pPr>
              <w:spacing w:after="0"/>
            </w:pPr>
            <w:r>
              <w:rPr>
                <w:sz w:val="17"/>
              </w:rPr>
              <w:t>General/Forms</w:t>
            </w:r>
          </w:p>
        </w:tc>
        <w:tc>
          <w:tcPr>
            <w:tcW w:type="dxa" w:w="4031"/>
            <w:tcMar>
              <w:top w:w="100" w:type="dxa"/>
              <w:start w:w="110" w:type="dxa"/>
              <w:bottom w:w="100" w:type="dxa"/>
              <w:end w:w="110" w:type="dxa"/>
            </w:tcMar>
            <w:vAlign w:val="center"/>
          </w:tcPr>
          <w:p>
            <w:pPr>
              <w:spacing w:after="0"/>
            </w:pPr>
            <w:r>
              <w:rPr>
                <w:sz w:val="17"/>
              </w:rPr>
              <w:t>Inputs, select, combobox, dates, values</w:t>
            </w:r>
          </w:p>
        </w:tc>
        <w:tc>
          <w:tcPr>
            <w:tcW w:type="dxa" w:w="4031"/>
            <w:tcMar>
              <w:top w:w="100" w:type="dxa"/>
              <w:start w:w="110" w:type="dxa"/>
              <w:bottom w:w="100" w:type="dxa"/>
              <w:end w:w="110" w:type="dxa"/>
            </w:tcMar>
            <w:vAlign w:val="center"/>
          </w:tcPr>
          <w:p>
            <w:pPr>
              <w:spacing w:after="0"/>
            </w:pPr>
            <w:r>
              <w:rPr>
                <w:sz w:val="17"/>
              </w:rPr>
              <w:t>Default, error, disabled, readonly, long content</w:t>
            </w:r>
          </w:p>
        </w:tc>
      </w:tr>
      <w:tr>
        <w:trPr>
          <w:cantSplit/>
        </w:trPr>
        <w:tc>
          <w:tcPr>
            <w:tcW w:type="dxa" w:w="2448"/>
            <w:tcMar>
              <w:top w:w="100" w:type="dxa"/>
              <w:start w:w="110" w:type="dxa"/>
              <w:bottom w:w="100" w:type="dxa"/>
              <w:end w:w="110" w:type="dxa"/>
            </w:tcMar>
            <w:vAlign w:val="center"/>
          </w:tcPr>
          <w:p>
            <w:pPr>
              <w:spacing w:after="0"/>
            </w:pPr>
            <w:r>
              <w:rPr>
                <w:sz w:val="17"/>
              </w:rPr>
              <w:t>General/Data Display</w:t>
            </w:r>
          </w:p>
        </w:tc>
        <w:tc>
          <w:tcPr>
            <w:tcW w:type="dxa" w:w="4031"/>
            <w:tcMar>
              <w:top w:w="100" w:type="dxa"/>
              <w:start w:w="110" w:type="dxa"/>
              <w:bottom w:w="100" w:type="dxa"/>
              <w:end w:w="110" w:type="dxa"/>
            </w:tcMar>
            <w:vAlign w:val="center"/>
          </w:tcPr>
          <w:p>
            <w:pPr>
              <w:spacing w:after="0"/>
            </w:pPr>
            <w:r>
              <w:rPr>
                <w:sz w:val="17"/>
              </w:rPr>
              <w:t>Badge, chip, table, pagination</w:t>
            </w:r>
          </w:p>
        </w:tc>
        <w:tc>
          <w:tcPr>
            <w:tcW w:type="dxa" w:w="4031"/>
            <w:tcMar>
              <w:top w:w="100" w:type="dxa"/>
              <w:start w:w="110" w:type="dxa"/>
              <w:bottom w:w="100" w:type="dxa"/>
              <w:end w:w="110" w:type="dxa"/>
            </w:tcMar>
            <w:vAlign w:val="center"/>
          </w:tcPr>
          <w:p>
            <w:pPr>
              <w:spacing w:after="0"/>
            </w:pPr>
            <w:r>
              <w:rPr>
                <w:sz w:val="17"/>
              </w:rPr>
              <w:t>Dense, empty, long values, permission-filtered</w:t>
            </w:r>
          </w:p>
        </w:tc>
      </w:tr>
      <w:tr>
        <w:trPr>
          <w:cantSplit/>
        </w:trPr>
        <w:tc>
          <w:tcPr>
            <w:tcW w:type="dxa" w:w="2448"/>
            <w:tcMar>
              <w:top w:w="100" w:type="dxa"/>
              <w:start w:w="110" w:type="dxa"/>
              <w:bottom w:w="100" w:type="dxa"/>
              <w:end w:w="110" w:type="dxa"/>
            </w:tcMar>
            <w:vAlign w:val="center"/>
          </w:tcPr>
          <w:p>
            <w:pPr>
              <w:spacing w:after="0"/>
            </w:pPr>
            <w:r>
              <w:rPr>
                <w:sz w:val="17"/>
              </w:rPr>
              <w:t>General/Feedback</w:t>
            </w:r>
          </w:p>
        </w:tc>
        <w:tc>
          <w:tcPr>
            <w:tcW w:type="dxa" w:w="4031"/>
            <w:tcMar>
              <w:top w:w="100" w:type="dxa"/>
              <w:start w:w="110" w:type="dxa"/>
              <w:bottom w:w="100" w:type="dxa"/>
              <w:end w:w="110" w:type="dxa"/>
            </w:tcMar>
            <w:vAlign w:val="center"/>
          </w:tcPr>
          <w:p>
            <w:pPr>
              <w:spacing w:after="0"/>
            </w:pPr>
            <w:r>
              <w:rPr>
                <w:sz w:val="17"/>
              </w:rPr>
              <w:t>Alert, toast, modal, drawer</w:t>
            </w:r>
          </w:p>
        </w:tc>
        <w:tc>
          <w:tcPr>
            <w:tcW w:type="dxa" w:w="4031"/>
            <w:tcMar>
              <w:top w:w="100" w:type="dxa"/>
              <w:start w:w="110" w:type="dxa"/>
              <w:bottom w:w="100" w:type="dxa"/>
              <w:end w:w="110" w:type="dxa"/>
            </w:tcMar>
            <w:vAlign w:val="center"/>
          </w:tcPr>
          <w:p>
            <w:pPr>
              <w:spacing w:after="0"/>
            </w:pPr>
            <w:r>
              <w:rPr>
                <w:sz w:val="17"/>
              </w:rPr>
              <w:t>Severity, focus trap, dismissal, async action</w:t>
            </w:r>
          </w:p>
        </w:tc>
      </w:tr>
      <w:tr>
        <w:trPr>
          <w:cantSplit/>
        </w:trPr>
        <w:tc>
          <w:tcPr>
            <w:tcW w:type="dxa" w:w="2448"/>
            <w:tcMar>
              <w:top w:w="100" w:type="dxa"/>
              <w:start w:w="110" w:type="dxa"/>
              <w:bottom w:w="100" w:type="dxa"/>
              <w:end w:w="110" w:type="dxa"/>
            </w:tcMar>
            <w:vAlign w:val="center"/>
          </w:tcPr>
          <w:p>
            <w:pPr>
              <w:spacing w:after="0"/>
            </w:pPr>
            <w:r>
              <w:rPr>
                <w:sz w:val="17"/>
              </w:rPr>
              <w:t>Analytical/Provenance</w:t>
            </w:r>
          </w:p>
        </w:tc>
        <w:tc>
          <w:tcPr>
            <w:tcW w:type="dxa" w:w="4031"/>
            <w:tcMar>
              <w:top w:w="100" w:type="dxa"/>
              <w:start w:w="110" w:type="dxa"/>
              <w:bottom w:w="100" w:type="dxa"/>
              <w:end w:w="110" w:type="dxa"/>
            </w:tcMar>
            <w:vAlign w:val="center"/>
          </w:tcPr>
          <w:p>
            <w:pPr>
              <w:spacing w:after="0"/>
            </w:pPr>
            <w:r>
              <w:rPr>
                <w:sz w:val="17"/>
              </w:rPr>
              <w:t>Citation, provenance, evidence inspector</w:t>
            </w:r>
          </w:p>
        </w:tc>
        <w:tc>
          <w:tcPr>
            <w:tcW w:type="dxa" w:w="4031"/>
            <w:tcMar>
              <w:top w:w="100" w:type="dxa"/>
              <w:start w:w="110" w:type="dxa"/>
              <w:bottom w:w="100" w:type="dxa"/>
              <w:end w:w="110" w:type="dxa"/>
            </w:tcMar>
            <w:vAlign w:val="center"/>
          </w:tcPr>
          <w:p>
            <w:pPr>
              <w:spacing w:after="0"/>
            </w:pPr>
            <w:r>
              <w:rPr>
                <w:sz w:val="17"/>
              </w:rPr>
              <w:t>Complete/missing/restricted/derivative</w:t>
            </w:r>
          </w:p>
        </w:tc>
      </w:tr>
      <w:tr>
        <w:trPr>
          <w:cantSplit/>
        </w:trPr>
        <w:tc>
          <w:tcPr>
            <w:tcW w:type="dxa" w:w="2448"/>
            <w:tcMar>
              <w:top w:w="100" w:type="dxa"/>
              <w:start w:w="110" w:type="dxa"/>
              <w:bottom w:w="100" w:type="dxa"/>
              <w:end w:w="110" w:type="dxa"/>
            </w:tcMar>
            <w:vAlign w:val="center"/>
          </w:tcPr>
          <w:p>
            <w:pPr>
              <w:spacing w:after="0"/>
            </w:pPr>
            <w:r>
              <w:rPr>
                <w:sz w:val="17"/>
              </w:rPr>
              <w:t>Analytical/Uncertainty</w:t>
            </w:r>
          </w:p>
        </w:tc>
        <w:tc>
          <w:tcPr>
            <w:tcW w:type="dxa" w:w="4031"/>
            <w:tcMar>
              <w:top w:w="100" w:type="dxa"/>
              <w:start w:w="110" w:type="dxa"/>
              <w:bottom w:w="100" w:type="dxa"/>
              <w:end w:w="110" w:type="dxa"/>
            </w:tcMar>
            <w:vAlign w:val="center"/>
          </w:tcPr>
          <w:p>
            <w:pPr>
              <w:spacing w:after="0"/>
            </w:pPr>
            <w:r>
              <w:rPr>
                <w:sz w:val="17"/>
              </w:rPr>
              <w:t>State badge, confidence, gaps</w:t>
            </w:r>
          </w:p>
        </w:tc>
        <w:tc>
          <w:tcPr>
            <w:tcW w:type="dxa" w:w="4031"/>
            <w:tcMar>
              <w:top w:w="100" w:type="dxa"/>
              <w:start w:w="110" w:type="dxa"/>
              <w:bottom w:w="100" w:type="dxa"/>
              <w:end w:w="110" w:type="dxa"/>
            </w:tcMar>
            <w:vAlign w:val="center"/>
          </w:tcPr>
          <w:p>
            <w:pPr>
              <w:spacing w:after="0"/>
            </w:pPr>
            <w:r>
              <w:rPr>
                <w:sz w:val="17"/>
              </w:rPr>
              <w:t>All epistemic states + accessible labels</w:t>
            </w:r>
          </w:p>
        </w:tc>
      </w:tr>
      <w:tr>
        <w:trPr>
          <w:cantSplit/>
        </w:trPr>
        <w:tc>
          <w:tcPr>
            <w:tcW w:type="dxa" w:w="2448"/>
            <w:tcMar>
              <w:top w:w="100" w:type="dxa"/>
              <w:start w:w="110" w:type="dxa"/>
              <w:bottom w:w="100" w:type="dxa"/>
              <w:end w:w="110" w:type="dxa"/>
            </w:tcMar>
            <w:vAlign w:val="center"/>
          </w:tcPr>
          <w:p>
            <w:pPr>
              <w:spacing w:after="0"/>
            </w:pPr>
            <w:r>
              <w:rPr>
                <w:sz w:val="17"/>
              </w:rPr>
              <w:t>Analytical/Entity</w:t>
            </w:r>
          </w:p>
        </w:tc>
        <w:tc>
          <w:tcPr>
            <w:tcW w:type="dxa" w:w="4031"/>
            <w:tcMar>
              <w:top w:w="100" w:type="dxa"/>
              <w:start w:w="110" w:type="dxa"/>
              <w:bottom w:w="100" w:type="dxa"/>
              <w:end w:w="110" w:type="dxa"/>
            </w:tcMar>
            <w:vAlign w:val="center"/>
          </w:tcPr>
          <w:p>
            <w:pPr>
              <w:spacing w:after="0"/>
            </w:pPr>
            <w:r>
              <w:rPr>
                <w:sz w:val="17"/>
              </w:rPr>
              <w:t>Entity card, relationship, asset attribution</w:t>
            </w:r>
          </w:p>
        </w:tc>
        <w:tc>
          <w:tcPr>
            <w:tcW w:type="dxa" w:w="4031"/>
            <w:tcMar>
              <w:top w:w="100" w:type="dxa"/>
              <w:start w:w="110" w:type="dxa"/>
              <w:bottom w:w="100" w:type="dxa"/>
              <w:end w:w="110" w:type="dxa"/>
            </w:tcMar>
            <w:vAlign w:val="center"/>
          </w:tcPr>
          <w:p>
            <w:pPr>
              <w:spacing w:after="0"/>
            </w:pPr>
            <w:r>
              <w:rPr>
                <w:sz w:val="17"/>
              </w:rPr>
              <w:t>Normal/conflicting/disputed/unknown</w:t>
            </w:r>
          </w:p>
        </w:tc>
      </w:tr>
      <w:tr>
        <w:trPr>
          <w:cantSplit/>
        </w:trPr>
        <w:tc>
          <w:tcPr>
            <w:tcW w:type="dxa" w:w="2448"/>
            <w:tcMar>
              <w:top w:w="100" w:type="dxa"/>
              <w:start w:w="110" w:type="dxa"/>
              <w:bottom w:w="100" w:type="dxa"/>
              <w:end w:w="110" w:type="dxa"/>
            </w:tcMar>
            <w:vAlign w:val="center"/>
          </w:tcPr>
          <w:p>
            <w:pPr>
              <w:spacing w:after="0"/>
            </w:pPr>
            <w:r>
              <w:rPr>
                <w:sz w:val="17"/>
              </w:rPr>
              <w:t>Analytical/Value Flow</w:t>
            </w:r>
          </w:p>
        </w:tc>
        <w:tc>
          <w:tcPr>
            <w:tcW w:type="dxa" w:w="4031"/>
            <w:tcMar>
              <w:top w:w="100" w:type="dxa"/>
              <w:start w:w="110" w:type="dxa"/>
              <w:bottom w:w="100" w:type="dxa"/>
              <w:end w:w="110" w:type="dxa"/>
            </w:tcMar>
            <w:vAlign w:val="center"/>
          </w:tcPr>
          <w:p>
            <w:pPr>
              <w:spacing w:after="0"/>
            </w:pPr>
            <w:r>
              <w:rPr>
                <w:sz w:val="17"/>
              </w:rPr>
              <w:t>Flow badge, edge, legend, value field</w:t>
            </w:r>
          </w:p>
        </w:tc>
        <w:tc>
          <w:tcPr>
            <w:tcW w:type="dxa" w:w="4031"/>
            <w:tcMar>
              <w:top w:w="100" w:type="dxa"/>
              <w:start w:w="110" w:type="dxa"/>
              <w:bottom w:w="100" w:type="dxa"/>
              <w:end w:w="110" w:type="dxa"/>
            </w:tcMar>
            <w:vAlign w:val="center"/>
          </w:tcPr>
          <w:p>
            <w:pPr>
              <w:spacing w:after="0"/>
            </w:pPr>
            <w:r>
              <w:rPr>
                <w:sz w:val="17"/>
              </w:rPr>
              <w:t>All four classes, grayscale, long chain</w:t>
            </w:r>
          </w:p>
        </w:tc>
      </w:tr>
      <w:tr>
        <w:trPr>
          <w:cantSplit/>
        </w:trPr>
        <w:tc>
          <w:tcPr>
            <w:tcW w:type="dxa" w:w="2448"/>
            <w:tcMar>
              <w:top w:w="100" w:type="dxa"/>
              <w:start w:w="110" w:type="dxa"/>
              <w:bottom w:w="100" w:type="dxa"/>
              <w:end w:w="110" w:type="dxa"/>
            </w:tcMar>
            <w:vAlign w:val="center"/>
          </w:tcPr>
          <w:p>
            <w:pPr>
              <w:spacing w:after="0"/>
            </w:pPr>
            <w:r>
              <w:rPr>
                <w:sz w:val="17"/>
              </w:rPr>
              <w:t>Analytical/Reasoning</w:t>
            </w:r>
          </w:p>
        </w:tc>
        <w:tc>
          <w:tcPr>
            <w:tcW w:type="dxa" w:w="4031"/>
            <w:tcMar>
              <w:top w:w="100" w:type="dxa"/>
              <w:start w:w="110" w:type="dxa"/>
              <w:bottom w:w="100" w:type="dxa"/>
              <w:end w:w="110" w:type="dxa"/>
            </w:tcMar>
            <w:vAlign w:val="center"/>
          </w:tcPr>
          <w:p>
            <w:pPr>
              <w:spacing w:after="0"/>
            </w:pPr>
            <w:r>
              <w:rPr>
                <w:sz w:val="17"/>
              </w:rPr>
              <w:t>Hypothesis, evidence matrix, typology, assessment</w:t>
            </w:r>
          </w:p>
        </w:tc>
        <w:tc>
          <w:tcPr>
            <w:tcW w:type="dxa" w:w="4031"/>
            <w:tcMar>
              <w:top w:w="100" w:type="dxa"/>
              <w:start w:w="110" w:type="dxa"/>
              <w:bottom w:w="100" w:type="dxa"/>
              <w:end w:w="110" w:type="dxa"/>
            </w:tcMar>
            <w:vAlign w:val="center"/>
          </w:tcPr>
          <w:p>
            <w:pPr>
              <w:spacing w:after="0"/>
            </w:pPr>
            <w:r>
              <w:rPr>
                <w:sz w:val="17"/>
              </w:rPr>
              <w:t>Support/contradiction/unknown/reviewed</w:t>
            </w:r>
          </w:p>
        </w:tc>
      </w:tr>
      <w:tr>
        <w:trPr>
          <w:cantSplit/>
        </w:trPr>
        <w:tc>
          <w:tcPr>
            <w:tcW w:type="dxa" w:w="2448"/>
            <w:tcMar>
              <w:top w:w="100" w:type="dxa"/>
              <w:start w:w="110" w:type="dxa"/>
              <w:bottom w:w="100" w:type="dxa"/>
              <w:end w:w="110" w:type="dxa"/>
            </w:tcMar>
            <w:vAlign w:val="center"/>
          </w:tcPr>
          <w:p>
            <w:pPr>
              <w:spacing w:after="0"/>
            </w:pPr>
            <w:r>
              <w:rPr>
                <w:sz w:val="17"/>
              </w:rPr>
              <w:t>Analytical/Review</w:t>
            </w:r>
          </w:p>
        </w:tc>
        <w:tc>
          <w:tcPr>
            <w:tcW w:type="dxa" w:w="4031"/>
            <w:tcMar>
              <w:top w:w="100" w:type="dxa"/>
              <w:start w:w="110" w:type="dxa"/>
              <w:bottom w:w="100" w:type="dxa"/>
              <w:end w:w="110" w:type="dxa"/>
            </w:tcMar>
            <w:vAlign w:val="center"/>
          </w:tcPr>
          <w:p>
            <w:pPr>
              <w:spacing w:after="0"/>
            </w:pPr>
            <w:r>
              <w:rPr>
                <w:sz w:val="17"/>
              </w:rPr>
              <w:t>Review panel, classification, protected-source marker</w:t>
            </w:r>
          </w:p>
        </w:tc>
        <w:tc>
          <w:tcPr>
            <w:tcW w:type="dxa" w:w="4031"/>
            <w:tcMar>
              <w:top w:w="100" w:type="dxa"/>
              <w:start w:w="110" w:type="dxa"/>
              <w:bottom w:w="100" w:type="dxa"/>
              <w:end w:w="110" w:type="dxa"/>
            </w:tcMar>
            <w:vAlign w:val="center"/>
          </w:tcPr>
          <w:p>
            <w:pPr>
              <w:spacing w:after="0"/>
            </w:pPr>
            <w:r>
              <w:rPr>
                <w:sz w:val="17"/>
              </w:rPr>
              <w:t>Pending/change/approved/rejected/restricted</w:t>
            </w:r>
          </w:p>
        </w:tc>
      </w:tr>
      <w:tr>
        <w:trPr>
          <w:cantSplit/>
        </w:trPr>
        <w:tc>
          <w:tcPr>
            <w:tcW w:type="dxa" w:w="2448"/>
            <w:tcMar>
              <w:top w:w="100" w:type="dxa"/>
              <w:start w:w="110" w:type="dxa"/>
              <w:bottom w:w="100" w:type="dxa"/>
              <w:end w:w="110" w:type="dxa"/>
            </w:tcMar>
            <w:vAlign w:val="center"/>
          </w:tcPr>
          <w:p>
            <w:pPr>
              <w:spacing w:after="0"/>
            </w:pPr>
            <w:r>
              <w:rPr>
                <w:sz w:val="17"/>
              </w:rPr>
              <w:t>Patterns</w:t>
            </w:r>
          </w:p>
        </w:tc>
        <w:tc>
          <w:tcPr>
            <w:tcW w:type="dxa" w:w="4031"/>
            <w:tcMar>
              <w:top w:w="100" w:type="dxa"/>
              <w:start w:w="110" w:type="dxa"/>
              <w:bottom w:w="100" w:type="dxa"/>
              <w:end w:w="110" w:type="dxa"/>
            </w:tcMar>
            <w:vAlign w:val="center"/>
          </w:tcPr>
          <w:p>
            <w:pPr>
              <w:spacing w:after="0"/>
            </w:pPr>
            <w:r>
              <w:rPr>
                <w:sz w:val="17"/>
              </w:rPr>
              <w:t>Register/Object/Editor/Workspace/Compare/Review/System</w:t>
            </w:r>
          </w:p>
        </w:tc>
        <w:tc>
          <w:tcPr>
            <w:tcW w:type="dxa" w:w="4031"/>
            <w:tcMar>
              <w:top w:w="100" w:type="dxa"/>
              <w:start w:w="110" w:type="dxa"/>
              <w:bottom w:w="100" w:type="dxa"/>
              <w:end w:w="110" w:type="dxa"/>
            </w:tcMar>
            <w:vAlign w:val="center"/>
          </w:tcPr>
          <w:p>
            <w:pPr>
              <w:spacing w:after="0"/>
            </w:pPr>
            <w:r>
              <w:rPr>
                <w:sz w:val="17"/>
              </w:rPr>
              <w:t>Reference composition stories</w:t>
            </w:r>
          </w:p>
        </w:tc>
      </w:tr>
    </w:tbl>
    <w:p>
      <w:pPr>
        <w:spacing w:after="20"/>
      </w:pPr>
    </w:p>
    <w:p>
      <w:pPr>
        <w:pStyle w:val="Heading1"/>
      </w:pPr>
      <w:r>
        <w:t>9. Required Story Set Per Component</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232"/>
            <w:shd w:fill="DCE8F3"/>
            <w:tcMar>
              <w:top w:w="100" w:type="dxa"/>
              <w:start w:w="110" w:type="dxa"/>
              <w:bottom w:w="100" w:type="dxa"/>
              <w:end w:w="110" w:type="dxa"/>
            </w:tcMar>
            <w:vAlign w:val="center"/>
          </w:tcPr>
          <w:p>
            <w:pPr>
              <w:jc w:val="center"/>
            </w:pPr>
            <w:r>
              <w:rPr>
                <w:b/>
                <w:color w:val="1C4160"/>
                <w:sz w:val="18"/>
              </w:rPr>
              <w:t>Story</w:t>
            </w:r>
          </w:p>
        </w:tc>
        <w:tc>
          <w:tcPr>
            <w:tcW w:type="dxa" w:w="8280"/>
            <w:shd w:fill="DCE8F3"/>
            <w:tcMar>
              <w:top w:w="100" w:type="dxa"/>
              <w:start w:w="110" w:type="dxa"/>
              <w:bottom w:w="100" w:type="dxa"/>
              <w:end w:w="110" w:type="dxa"/>
            </w:tcMar>
            <w:vAlign w:val="center"/>
          </w:tcPr>
          <w:p>
            <w:pPr>
              <w:jc w:val="center"/>
            </w:pPr>
            <w:r>
              <w:rPr>
                <w:b/>
                <w:color w:val="1C4160"/>
                <w:sz w:val="18"/>
              </w:rPr>
              <w:t>Requirement</w:t>
            </w:r>
          </w:p>
        </w:tc>
      </w:tr>
      <w:tr>
        <w:trPr>
          <w:cantSplit/>
        </w:trPr>
        <w:tc>
          <w:tcPr>
            <w:tcW w:type="dxa" w:w="2232"/>
            <w:tcMar>
              <w:top w:w="100" w:type="dxa"/>
              <w:start w:w="110" w:type="dxa"/>
              <w:bottom w:w="100" w:type="dxa"/>
              <w:end w:w="110" w:type="dxa"/>
            </w:tcMar>
            <w:vAlign w:val="center"/>
          </w:tcPr>
          <w:p>
            <w:pPr>
              <w:spacing w:after="0"/>
            </w:pPr>
            <w:r>
              <w:rPr>
                <w:sz w:val="17"/>
              </w:rPr>
              <w:t>Default</w:t>
            </w:r>
          </w:p>
        </w:tc>
        <w:tc>
          <w:tcPr>
            <w:tcW w:type="dxa" w:w="8280"/>
            <w:tcMar>
              <w:top w:w="100" w:type="dxa"/>
              <w:start w:w="110" w:type="dxa"/>
              <w:bottom w:w="100" w:type="dxa"/>
              <w:end w:w="110" w:type="dxa"/>
            </w:tcMar>
            <w:vAlign w:val="center"/>
          </w:tcPr>
          <w:p>
            <w:pPr>
              <w:spacing w:after="0"/>
            </w:pPr>
            <w:r>
              <w:rPr>
                <w:sz w:val="17"/>
              </w:rPr>
              <w:t>Representative normal state with realistic but synthetic safe fixture data.</w:t>
            </w:r>
          </w:p>
        </w:tc>
      </w:tr>
      <w:tr>
        <w:trPr>
          <w:cantSplit/>
        </w:trPr>
        <w:tc>
          <w:tcPr>
            <w:tcW w:type="dxa" w:w="2232"/>
            <w:tcMar>
              <w:top w:w="100" w:type="dxa"/>
              <w:start w:w="110" w:type="dxa"/>
              <w:bottom w:w="100" w:type="dxa"/>
              <w:end w:w="110" w:type="dxa"/>
            </w:tcMar>
            <w:vAlign w:val="center"/>
          </w:tcPr>
          <w:p>
            <w:pPr>
              <w:spacing w:after="0"/>
            </w:pPr>
            <w:r>
              <w:rPr>
                <w:sz w:val="17"/>
              </w:rPr>
              <w:t>Variants</w:t>
            </w:r>
          </w:p>
        </w:tc>
        <w:tc>
          <w:tcPr>
            <w:tcW w:type="dxa" w:w="8280"/>
            <w:tcMar>
              <w:top w:w="100" w:type="dxa"/>
              <w:start w:w="110" w:type="dxa"/>
              <w:bottom w:w="100" w:type="dxa"/>
              <w:end w:w="110" w:type="dxa"/>
            </w:tcMar>
            <w:vAlign w:val="center"/>
          </w:tcPr>
          <w:p>
            <w:pPr>
              <w:spacing w:after="0"/>
            </w:pPr>
            <w:r>
              <w:rPr>
                <w:sz w:val="17"/>
              </w:rPr>
              <w:t>Every public semantic variant, including all analytical states.</w:t>
            </w:r>
          </w:p>
        </w:tc>
      </w:tr>
      <w:tr>
        <w:trPr>
          <w:cantSplit/>
        </w:trPr>
        <w:tc>
          <w:tcPr>
            <w:tcW w:type="dxa" w:w="2232"/>
            <w:tcMar>
              <w:top w:w="100" w:type="dxa"/>
              <w:start w:w="110" w:type="dxa"/>
              <w:bottom w:w="100" w:type="dxa"/>
              <w:end w:w="110" w:type="dxa"/>
            </w:tcMar>
            <w:vAlign w:val="center"/>
          </w:tcPr>
          <w:p>
            <w:pPr>
              <w:spacing w:after="0"/>
            </w:pPr>
            <w:r>
              <w:rPr>
                <w:sz w:val="17"/>
              </w:rPr>
              <w:t>Interactive</w:t>
            </w:r>
          </w:p>
        </w:tc>
        <w:tc>
          <w:tcPr>
            <w:tcW w:type="dxa" w:w="8280"/>
            <w:tcMar>
              <w:top w:w="100" w:type="dxa"/>
              <w:start w:w="110" w:type="dxa"/>
              <w:bottom w:w="100" w:type="dxa"/>
              <w:end w:w="110" w:type="dxa"/>
            </w:tcMar>
            <w:vAlign w:val="center"/>
          </w:tcPr>
          <w:p>
            <w:pPr>
              <w:spacing w:after="0"/>
            </w:pPr>
            <w:r>
              <w:rPr>
                <w:sz w:val="17"/>
              </w:rPr>
              <w:t>User-visible interaction tested via play function where meaningful.</w:t>
            </w:r>
          </w:p>
        </w:tc>
      </w:tr>
      <w:tr>
        <w:trPr>
          <w:cantSplit/>
        </w:trPr>
        <w:tc>
          <w:tcPr>
            <w:tcW w:type="dxa" w:w="2232"/>
            <w:tcMar>
              <w:top w:w="100" w:type="dxa"/>
              <w:start w:w="110" w:type="dxa"/>
              <w:bottom w:w="100" w:type="dxa"/>
              <w:end w:w="110" w:type="dxa"/>
            </w:tcMar>
            <w:vAlign w:val="center"/>
          </w:tcPr>
          <w:p>
            <w:pPr>
              <w:spacing w:after="0"/>
            </w:pPr>
            <w:r>
              <w:rPr>
                <w:sz w:val="17"/>
              </w:rPr>
              <w:t>Keyboard</w:t>
            </w:r>
          </w:p>
        </w:tc>
        <w:tc>
          <w:tcPr>
            <w:tcW w:type="dxa" w:w="8280"/>
            <w:tcMar>
              <w:top w:w="100" w:type="dxa"/>
              <w:start w:w="110" w:type="dxa"/>
              <w:bottom w:w="100" w:type="dxa"/>
              <w:end w:w="110" w:type="dxa"/>
            </w:tcMar>
            <w:vAlign w:val="center"/>
          </w:tcPr>
          <w:p>
            <w:pPr>
              <w:spacing w:after="0"/>
            </w:pPr>
            <w:r>
              <w:rPr>
                <w:sz w:val="17"/>
              </w:rPr>
              <w:t>Focus order and keyboard operation demonstrated for complex interactive components.</w:t>
            </w:r>
          </w:p>
        </w:tc>
      </w:tr>
      <w:tr>
        <w:trPr>
          <w:cantSplit/>
        </w:trPr>
        <w:tc>
          <w:tcPr>
            <w:tcW w:type="dxa" w:w="2232"/>
            <w:tcMar>
              <w:top w:w="100" w:type="dxa"/>
              <w:start w:w="110" w:type="dxa"/>
              <w:bottom w:w="100" w:type="dxa"/>
              <w:end w:w="110" w:type="dxa"/>
            </w:tcMar>
            <w:vAlign w:val="center"/>
          </w:tcPr>
          <w:p>
            <w:pPr>
              <w:spacing w:after="0"/>
            </w:pPr>
            <w:r>
              <w:rPr>
                <w:sz w:val="17"/>
              </w:rPr>
              <w:t>Error / invalid</w:t>
            </w:r>
          </w:p>
        </w:tc>
        <w:tc>
          <w:tcPr>
            <w:tcW w:type="dxa" w:w="8280"/>
            <w:tcMar>
              <w:top w:w="100" w:type="dxa"/>
              <w:start w:w="110" w:type="dxa"/>
              <w:bottom w:w="100" w:type="dxa"/>
              <w:end w:w="110" w:type="dxa"/>
            </w:tcMar>
            <w:vAlign w:val="center"/>
          </w:tcPr>
          <w:p>
            <w:pPr>
              <w:spacing w:after="0"/>
            </w:pPr>
            <w:r>
              <w:rPr>
                <w:sz w:val="17"/>
              </w:rPr>
              <w:t>Validation or failure state where applicable.</w:t>
            </w:r>
          </w:p>
        </w:tc>
      </w:tr>
      <w:tr>
        <w:trPr>
          <w:cantSplit/>
        </w:trPr>
        <w:tc>
          <w:tcPr>
            <w:tcW w:type="dxa" w:w="2232"/>
            <w:tcMar>
              <w:top w:w="100" w:type="dxa"/>
              <w:start w:w="110" w:type="dxa"/>
              <w:bottom w:w="100" w:type="dxa"/>
              <w:end w:w="110" w:type="dxa"/>
            </w:tcMar>
            <w:vAlign w:val="center"/>
          </w:tcPr>
          <w:p>
            <w:pPr>
              <w:spacing w:after="0"/>
            </w:pPr>
            <w:r>
              <w:rPr>
                <w:sz w:val="17"/>
              </w:rPr>
              <w:t>Loading / pending</w:t>
            </w:r>
          </w:p>
        </w:tc>
        <w:tc>
          <w:tcPr>
            <w:tcW w:type="dxa" w:w="8280"/>
            <w:tcMar>
              <w:top w:w="100" w:type="dxa"/>
              <w:start w:w="110" w:type="dxa"/>
              <w:bottom w:w="100" w:type="dxa"/>
              <w:end w:w="110" w:type="dxa"/>
            </w:tcMar>
            <w:vAlign w:val="center"/>
          </w:tcPr>
          <w:p>
            <w:pPr>
              <w:spacing w:after="0"/>
            </w:pPr>
            <w:r>
              <w:rPr>
                <w:sz w:val="17"/>
              </w:rPr>
              <w:t>Async state where applicable.</w:t>
            </w:r>
          </w:p>
        </w:tc>
      </w:tr>
      <w:tr>
        <w:trPr>
          <w:cantSplit/>
        </w:trPr>
        <w:tc>
          <w:tcPr>
            <w:tcW w:type="dxa" w:w="2232"/>
            <w:tcMar>
              <w:top w:w="100" w:type="dxa"/>
              <w:start w:w="110" w:type="dxa"/>
              <w:bottom w:w="100" w:type="dxa"/>
              <w:end w:w="110" w:type="dxa"/>
            </w:tcMar>
            <w:vAlign w:val="center"/>
          </w:tcPr>
          <w:p>
            <w:pPr>
              <w:spacing w:after="0"/>
            </w:pPr>
            <w:r>
              <w:rPr>
                <w:sz w:val="17"/>
              </w:rPr>
              <w:t>Empty / unknown</w:t>
            </w:r>
          </w:p>
        </w:tc>
        <w:tc>
          <w:tcPr>
            <w:tcW w:type="dxa" w:w="8280"/>
            <w:tcMar>
              <w:top w:w="100" w:type="dxa"/>
              <w:start w:w="110" w:type="dxa"/>
              <w:bottom w:w="100" w:type="dxa"/>
              <w:end w:w="110" w:type="dxa"/>
            </w:tcMar>
            <w:vAlign w:val="center"/>
          </w:tcPr>
          <w:p>
            <w:pPr>
              <w:spacing w:after="0"/>
            </w:pPr>
            <w:r>
              <w:rPr>
                <w:sz w:val="17"/>
              </w:rPr>
              <w:t>Unknown and missing data distinct from zero/false.</w:t>
            </w:r>
          </w:p>
        </w:tc>
      </w:tr>
      <w:tr>
        <w:trPr>
          <w:cantSplit/>
        </w:trPr>
        <w:tc>
          <w:tcPr>
            <w:tcW w:type="dxa" w:w="2232"/>
            <w:tcMar>
              <w:top w:w="100" w:type="dxa"/>
              <w:start w:w="110" w:type="dxa"/>
              <w:bottom w:w="100" w:type="dxa"/>
              <w:end w:w="110" w:type="dxa"/>
            </w:tcMar>
            <w:vAlign w:val="center"/>
          </w:tcPr>
          <w:p>
            <w:pPr>
              <w:spacing w:after="0"/>
            </w:pPr>
            <w:r>
              <w:rPr>
                <w:sz w:val="17"/>
              </w:rPr>
              <w:t>Readonly / approved</w:t>
            </w:r>
          </w:p>
        </w:tc>
        <w:tc>
          <w:tcPr>
            <w:tcW w:type="dxa" w:w="8280"/>
            <w:tcMar>
              <w:top w:w="100" w:type="dxa"/>
              <w:start w:w="110" w:type="dxa"/>
              <w:bottom w:w="100" w:type="dxa"/>
              <w:end w:w="110" w:type="dxa"/>
            </w:tcMar>
            <w:vAlign w:val="center"/>
          </w:tcPr>
          <w:p>
            <w:pPr>
              <w:spacing w:after="0"/>
            </w:pPr>
            <w:r>
              <w:rPr>
                <w:sz w:val="17"/>
              </w:rPr>
              <w:t>Immutable/read-only state where applicable.</w:t>
            </w:r>
          </w:p>
        </w:tc>
      </w:tr>
      <w:tr>
        <w:trPr>
          <w:cantSplit/>
        </w:trPr>
        <w:tc>
          <w:tcPr>
            <w:tcW w:type="dxa" w:w="2232"/>
            <w:tcMar>
              <w:top w:w="100" w:type="dxa"/>
              <w:start w:w="110" w:type="dxa"/>
              <w:bottom w:w="100" w:type="dxa"/>
              <w:end w:w="110" w:type="dxa"/>
            </w:tcMar>
            <w:vAlign w:val="center"/>
          </w:tcPr>
          <w:p>
            <w:pPr>
              <w:spacing w:after="0"/>
            </w:pPr>
            <w:r>
              <w:rPr>
                <w:sz w:val="17"/>
              </w:rPr>
              <w:t>Restricted</w:t>
            </w:r>
          </w:p>
        </w:tc>
        <w:tc>
          <w:tcPr>
            <w:tcW w:type="dxa" w:w="8280"/>
            <w:tcMar>
              <w:top w:w="100" w:type="dxa"/>
              <w:start w:w="110" w:type="dxa"/>
              <w:bottom w:w="100" w:type="dxa"/>
              <w:end w:w="110" w:type="dxa"/>
            </w:tcMar>
            <w:vAlign w:val="center"/>
          </w:tcPr>
          <w:p>
            <w:pPr>
              <w:spacing w:after="0"/>
            </w:pPr>
            <w:r>
              <w:rPr>
                <w:sz w:val="17"/>
              </w:rPr>
              <w:t>Permission-safe withheld state for security-sensitive components.</w:t>
            </w:r>
          </w:p>
        </w:tc>
      </w:tr>
      <w:tr>
        <w:trPr>
          <w:cantSplit/>
        </w:trPr>
        <w:tc>
          <w:tcPr>
            <w:tcW w:type="dxa" w:w="2232"/>
            <w:tcMar>
              <w:top w:w="100" w:type="dxa"/>
              <w:start w:w="110" w:type="dxa"/>
              <w:bottom w:w="100" w:type="dxa"/>
              <w:end w:w="110" w:type="dxa"/>
            </w:tcMar>
            <w:vAlign w:val="center"/>
          </w:tcPr>
          <w:p>
            <w:pPr>
              <w:spacing w:after="0"/>
            </w:pPr>
            <w:r>
              <w:rPr>
                <w:sz w:val="17"/>
              </w:rPr>
              <w:t>Long content</w:t>
            </w:r>
          </w:p>
        </w:tc>
        <w:tc>
          <w:tcPr>
            <w:tcW w:type="dxa" w:w="8280"/>
            <w:tcMar>
              <w:top w:w="100" w:type="dxa"/>
              <w:start w:w="110" w:type="dxa"/>
              <w:bottom w:w="100" w:type="dxa"/>
              <w:end w:w="110" w:type="dxa"/>
            </w:tcMar>
            <w:vAlign w:val="center"/>
          </w:tcPr>
          <w:p>
            <w:pPr>
              <w:spacing w:after="0"/>
            </w:pPr>
            <w:r>
              <w:rPr>
                <w:sz w:val="17"/>
              </w:rPr>
              <w:t>Long names, identifiers, citations, translations, and wrapped labels.</w:t>
            </w:r>
          </w:p>
        </w:tc>
      </w:tr>
      <w:tr>
        <w:trPr>
          <w:cantSplit/>
        </w:trPr>
        <w:tc>
          <w:tcPr>
            <w:tcW w:type="dxa" w:w="2232"/>
            <w:tcMar>
              <w:top w:w="100" w:type="dxa"/>
              <w:start w:w="110" w:type="dxa"/>
              <w:bottom w:w="100" w:type="dxa"/>
              <w:end w:w="110" w:type="dxa"/>
            </w:tcMar>
            <w:vAlign w:val="center"/>
          </w:tcPr>
          <w:p>
            <w:pPr>
              <w:spacing w:after="0"/>
            </w:pPr>
            <w:r>
              <w:rPr>
                <w:sz w:val="17"/>
              </w:rPr>
              <w:t>Narrow viewport</w:t>
            </w:r>
          </w:p>
        </w:tc>
        <w:tc>
          <w:tcPr>
            <w:tcW w:type="dxa" w:w="8280"/>
            <w:tcMar>
              <w:top w:w="100" w:type="dxa"/>
              <w:start w:w="110" w:type="dxa"/>
              <w:bottom w:w="100" w:type="dxa"/>
              <w:end w:w="110" w:type="dxa"/>
            </w:tcMar>
            <w:vAlign w:val="center"/>
          </w:tcPr>
          <w:p>
            <w:pPr>
              <w:spacing w:after="0"/>
            </w:pPr>
            <w:r>
              <w:rPr>
                <w:sz w:val="17"/>
              </w:rPr>
              <w:t>Component behavior under constrained width.</w:t>
            </w:r>
          </w:p>
        </w:tc>
      </w:tr>
      <w:tr>
        <w:trPr>
          <w:cantSplit/>
        </w:trPr>
        <w:tc>
          <w:tcPr>
            <w:tcW w:type="dxa" w:w="2232"/>
            <w:tcMar>
              <w:top w:w="100" w:type="dxa"/>
              <w:start w:w="110" w:type="dxa"/>
              <w:bottom w:w="100" w:type="dxa"/>
              <w:end w:w="110" w:type="dxa"/>
            </w:tcMar>
            <w:vAlign w:val="center"/>
          </w:tcPr>
          <w:p>
            <w:pPr>
              <w:spacing w:after="0"/>
            </w:pPr>
            <w:r>
              <w:rPr>
                <w:sz w:val="17"/>
              </w:rPr>
              <w:t>High contrast / grayscale</w:t>
            </w:r>
          </w:p>
        </w:tc>
        <w:tc>
          <w:tcPr>
            <w:tcW w:type="dxa" w:w="8280"/>
            <w:tcMar>
              <w:top w:w="100" w:type="dxa"/>
              <w:start w:w="110" w:type="dxa"/>
              <w:bottom w:w="100" w:type="dxa"/>
              <w:end w:w="110" w:type="dxa"/>
            </w:tcMar>
            <w:vAlign w:val="center"/>
          </w:tcPr>
          <w:p>
            <w:pPr>
              <w:spacing w:after="0"/>
            </w:pPr>
            <w:r>
              <w:rPr>
                <w:sz w:val="17"/>
              </w:rPr>
              <w:t>Critical analytical semantics remain understandable without normal color perception.</w:t>
            </w:r>
          </w:p>
        </w:tc>
      </w:tr>
    </w:tbl>
    <w:p>
      <w:pPr>
        <w:spacing w:after="20"/>
      </w:pPr>
    </w:p>
    <w:p>
      <w:pPr>
        <w:spacing w:after="80"/>
      </w:pPr>
      <w:r>
        <w:rPr>
          <w:b/>
          <w:color w:val="285C8E"/>
        </w:rPr>
        <w:t xml:space="preserve">CISB-030 — </w:t>
      </w:r>
      <w:r>
        <w:t>A P0 component is not Storybook-complete if only a default happy-path story exists.</w:t>
      </w:r>
    </w:p>
    <w:p>
      <w:pPr>
        <w:spacing w:after="80"/>
      </w:pPr>
      <w:r>
        <w:rPr>
          <w:b/>
          <w:color w:val="285C8E"/>
        </w:rPr>
        <w:t xml:space="preserve">CISB-031 — </w:t>
      </w:r>
      <w:r>
        <w:t>Fixtures SHALL be synthetic and SHALL NOT include protected-source identities or copied sensitive production evidence.</w:t>
      </w:r>
    </w:p>
    <w:p>
      <w:pPr>
        <w:pStyle w:val="Heading1"/>
      </w:pPr>
      <w:r>
        <w:t>10. Critical Analytical Story Matrices</w:t>
      </w:r>
    </w:p>
    <w:p>
      <w:pPr>
        <w:pStyle w:val="Heading2"/>
      </w:pPr>
      <w:r>
        <w:t>AnalyticalStateBadge</w:t>
      </w:r>
    </w:p>
    <w:p>
      <w:pPr>
        <w:pStyle w:val="ListBullet"/>
        <w:spacing w:after="40"/>
      </w:pPr>
      <w:r>
        <w:t>Claim</w:t>
      </w:r>
    </w:p>
    <w:p>
      <w:pPr>
        <w:pStyle w:val="ListBullet"/>
        <w:spacing w:after="40"/>
      </w:pPr>
      <w:r>
        <w:t>Fact</w:t>
      </w:r>
    </w:p>
    <w:p>
      <w:pPr>
        <w:pStyle w:val="ListBullet"/>
        <w:spacing w:after="40"/>
      </w:pPr>
      <w:r>
        <w:t>Inference</w:t>
      </w:r>
    </w:p>
    <w:p>
      <w:pPr>
        <w:pStyle w:val="ListBullet"/>
        <w:spacing w:after="40"/>
      </w:pPr>
      <w:r>
        <w:t>Candidate</w:t>
      </w:r>
    </w:p>
    <w:p>
      <w:pPr>
        <w:pStyle w:val="ListBullet"/>
        <w:spacing w:after="40"/>
      </w:pPr>
      <w:r>
        <w:t>Disputed</w:t>
      </w:r>
    </w:p>
    <w:p>
      <w:pPr>
        <w:pStyle w:val="ListBullet"/>
        <w:spacing w:after="40"/>
      </w:pPr>
      <w:r>
        <w:t>Unknown</w:t>
      </w:r>
    </w:p>
    <w:p>
      <w:pPr>
        <w:pStyle w:val="ListBullet"/>
        <w:spacing w:after="40"/>
      </w:pPr>
      <w:r>
        <w:t>With icon hidden (a11y name preserved)</w:t>
      </w:r>
    </w:p>
    <w:p>
      <w:pPr>
        <w:pStyle w:val="ListBullet"/>
        <w:spacing w:after="40"/>
      </w:pPr>
      <w:r>
        <w:t>Grayscale</w:t>
      </w:r>
    </w:p>
    <w:p>
      <w:pPr>
        <w:pStyle w:val="Heading2"/>
      </w:pPr>
      <w:r>
        <w:t>FlowClassBadge / GraphEdge</w:t>
      </w:r>
    </w:p>
    <w:p>
      <w:pPr>
        <w:pStyle w:val="ListBullet"/>
        <w:spacing w:after="40"/>
      </w:pPr>
      <w:r>
        <w:t>DIRECT</w:t>
      </w:r>
    </w:p>
    <w:p>
      <w:pPr>
        <w:pStyle w:val="ListBullet"/>
        <w:spacing w:after="40"/>
      </w:pPr>
      <w:r>
        <w:t>DOCUMENTED</w:t>
      </w:r>
    </w:p>
    <w:p>
      <w:pPr>
        <w:pStyle w:val="ListBullet"/>
        <w:spacing w:after="40"/>
      </w:pPr>
      <w:r>
        <w:t>RECONSTRUCTED</w:t>
      </w:r>
    </w:p>
    <w:p>
      <w:pPr>
        <w:pStyle w:val="ListBullet"/>
        <w:spacing w:after="40"/>
      </w:pPr>
      <w:r>
        <w:t>HYPOTHETICAL</w:t>
      </w:r>
    </w:p>
    <w:p>
      <w:pPr>
        <w:pStyle w:val="ListBullet"/>
        <w:spacing w:after="40"/>
      </w:pPr>
      <w:r>
        <w:t>Mixed flow legend</w:t>
      </w:r>
    </w:p>
    <w:p>
      <w:pPr>
        <w:pStyle w:val="ListBullet"/>
        <w:spacing w:after="40"/>
      </w:pPr>
      <w:r>
        <w:t>Grayscale/print</w:t>
      </w:r>
    </w:p>
    <w:p>
      <w:pPr>
        <w:pStyle w:val="ListBullet"/>
        <w:spacing w:after="40"/>
      </w:pPr>
      <w:r>
        <w:t>Unknown amount</w:t>
      </w:r>
    </w:p>
    <w:p>
      <w:pPr>
        <w:pStyle w:val="ListBullet"/>
        <w:spacing w:after="40"/>
      </w:pPr>
      <w:r>
        <w:t>Range amount</w:t>
      </w:r>
    </w:p>
    <w:p>
      <w:pPr>
        <w:pStyle w:val="Heading2"/>
      </w:pPr>
      <w:r>
        <w:t>EvidenceCitation</w:t>
      </w:r>
    </w:p>
    <w:p>
      <w:pPr>
        <w:pStyle w:val="ListBullet"/>
        <w:spacing w:after="40"/>
      </w:pPr>
      <w:r>
        <w:t>Page citation</w:t>
      </w:r>
    </w:p>
    <w:p>
      <w:pPr>
        <w:pStyle w:val="ListBullet"/>
        <w:spacing w:after="40"/>
      </w:pPr>
      <w:r>
        <w:t>Paragraph citation</w:t>
      </w:r>
    </w:p>
    <w:p>
      <w:pPr>
        <w:pStyle w:val="ListBullet"/>
        <w:spacing w:after="40"/>
      </w:pPr>
      <w:r>
        <w:t>Region citation</w:t>
      </w:r>
    </w:p>
    <w:p>
      <w:pPr>
        <w:pStyle w:val="ListBullet"/>
        <w:spacing w:after="40"/>
      </w:pPr>
      <w:r>
        <w:t>Derivative citation</w:t>
      </w:r>
    </w:p>
    <w:p>
      <w:pPr>
        <w:pStyle w:val="ListBullet"/>
        <w:spacing w:after="40"/>
      </w:pPr>
      <w:r>
        <w:t>Restricted evidence</w:t>
      </w:r>
    </w:p>
    <w:p>
      <w:pPr>
        <w:pStyle w:val="ListBullet"/>
        <w:spacing w:after="40"/>
      </w:pPr>
      <w:r>
        <w:t>Missing parent warning</w:t>
      </w:r>
    </w:p>
    <w:p>
      <w:pPr>
        <w:pStyle w:val="ListBullet"/>
        <w:spacing w:after="40"/>
      </w:pPr>
      <w:r>
        <w:t>Very long title</w:t>
      </w:r>
    </w:p>
    <w:p>
      <w:pPr>
        <w:pStyle w:val="Heading2"/>
      </w:pPr>
      <w:r>
        <w:t>EntitySummaryCard</w:t>
      </w:r>
    </w:p>
    <w:p>
      <w:pPr>
        <w:pStyle w:val="ListBullet"/>
        <w:spacing w:after="40"/>
      </w:pPr>
      <w:r>
        <w:t>Person</w:t>
      </w:r>
    </w:p>
    <w:p>
      <w:pPr>
        <w:pStyle w:val="ListBullet"/>
        <w:spacing w:after="40"/>
      </w:pPr>
      <w:r>
        <w:t>Company</w:t>
      </w:r>
    </w:p>
    <w:p>
      <w:pPr>
        <w:pStyle w:val="ListBullet"/>
        <w:spacing w:after="40"/>
      </w:pPr>
      <w:r>
        <w:t>Organization</w:t>
      </w:r>
    </w:p>
    <w:p>
      <w:pPr>
        <w:pStyle w:val="ListBullet"/>
        <w:spacing w:after="40"/>
      </w:pPr>
      <w:r>
        <w:t>Wallet</w:t>
      </w:r>
    </w:p>
    <w:p>
      <w:pPr>
        <w:pStyle w:val="ListBullet"/>
        <w:spacing w:after="40"/>
      </w:pPr>
      <w:r>
        <w:t>Disputed identity</w:t>
      </w:r>
    </w:p>
    <w:p>
      <w:pPr>
        <w:pStyle w:val="ListBullet"/>
        <w:spacing w:after="40"/>
      </w:pPr>
      <w:r>
        <w:t>Unresolved identity</w:t>
      </w:r>
    </w:p>
    <w:p>
      <w:pPr>
        <w:pStyle w:val="ListBullet"/>
        <w:spacing w:after="40"/>
      </w:pPr>
      <w:r>
        <w:t>Long aliases</w:t>
      </w:r>
    </w:p>
    <w:p>
      <w:pPr>
        <w:pStyle w:val="ListBullet"/>
        <w:spacing w:after="40"/>
      </w:pPr>
      <w:r>
        <w:t>Restricted identifiers</w:t>
      </w:r>
    </w:p>
    <w:p>
      <w:pPr>
        <w:pStyle w:val="Heading2"/>
      </w:pPr>
      <w:r>
        <w:t>EvidenceBalanceMatrix</w:t>
      </w:r>
    </w:p>
    <w:p>
      <w:pPr>
        <w:pStyle w:val="ListBullet"/>
        <w:spacing w:after="40"/>
      </w:pPr>
      <w:r>
        <w:t>Balanced</w:t>
      </w:r>
    </w:p>
    <w:p>
      <w:pPr>
        <w:pStyle w:val="ListBullet"/>
        <w:spacing w:after="40"/>
      </w:pPr>
      <w:r>
        <w:t>Support-heavy</w:t>
      </w:r>
    </w:p>
    <w:p>
      <w:pPr>
        <w:pStyle w:val="ListBullet"/>
        <w:spacing w:after="40"/>
      </w:pPr>
      <w:r>
        <w:t>Contradiction-heavy</w:t>
      </w:r>
    </w:p>
    <w:p>
      <w:pPr>
        <w:pStyle w:val="ListBullet"/>
        <w:spacing w:after="40"/>
      </w:pPr>
      <w:r>
        <w:t>Unknown-heavy</w:t>
      </w:r>
    </w:p>
    <w:p>
      <w:pPr>
        <w:pStyle w:val="ListBullet"/>
        <w:spacing w:after="40"/>
      </w:pPr>
      <w:r>
        <w:t>No evidence</w:t>
      </w:r>
    </w:p>
    <w:p>
      <w:pPr>
        <w:pStyle w:val="ListBullet"/>
        <w:spacing w:after="40"/>
      </w:pPr>
      <w:r>
        <w:t>Keyboard navigation</w:t>
      </w:r>
    </w:p>
    <w:p>
      <w:pPr>
        <w:pStyle w:val="Heading2"/>
      </w:pPr>
      <w:r>
        <w:t>ReviewDecisionPanel</w:t>
      </w:r>
    </w:p>
    <w:p>
      <w:pPr>
        <w:pStyle w:val="ListBullet"/>
        <w:spacing w:after="40"/>
      </w:pPr>
      <w:r>
        <w:t>Pending</w:t>
      </w:r>
    </w:p>
    <w:p>
      <w:pPr>
        <w:pStyle w:val="ListBullet"/>
        <w:spacing w:after="40"/>
      </w:pPr>
      <w:r>
        <w:t>Changes requested</w:t>
      </w:r>
    </w:p>
    <w:p>
      <w:pPr>
        <w:pStyle w:val="ListBullet"/>
        <w:spacing w:after="40"/>
      </w:pPr>
      <w:r>
        <w:t>Approved</w:t>
      </w:r>
    </w:p>
    <w:p>
      <w:pPr>
        <w:pStyle w:val="ListBullet"/>
        <w:spacing w:after="40"/>
      </w:pPr>
      <w:r>
        <w:t>Rejected</w:t>
      </w:r>
    </w:p>
    <w:p>
      <w:pPr>
        <w:pStyle w:val="ListBullet"/>
        <w:spacing w:after="40"/>
      </w:pPr>
      <w:r>
        <w:t>Self-approval blocked</w:t>
      </w:r>
    </w:p>
    <w:p>
      <w:pPr>
        <w:pStyle w:val="ListBullet"/>
        <w:spacing w:after="40"/>
      </w:pPr>
      <w:r>
        <w:t>Saving</w:t>
      </w:r>
    </w:p>
    <w:p>
      <w:pPr>
        <w:pStyle w:val="ListBullet"/>
        <w:spacing w:after="40"/>
      </w:pPr>
      <w:r>
        <w:t>Permission denied</w:t>
      </w:r>
    </w:p>
    <w:p>
      <w:pPr>
        <w:pStyle w:val="Heading1"/>
      </w:pPr>
      <w:r>
        <w:t>11. Testing Strategy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00"/>
            <w:shd w:fill="DCE8F3"/>
            <w:tcMar>
              <w:top w:w="100" w:type="dxa"/>
              <w:start w:w="110" w:type="dxa"/>
              <w:bottom w:w="100" w:type="dxa"/>
              <w:end w:w="110" w:type="dxa"/>
            </w:tcMar>
            <w:vAlign w:val="center"/>
          </w:tcPr>
          <w:p>
            <w:pPr>
              <w:jc w:val="center"/>
            </w:pPr>
            <w:r>
              <w:rPr>
                <w:b/>
                <w:color w:val="1C4160"/>
                <w:sz w:val="18"/>
              </w:rPr>
              <w:t>Test layer</w:t>
            </w:r>
          </w:p>
        </w:tc>
        <w:tc>
          <w:tcPr>
            <w:tcW w:type="dxa" w:w="3528"/>
            <w:shd w:fill="DCE8F3"/>
            <w:tcMar>
              <w:top w:w="100" w:type="dxa"/>
              <w:start w:w="110" w:type="dxa"/>
              <w:bottom w:w="100" w:type="dxa"/>
              <w:end w:w="110" w:type="dxa"/>
            </w:tcMar>
            <w:vAlign w:val="center"/>
          </w:tcPr>
          <w:p>
            <w:pPr>
              <w:jc w:val="center"/>
            </w:pPr>
            <w:r>
              <w:rPr>
                <w:b/>
                <w:color w:val="1C4160"/>
                <w:sz w:val="18"/>
              </w:rPr>
              <w:t>Tooling expectation</w:t>
            </w:r>
          </w:p>
        </w:tc>
        <w:tc>
          <w:tcPr>
            <w:tcW w:type="dxa" w:w="5760"/>
            <w:shd w:fill="DCE8F3"/>
            <w:tcMar>
              <w:top w:w="100" w:type="dxa"/>
              <w:start w:w="110" w:type="dxa"/>
              <w:bottom w:w="100" w:type="dxa"/>
              <w:end w:w="110" w:type="dxa"/>
            </w:tcMar>
            <w:vAlign w:val="center"/>
          </w:tcPr>
          <w:p>
            <w:pPr>
              <w:jc w:val="center"/>
            </w:pPr>
            <w:r>
              <w:rPr>
                <w:b/>
                <w:color w:val="1C4160"/>
                <w:sz w:val="18"/>
              </w:rPr>
              <w:t>Scope</w:t>
            </w:r>
          </w:p>
        </w:tc>
      </w:tr>
      <w:tr>
        <w:trPr>
          <w:cantSplit/>
        </w:trPr>
        <w:tc>
          <w:tcPr>
            <w:tcW w:type="dxa" w:w="1800"/>
            <w:tcMar>
              <w:top w:w="100" w:type="dxa"/>
              <w:start w:w="110" w:type="dxa"/>
              <w:bottom w:w="100" w:type="dxa"/>
              <w:end w:w="110" w:type="dxa"/>
            </w:tcMar>
            <w:vAlign w:val="center"/>
          </w:tcPr>
          <w:p>
            <w:pPr>
              <w:spacing w:after="0"/>
            </w:pPr>
            <w:r>
              <w:rPr>
                <w:sz w:val="17"/>
              </w:rPr>
              <w:t>Type/static</w:t>
            </w:r>
          </w:p>
        </w:tc>
        <w:tc>
          <w:tcPr>
            <w:tcW w:type="dxa" w:w="3528"/>
            <w:tcMar>
              <w:top w:w="100" w:type="dxa"/>
              <w:start w:w="110" w:type="dxa"/>
              <w:bottom w:w="100" w:type="dxa"/>
              <w:end w:w="110" w:type="dxa"/>
            </w:tcMar>
            <w:vAlign w:val="center"/>
          </w:tcPr>
          <w:p>
            <w:pPr>
              <w:spacing w:after="0"/>
            </w:pPr>
            <w:r>
              <w:rPr>
                <w:sz w:val="17"/>
              </w:rPr>
              <w:t>TypeScript + lint</w:t>
            </w:r>
          </w:p>
        </w:tc>
        <w:tc>
          <w:tcPr>
            <w:tcW w:type="dxa" w:w="5760"/>
            <w:tcMar>
              <w:top w:w="100" w:type="dxa"/>
              <w:start w:w="110" w:type="dxa"/>
              <w:bottom w:w="100" w:type="dxa"/>
              <w:end w:w="110" w:type="dxa"/>
            </w:tcMar>
            <w:vAlign w:val="center"/>
          </w:tcPr>
          <w:p>
            <w:pPr>
              <w:spacing w:after="0"/>
            </w:pPr>
            <w:r>
              <w:rPr>
                <w:sz w:val="17"/>
              </w:rPr>
              <w:t>Public props, enum exhaustiveness, import boundaries.</w:t>
            </w:r>
          </w:p>
        </w:tc>
      </w:tr>
      <w:tr>
        <w:trPr>
          <w:cantSplit/>
        </w:trPr>
        <w:tc>
          <w:tcPr>
            <w:tcW w:type="dxa" w:w="1800"/>
            <w:tcMar>
              <w:top w:w="100" w:type="dxa"/>
              <w:start w:w="110" w:type="dxa"/>
              <w:bottom w:w="100" w:type="dxa"/>
              <w:end w:w="110" w:type="dxa"/>
            </w:tcMar>
            <w:vAlign w:val="center"/>
          </w:tcPr>
          <w:p>
            <w:pPr>
              <w:spacing w:after="0"/>
            </w:pPr>
            <w:r>
              <w:rPr>
                <w:sz w:val="17"/>
              </w:rPr>
              <w:t>Unit</w:t>
            </w:r>
          </w:p>
        </w:tc>
        <w:tc>
          <w:tcPr>
            <w:tcW w:type="dxa" w:w="3528"/>
            <w:tcMar>
              <w:top w:w="100" w:type="dxa"/>
              <w:start w:w="110" w:type="dxa"/>
              <w:bottom w:w="100" w:type="dxa"/>
              <w:end w:w="110" w:type="dxa"/>
            </w:tcMar>
            <w:vAlign w:val="center"/>
          </w:tcPr>
          <w:p>
            <w:pPr>
              <w:spacing w:after="0"/>
            </w:pPr>
            <w:r>
              <w:rPr>
                <w:sz w:val="17"/>
              </w:rPr>
              <w:t>Vitest/Jest equivalent</w:t>
            </w:r>
          </w:p>
        </w:tc>
        <w:tc>
          <w:tcPr>
            <w:tcW w:type="dxa" w:w="5760"/>
            <w:tcMar>
              <w:top w:w="100" w:type="dxa"/>
              <w:start w:w="110" w:type="dxa"/>
              <w:bottom w:w="100" w:type="dxa"/>
              <w:end w:w="110" w:type="dxa"/>
            </w:tcMar>
            <w:vAlign w:val="center"/>
          </w:tcPr>
          <w:p>
            <w:pPr>
              <w:spacing w:after="0"/>
            </w:pPr>
            <w:r>
              <w:rPr>
                <w:sz w:val="17"/>
              </w:rPr>
              <w:t>Pure rendering logic, formatting, variant mapping.</w:t>
            </w:r>
          </w:p>
        </w:tc>
      </w:tr>
      <w:tr>
        <w:trPr>
          <w:cantSplit/>
        </w:trPr>
        <w:tc>
          <w:tcPr>
            <w:tcW w:type="dxa" w:w="1800"/>
            <w:tcMar>
              <w:top w:w="100" w:type="dxa"/>
              <w:start w:w="110" w:type="dxa"/>
              <w:bottom w:w="100" w:type="dxa"/>
              <w:end w:w="110" w:type="dxa"/>
            </w:tcMar>
            <w:vAlign w:val="center"/>
          </w:tcPr>
          <w:p>
            <w:pPr>
              <w:spacing w:after="0"/>
            </w:pPr>
            <w:r>
              <w:rPr>
                <w:sz w:val="17"/>
              </w:rPr>
              <w:t>Interaction</w:t>
            </w:r>
          </w:p>
        </w:tc>
        <w:tc>
          <w:tcPr>
            <w:tcW w:type="dxa" w:w="3528"/>
            <w:tcMar>
              <w:top w:w="100" w:type="dxa"/>
              <w:start w:w="110" w:type="dxa"/>
              <w:bottom w:w="100" w:type="dxa"/>
              <w:end w:w="110" w:type="dxa"/>
            </w:tcMar>
            <w:vAlign w:val="center"/>
          </w:tcPr>
          <w:p>
            <w:pPr>
              <w:spacing w:after="0"/>
            </w:pPr>
            <w:r>
              <w:rPr>
                <w:sz w:val="17"/>
              </w:rPr>
              <w:t>Storybook test/play + Testing Library</w:t>
            </w:r>
          </w:p>
        </w:tc>
        <w:tc>
          <w:tcPr>
            <w:tcW w:type="dxa" w:w="5760"/>
            <w:tcMar>
              <w:top w:w="100" w:type="dxa"/>
              <w:start w:w="110" w:type="dxa"/>
              <w:bottom w:w="100" w:type="dxa"/>
              <w:end w:w="110" w:type="dxa"/>
            </w:tcMar>
            <w:vAlign w:val="center"/>
          </w:tcPr>
          <w:p>
            <w:pPr>
              <w:spacing w:after="0"/>
            </w:pPr>
            <w:r>
              <w:rPr>
                <w:sz w:val="17"/>
              </w:rPr>
              <w:t>Keyboard, click, validation, dialogs, menus, async states.</w:t>
            </w:r>
          </w:p>
        </w:tc>
      </w:tr>
      <w:tr>
        <w:trPr>
          <w:cantSplit/>
        </w:trPr>
        <w:tc>
          <w:tcPr>
            <w:tcW w:type="dxa" w:w="1800"/>
            <w:tcMar>
              <w:top w:w="100" w:type="dxa"/>
              <w:start w:w="110" w:type="dxa"/>
              <w:bottom w:w="100" w:type="dxa"/>
              <w:end w:w="110" w:type="dxa"/>
            </w:tcMar>
            <w:vAlign w:val="center"/>
          </w:tcPr>
          <w:p>
            <w:pPr>
              <w:spacing w:after="0"/>
            </w:pPr>
            <w:r>
              <w:rPr>
                <w:sz w:val="17"/>
              </w:rPr>
              <w:t>Accessibility</w:t>
            </w:r>
          </w:p>
        </w:tc>
        <w:tc>
          <w:tcPr>
            <w:tcW w:type="dxa" w:w="3528"/>
            <w:tcMar>
              <w:top w:w="100" w:type="dxa"/>
              <w:start w:w="110" w:type="dxa"/>
              <w:bottom w:w="100" w:type="dxa"/>
              <w:end w:w="110" w:type="dxa"/>
            </w:tcMar>
            <w:vAlign w:val="center"/>
          </w:tcPr>
          <w:p>
            <w:pPr>
              <w:spacing w:after="0"/>
            </w:pPr>
            <w:r>
              <w:rPr>
                <w:sz w:val="17"/>
              </w:rPr>
              <w:t>axe integration + manual keyboard/screen-reader checks</w:t>
            </w:r>
          </w:p>
        </w:tc>
        <w:tc>
          <w:tcPr>
            <w:tcW w:type="dxa" w:w="5760"/>
            <w:tcMar>
              <w:top w:w="100" w:type="dxa"/>
              <w:start w:w="110" w:type="dxa"/>
              <w:bottom w:w="100" w:type="dxa"/>
              <w:end w:w="110" w:type="dxa"/>
            </w:tcMar>
            <w:vAlign w:val="center"/>
          </w:tcPr>
          <w:p>
            <w:pPr>
              <w:spacing w:after="0"/>
            </w:pPr>
            <w:r>
              <w:rPr>
                <w:sz w:val="17"/>
              </w:rPr>
              <w:t>P0 shared components and critical compound patterns.</w:t>
            </w:r>
          </w:p>
        </w:tc>
      </w:tr>
      <w:tr>
        <w:trPr>
          <w:cantSplit/>
        </w:trPr>
        <w:tc>
          <w:tcPr>
            <w:tcW w:type="dxa" w:w="1800"/>
            <w:tcMar>
              <w:top w:w="100" w:type="dxa"/>
              <w:start w:w="110" w:type="dxa"/>
              <w:bottom w:w="100" w:type="dxa"/>
              <w:end w:w="110" w:type="dxa"/>
            </w:tcMar>
            <w:vAlign w:val="center"/>
          </w:tcPr>
          <w:p>
            <w:pPr>
              <w:spacing w:after="0"/>
            </w:pPr>
            <w:r>
              <w:rPr>
                <w:sz w:val="17"/>
              </w:rPr>
              <w:t>Visual regression</w:t>
            </w:r>
          </w:p>
        </w:tc>
        <w:tc>
          <w:tcPr>
            <w:tcW w:type="dxa" w:w="3528"/>
            <w:tcMar>
              <w:top w:w="100" w:type="dxa"/>
              <w:start w:w="110" w:type="dxa"/>
              <w:bottom w:w="100" w:type="dxa"/>
              <w:end w:w="110" w:type="dxa"/>
            </w:tcMar>
            <w:vAlign w:val="center"/>
          </w:tcPr>
          <w:p>
            <w:pPr>
              <w:spacing w:after="0"/>
            </w:pPr>
            <w:r>
              <w:rPr>
                <w:sz w:val="17"/>
              </w:rPr>
              <w:t>Chromatic/Percy/self-hosted equivalent</w:t>
            </w:r>
          </w:p>
        </w:tc>
        <w:tc>
          <w:tcPr>
            <w:tcW w:type="dxa" w:w="5760"/>
            <w:tcMar>
              <w:top w:w="100" w:type="dxa"/>
              <w:start w:w="110" w:type="dxa"/>
              <w:bottom w:w="100" w:type="dxa"/>
              <w:end w:w="110" w:type="dxa"/>
            </w:tcMar>
            <w:vAlign w:val="center"/>
          </w:tcPr>
          <w:p>
            <w:pPr>
              <w:spacing w:after="0"/>
            </w:pPr>
            <w:r>
              <w:rPr>
                <w:sz w:val="17"/>
              </w:rPr>
              <w:t>Stable stories at reference viewports, especially analytical semantics.</w:t>
            </w:r>
          </w:p>
        </w:tc>
      </w:tr>
      <w:tr>
        <w:trPr>
          <w:cantSplit/>
        </w:trPr>
        <w:tc>
          <w:tcPr>
            <w:tcW w:type="dxa" w:w="1800"/>
            <w:tcMar>
              <w:top w:w="100" w:type="dxa"/>
              <w:start w:w="110" w:type="dxa"/>
              <w:bottom w:w="100" w:type="dxa"/>
              <w:end w:w="110" w:type="dxa"/>
            </w:tcMar>
            <w:vAlign w:val="center"/>
          </w:tcPr>
          <w:p>
            <w:pPr>
              <w:spacing w:after="0"/>
            </w:pPr>
            <w:r>
              <w:rPr>
                <w:sz w:val="17"/>
              </w:rPr>
              <w:t>Integration</w:t>
            </w:r>
          </w:p>
        </w:tc>
        <w:tc>
          <w:tcPr>
            <w:tcW w:type="dxa" w:w="3528"/>
            <w:tcMar>
              <w:top w:w="100" w:type="dxa"/>
              <w:start w:w="110" w:type="dxa"/>
              <w:bottom w:w="100" w:type="dxa"/>
              <w:end w:w="110" w:type="dxa"/>
            </w:tcMar>
            <w:vAlign w:val="center"/>
          </w:tcPr>
          <w:p>
            <w:pPr>
              <w:spacing w:after="0"/>
            </w:pPr>
            <w:r>
              <w:rPr>
                <w:sz w:val="17"/>
              </w:rPr>
              <w:t>Application test suite</w:t>
            </w:r>
          </w:p>
        </w:tc>
        <w:tc>
          <w:tcPr>
            <w:tcW w:type="dxa" w:w="5760"/>
            <w:tcMar>
              <w:top w:w="100" w:type="dxa"/>
              <w:start w:w="110" w:type="dxa"/>
              <w:bottom w:w="100" w:type="dxa"/>
              <w:end w:w="110" w:type="dxa"/>
            </w:tcMar>
            <w:vAlign w:val="center"/>
          </w:tcPr>
          <w:p>
            <w:pPr>
              <w:spacing w:after="0"/>
            </w:pPr>
            <w:r>
              <w:rPr>
                <w:sz w:val="17"/>
              </w:rPr>
              <w:t>Data binding, permissions, routing, server-side authorization.</w:t>
            </w:r>
          </w:p>
        </w:tc>
      </w:tr>
      <w:tr>
        <w:trPr>
          <w:cantSplit/>
        </w:trPr>
        <w:tc>
          <w:tcPr>
            <w:tcW w:type="dxa" w:w="1800"/>
            <w:tcMar>
              <w:top w:w="100" w:type="dxa"/>
              <w:start w:w="110" w:type="dxa"/>
              <w:bottom w:w="100" w:type="dxa"/>
              <w:end w:w="110" w:type="dxa"/>
            </w:tcMar>
            <w:vAlign w:val="center"/>
          </w:tcPr>
          <w:p>
            <w:pPr>
              <w:spacing w:after="0"/>
            </w:pPr>
            <w:r>
              <w:rPr>
                <w:sz w:val="17"/>
              </w:rPr>
              <w:t>E2E</w:t>
            </w:r>
          </w:p>
        </w:tc>
        <w:tc>
          <w:tcPr>
            <w:tcW w:type="dxa" w:w="3528"/>
            <w:tcMar>
              <w:top w:w="100" w:type="dxa"/>
              <w:start w:w="110" w:type="dxa"/>
              <w:bottom w:w="100" w:type="dxa"/>
              <w:end w:w="110" w:type="dxa"/>
            </w:tcMar>
            <w:vAlign w:val="center"/>
          </w:tcPr>
          <w:p>
            <w:pPr>
              <w:spacing w:after="0"/>
            </w:pPr>
            <w:r>
              <w:rPr>
                <w:sz w:val="17"/>
              </w:rPr>
              <w:t>Playwright/equivalent</w:t>
            </w:r>
          </w:p>
        </w:tc>
        <w:tc>
          <w:tcPr>
            <w:tcW w:type="dxa" w:w="5760"/>
            <w:tcMar>
              <w:top w:w="100" w:type="dxa"/>
              <w:start w:w="110" w:type="dxa"/>
              <w:bottom w:w="100" w:type="dxa"/>
              <w:end w:w="110" w:type="dxa"/>
            </w:tcMar>
            <w:vAlign w:val="center"/>
          </w:tcPr>
          <w:p>
            <w:pPr>
              <w:spacing w:after="0"/>
            </w:pPr>
            <w:r>
              <w:rPr>
                <w:sz w:val="17"/>
              </w:rPr>
              <w:t>Critical user journeys across composed screens.</w:t>
            </w:r>
          </w:p>
        </w:tc>
      </w:tr>
    </w:tbl>
    <w:p>
      <w:pPr>
        <w:spacing w:after="20"/>
      </w:pPr>
    </w:p>
    <w:p>
      <w:pPr>
        <w:spacing w:after="80"/>
      </w:pPr>
      <w:r>
        <w:rPr>
          <w:b/>
          <w:color w:val="285C8E"/>
        </w:rPr>
        <w:t xml:space="preserve">CISB-040 — </w:t>
      </w:r>
      <w:r>
        <w:t>Visual regression approval SHALL require semantic review when a change affects analytical-state, confidence, provenance, classification, or value-flow presentation.</w:t>
      </w:r>
    </w:p>
    <w:p>
      <w:pPr>
        <w:spacing w:after="80"/>
      </w:pPr>
      <w:r>
        <w:rPr>
          <w:b/>
          <w:color w:val="285C8E"/>
        </w:rPr>
        <w:t xml:space="preserve">CISB-041 — </w:t>
      </w:r>
      <w:r>
        <w:t>A pixel-diff approval SHALL NOT override a normative semantic violation.</w:t>
      </w:r>
    </w:p>
    <w:p>
      <w:pPr>
        <w:pStyle w:val="Heading1"/>
      </w:pPr>
      <w:r>
        <w:t>12. Storybook Viewport Baseline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2304"/>
            <w:shd w:fill="DCE8F3"/>
            <w:tcMar>
              <w:top w:w="100" w:type="dxa"/>
              <w:start w:w="110" w:type="dxa"/>
              <w:bottom w:w="100" w:type="dxa"/>
              <w:end w:w="110" w:type="dxa"/>
            </w:tcMar>
            <w:vAlign w:val="center"/>
          </w:tcPr>
          <w:p>
            <w:pPr>
              <w:jc w:val="center"/>
            </w:pPr>
            <w:r>
              <w:rPr>
                <w:b/>
                <w:color w:val="1C4160"/>
                <w:sz w:val="18"/>
              </w:rPr>
              <w:t>Viewport</w:t>
            </w:r>
          </w:p>
        </w:tc>
        <w:tc>
          <w:tcPr>
            <w:tcW w:type="dxa" w:w="2160"/>
            <w:shd w:fill="DCE8F3"/>
            <w:tcMar>
              <w:top w:w="100" w:type="dxa"/>
              <w:start w:w="110" w:type="dxa"/>
              <w:bottom w:w="100" w:type="dxa"/>
              <w:end w:w="110" w:type="dxa"/>
            </w:tcMar>
            <w:vAlign w:val="center"/>
          </w:tcPr>
          <w:p>
            <w:pPr>
              <w:jc w:val="center"/>
            </w:pPr>
            <w:r>
              <w:rPr>
                <w:b/>
                <w:color w:val="1C4160"/>
                <w:sz w:val="18"/>
              </w:rPr>
              <w:t>Reference</w:t>
            </w:r>
          </w:p>
        </w:tc>
        <w:tc>
          <w:tcPr>
            <w:tcW w:type="dxa" w:w="6623"/>
            <w:shd w:fill="DCE8F3"/>
            <w:tcMar>
              <w:top w:w="100" w:type="dxa"/>
              <w:start w:w="110" w:type="dxa"/>
              <w:bottom w:w="100" w:type="dxa"/>
              <w:end w:w="110" w:type="dxa"/>
            </w:tcMar>
            <w:vAlign w:val="center"/>
          </w:tcPr>
          <w:p>
            <w:pPr>
              <w:jc w:val="center"/>
            </w:pPr>
            <w:r>
              <w:rPr>
                <w:b/>
                <w:color w:val="1C4160"/>
                <w:sz w:val="18"/>
              </w:rPr>
              <w:t>Use</w:t>
            </w:r>
          </w:p>
        </w:tc>
      </w:tr>
      <w:tr>
        <w:trPr>
          <w:cantSplit/>
        </w:trPr>
        <w:tc>
          <w:tcPr>
            <w:tcW w:type="dxa" w:w="2304"/>
            <w:tcMar>
              <w:top w:w="100" w:type="dxa"/>
              <w:start w:w="110" w:type="dxa"/>
              <w:bottom w:w="100" w:type="dxa"/>
              <w:end w:w="110" w:type="dxa"/>
            </w:tcMar>
            <w:vAlign w:val="center"/>
          </w:tcPr>
          <w:p>
            <w:pPr>
              <w:spacing w:after="0"/>
            </w:pPr>
            <w:r>
              <w:rPr>
                <w:sz w:val="17"/>
              </w:rPr>
              <w:t>Desktop review</w:t>
            </w:r>
          </w:p>
        </w:tc>
        <w:tc>
          <w:tcPr>
            <w:tcW w:type="dxa" w:w="2160"/>
            <w:tcMar>
              <w:top w:w="100" w:type="dxa"/>
              <w:start w:w="110" w:type="dxa"/>
              <w:bottom w:w="100" w:type="dxa"/>
              <w:end w:w="110" w:type="dxa"/>
            </w:tcMar>
            <w:vAlign w:val="center"/>
          </w:tcPr>
          <w:p>
            <w:pPr>
              <w:spacing w:after="0"/>
            </w:pPr>
            <w:r>
              <w:rPr>
                <w:sz w:val="17"/>
              </w:rPr>
              <w:t>1440 × 900</w:t>
            </w:r>
          </w:p>
        </w:tc>
        <w:tc>
          <w:tcPr>
            <w:tcW w:type="dxa" w:w="6623"/>
            <w:tcMar>
              <w:top w:w="100" w:type="dxa"/>
              <w:start w:w="110" w:type="dxa"/>
              <w:bottom w:w="100" w:type="dxa"/>
              <w:end w:w="110" w:type="dxa"/>
            </w:tcMar>
            <w:vAlign w:val="center"/>
          </w:tcPr>
          <w:p>
            <w:pPr>
              <w:spacing w:after="0"/>
            </w:pPr>
            <w:r>
              <w:rPr>
                <w:sz w:val="17"/>
              </w:rPr>
              <w:t>Primary high-fidelity composition and data-density review.</w:t>
            </w:r>
          </w:p>
        </w:tc>
      </w:tr>
      <w:tr>
        <w:trPr>
          <w:cantSplit/>
        </w:trPr>
        <w:tc>
          <w:tcPr>
            <w:tcW w:type="dxa" w:w="2304"/>
            <w:tcMar>
              <w:top w:w="100" w:type="dxa"/>
              <w:start w:w="110" w:type="dxa"/>
              <w:bottom w:w="100" w:type="dxa"/>
              <w:end w:w="110" w:type="dxa"/>
            </w:tcMar>
            <w:vAlign w:val="center"/>
          </w:tcPr>
          <w:p>
            <w:pPr>
              <w:spacing w:after="0"/>
            </w:pPr>
            <w:r>
              <w:rPr>
                <w:sz w:val="17"/>
              </w:rPr>
              <w:t>Laptop</w:t>
            </w:r>
          </w:p>
        </w:tc>
        <w:tc>
          <w:tcPr>
            <w:tcW w:type="dxa" w:w="2160"/>
            <w:tcMar>
              <w:top w:w="100" w:type="dxa"/>
              <w:start w:w="110" w:type="dxa"/>
              <w:bottom w:w="100" w:type="dxa"/>
              <w:end w:w="110" w:type="dxa"/>
            </w:tcMar>
            <w:vAlign w:val="center"/>
          </w:tcPr>
          <w:p>
            <w:pPr>
              <w:spacing w:after="0"/>
            </w:pPr>
            <w:r>
              <w:rPr>
                <w:sz w:val="17"/>
              </w:rPr>
              <w:t>1280 × 800</w:t>
            </w:r>
          </w:p>
        </w:tc>
        <w:tc>
          <w:tcPr>
            <w:tcW w:type="dxa" w:w="6623"/>
            <w:tcMar>
              <w:top w:w="100" w:type="dxa"/>
              <w:start w:w="110" w:type="dxa"/>
              <w:bottom w:w="100" w:type="dxa"/>
              <w:end w:w="110" w:type="dxa"/>
            </w:tcMar>
            <w:vAlign w:val="center"/>
          </w:tcPr>
          <w:p>
            <w:pPr>
              <w:spacing w:after="0"/>
            </w:pPr>
            <w:r>
              <w:rPr>
                <w:sz w:val="17"/>
              </w:rPr>
              <w:t>Constrained desktop and common field laptop.</w:t>
            </w:r>
          </w:p>
        </w:tc>
      </w:tr>
      <w:tr>
        <w:trPr>
          <w:cantSplit/>
        </w:trPr>
        <w:tc>
          <w:tcPr>
            <w:tcW w:type="dxa" w:w="2304"/>
            <w:tcMar>
              <w:top w:w="100" w:type="dxa"/>
              <w:start w:w="110" w:type="dxa"/>
              <w:bottom w:w="100" w:type="dxa"/>
              <w:end w:w="110" w:type="dxa"/>
            </w:tcMar>
            <w:vAlign w:val="center"/>
          </w:tcPr>
          <w:p>
            <w:pPr>
              <w:spacing w:after="0"/>
            </w:pPr>
            <w:r>
              <w:rPr>
                <w:sz w:val="17"/>
              </w:rPr>
              <w:t>Tablet landscape</w:t>
            </w:r>
          </w:p>
        </w:tc>
        <w:tc>
          <w:tcPr>
            <w:tcW w:type="dxa" w:w="2160"/>
            <w:tcMar>
              <w:top w:w="100" w:type="dxa"/>
              <w:start w:w="110" w:type="dxa"/>
              <w:bottom w:w="100" w:type="dxa"/>
              <w:end w:w="110" w:type="dxa"/>
            </w:tcMar>
            <w:vAlign w:val="center"/>
          </w:tcPr>
          <w:p>
            <w:pPr>
              <w:spacing w:after="0"/>
            </w:pPr>
            <w:r>
              <w:rPr>
                <w:sz w:val="17"/>
              </w:rPr>
              <w:t>1024 × 768</w:t>
            </w:r>
          </w:p>
        </w:tc>
        <w:tc>
          <w:tcPr>
            <w:tcW w:type="dxa" w:w="6623"/>
            <w:tcMar>
              <w:top w:w="100" w:type="dxa"/>
              <w:start w:w="110" w:type="dxa"/>
              <w:bottom w:w="100" w:type="dxa"/>
              <w:end w:w="110" w:type="dxa"/>
            </w:tcMar>
            <w:vAlign w:val="center"/>
          </w:tcPr>
          <w:p>
            <w:pPr>
              <w:spacing w:after="0"/>
            </w:pPr>
            <w:r>
              <w:rPr>
                <w:sz w:val="17"/>
              </w:rPr>
              <w:t>Collapsed secondary rails and adaptive analytical workspaces.</w:t>
            </w:r>
          </w:p>
        </w:tc>
      </w:tr>
      <w:tr>
        <w:trPr>
          <w:cantSplit/>
        </w:trPr>
        <w:tc>
          <w:tcPr>
            <w:tcW w:type="dxa" w:w="2304"/>
            <w:tcMar>
              <w:top w:w="100" w:type="dxa"/>
              <w:start w:w="110" w:type="dxa"/>
              <w:bottom w:w="100" w:type="dxa"/>
              <w:end w:w="110" w:type="dxa"/>
            </w:tcMar>
            <w:vAlign w:val="center"/>
          </w:tcPr>
          <w:p>
            <w:pPr>
              <w:spacing w:after="0"/>
            </w:pPr>
            <w:r>
              <w:rPr>
                <w:sz w:val="17"/>
              </w:rPr>
              <w:t>Narrow</w:t>
            </w:r>
          </w:p>
        </w:tc>
        <w:tc>
          <w:tcPr>
            <w:tcW w:type="dxa" w:w="2160"/>
            <w:tcMar>
              <w:top w:w="100" w:type="dxa"/>
              <w:start w:w="110" w:type="dxa"/>
              <w:bottom w:w="100" w:type="dxa"/>
              <w:end w:w="110" w:type="dxa"/>
            </w:tcMar>
            <w:vAlign w:val="center"/>
          </w:tcPr>
          <w:p>
            <w:pPr>
              <w:spacing w:after="0"/>
            </w:pPr>
            <w:r>
              <w:rPr>
                <w:sz w:val="17"/>
              </w:rPr>
              <w:t>768 px wide</w:t>
            </w:r>
          </w:p>
        </w:tc>
        <w:tc>
          <w:tcPr>
            <w:tcW w:type="dxa" w:w="6623"/>
            <w:tcMar>
              <w:top w:w="100" w:type="dxa"/>
              <w:start w:w="110" w:type="dxa"/>
              <w:bottom w:w="100" w:type="dxa"/>
              <w:end w:w="110" w:type="dxa"/>
            </w:tcMar>
            <w:vAlign w:val="center"/>
          </w:tcPr>
          <w:p>
            <w:pPr>
              <w:spacing w:after="0"/>
            </w:pPr>
            <w:r>
              <w:rPr>
                <w:sz w:val="17"/>
              </w:rPr>
              <w:t>Stacking behavior and essential task preservation.</w:t>
            </w:r>
          </w:p>
        </w:tc>
      </w:tr>
      <w:tr>
        <w:trPr>
          <w:cantSplit/>
        </w:trPr>
        <w:tc>
          <w:tcPr>
            <w:tcW w:type="dxa" w:w="2304"/>
            <w:tcMar>
              <w:top w:w="100" w:type="dxa"/>
              <w:start w:w="110" w:type="dxa"/>
              <w:bottom w:w="100" w:type="dxa"/>
              <w:end w:w="110" w:type="dxa"/>
            </w:tcMar>
            <w:vAlign w:val="center"/>
          </w:tcPr>
          <w:p>
            <w:pPr>
              <w:spacing w:after="0"/>
            </w:pPr>
            <w:r>
              <w:rPr>
                <w:sz w:val="17"/>
              </w:rPr>
              <w:t>Component intrinsic</w:t>
            </w:r>
          </w:p>
        </w:tc>
        <w:tc>
          <w:tcPr>
            <w:tcW w:type="dxa" w:w="2160"/>
            <w:tcMar>
              <w:top w:w="100" w:type="dxa"/>
              <w:start w:w="110" w:type="dxa"/>
              <w:bottom w:w="100" w:type="dxa"/>
              <w:end w:w="110" w:type="dxa"/>
            </w:tcMar>
            <w:vAlign w:val="center"/>
          </w:tcPr>
          <w:p>
            <w:pPr>
              <w:spacing w:after="0"/>
            </w:pPr>
            <w:r>
              <w:rPr>
                <w:sz w:val="17"/>
              </w:rPr>
              <w:t>Auto/min-content/max-content</w:t>
            </w:r>
          </w:p>
        </w:tc>
        <w:tc>
          <w:tcPr>
            <w:tcW w:type="dxa" w:w="6623"/>
            <w:tcMar>
              <w:top w:w="100" w:type="dxa"/>
              <w:start w:w="110" w:type="dxa"/>
              <w:bottom w:w="100" w:type="dxa"/>
              <w:end w:w="110" w:type="dxa"/>
            </w:tcMar>
            <w:vAlign w:val="center"/>
          </w:tcPr>
          <w:p>
            <w:pPr>
              <w:spacing w:after="0"/>
            </w:pPr>
            <w:r>
              <w:rPr>
                <w:sz w:val="17"/>
              </w:rPr>
              <w:t>Atomic component resilience to label/data length.</w:t>
            </w:r>
          </w:p>
        </w:tc>
      </w:tr>
    </w:tbl>
    <w:p>
      <w:pPr>
        <w:spacing w:after="20"/>
      </w:pPr>
    </w:p>
    <w:p>
      <w:pPr>
        <w:pStyle w:val="Heading1"/>
      </w:pPr>
      <w:r>
        <w:t>13. Story Documentation Requirements</w:t>
      </w:r>
    </w:p>
    <w:p>
      <w:pPr>
        <w:pStyle w:val="ListBullet"/>
        <w:spacing w:after="40"/>
      </w:pPr>
      <w:r>
        <w:t>Purpose and when to use / when not to use.</w:t>
      </w:r>
    </w:p>
    <w:p>
      <w:pPr>
        <w:pStyle w:val="ListBullet"/>
        <w:spacing w:after="40"/>
      </w:pPr>
      <w:r>
        <w:t>Public props and semantic variants.</w:t>
      </w:r>
    </w:p>
    <w:p>
      <w:pPr>
        <w:pStyle w:val="ListBullet"/>
        <w:spacing w:after="40"/>
      </w:pPr>
      <w:r>
        <w:t>Accessibility notes and keyboard behavior.</w:t>
      </w:r>
    </w:p>
    <w:p>
      <w:pPr>
        <w:pStyle w:val="ListBullet"/>
        <w:spacing w:after="40"/>
      </w:pPr>
      <w:r>
        <w:t>Content rules and prohibited uses.</w:t>
      </w:r>
    </w:p>
    <w:p>
      <w:pPr>
        <w:pStyle w:val="ListBullet"/>
        <w:spacing w:after="40"/>
      </w:pPr>
      <w:r>
        <w:t>Relevant normative references (UX/UI/IA/High-Fidelity/Screen IDs).</w:t>
      </w:r>
    </w:p>
    <w:p>
      <w:pPr>
        <w:pStyle w:val="ListBullet"/>
        <w:spacing w:after="40"/>
      </w:pPr>
      <w:r>
        <w:t>Known limitations.</w:t>
      </w:r>
    </w:p>
    <w:p>
      <w:pPr>
        <w:pStyle w:val="ListBullet"/>
        <w:spacing w:after="40"/>
      </w:pPr>
      <w:r>
        <w:t>Examples of correct and incorrect semantic usage for high-risk analytical components.</w:t>
      </w:r>
    </w:p>
    <w:p>
      <w:pPr>
        <w:pStyle w:val="Heading1"/>
      </w:pPr>
      <w:r>
        <w:t>14. Critical Screen-to-Component Traceability</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655"/>
            <w:shd w:fill="DCE8F3"/>
            <w:tcMar>
              <w:top w:w="100" w:type="dxa"/>
              <w:start w:w="110" w:type="dxa"/>
              <w:bottom w:w="100" w:type="dxa"/>
              <w:end w:w="110" w:type="dxa"/>
            </w:tcMar>
            <w:vAlign w:val="center"/>
          </w:tcPr>
          <w:p>
            <w:pPr>
              <w:jc w:val="center"/>
            </w:pPr>
            <w:r>
              <w:rPr>
                <w:b/>
                <w:color w:val="1C4160"/>
                <w:sz w:val="18"/>
              </w:rPr>
              <w:t>Screen ID</w:t>
            </w:r>
          </w:p>
        </w:tc>
        <w:tc>
          <w:tcPr>
            <w:tcW w:type="dxa" w:w="2520"/>
            <w:shd w:fill="DCE8F3"/>
            <w:tcMar>
              <w:top w:w="100" w:type="dxa"/>
              <w:start w:w="110" w:type="dxa"/>
              <w:bottom w:w="100" w:type="dxa"/>
              <w:end w:w="110" w:type="dxa"/>
            </w:tcMar>
            <w:vAlign w:val="center"/>
          </w:tcPr>
          <w:p>
            <w:pPr>
              <w:jc w:val="center"/>
            </w:pPr>
            <w:r>
              <w:rPr>
                <w:b/>
                <w:color w:val="1C4160"/>
                <w:sz w:val="18"/>
              </w:rPr>
              <w:t>Screen</w:t>
            </w:r>
          </w:p>
        </w:tc>
        <w:tc>
          <w:tcPr>
            <w:tcW w:type="dxa" w:w="6983"/>
            <w:shd w:fill="DCE8F3"/>
            <w:tcMar>
              <w:top w:w="100" w:type="dxa"/>
              <w:start w:w="110" w:type="dxa"/>
              <w:bottom w:w="100" w:type="dxa"/>
              <w:end w:w="110" w:type="dxa"/>
            </w:tcMar>
            <w:vAlign w:val="center"/>
          </w:tcPr>
          <w:p>
            <w:pPr>
              <w:jc w:val="center"/>
            </w:pPr>
            <w:r>
              <w:rPr>
                <w:b/>
                <w:color w:val="1C4160"/>
                <w:sz w:val="18"/>
              </w:rPr>
              <w:t>Mandatory shared component baseline</w:t>
            </w:r>
          </w:p>
        </w:tc>
      </w:tr>
      <w:tr>
        <w:trPr>
          <w:cantSplit/>
        </w:trPr>
        <w:tc>
          <w:tcPr>
            <w:tcW w:type="dxa" w:w="1655"/>
            <w:tcMar>
              <w:top w:w="100" w:type="dxa"/>
              <w:start w:w="110" w:type="dxa"/>
              <w:bottom w:w="100" w:type="dxa"/>
              <w:end w:w="110" w:type="dxa"/>
            </w:tcMar>
            <w:vAlign w:val="center"/>
          </w:tcPr>
          <w:p>
            <w:pPr>
              <w:spacing w:after="0"/>
            </w:pPr>
            <w:r>
              <w:rPr>
                <w:sz w:val="17"/>
              </w:rPr>
              <w:t>SCR-EVD-003</w:t>
            </w:r>
          </w:p>
        </w:tc>
        <w:tc>
          <w:tcPr>
            <w:tcW w:type="dxa" w:w="2520"/>
            <w:tcMar>
              <w:top w:w="100" w:type="dxa"/>
              <w:start w:w="110" w:type="dxa"/>
              <w:bottom w:w="100" w:type="dxa"/>
              <w:end w:w="110" w:type="dxa"/>
            </w:tcMar>
            <w:vAlign w:val="center"/>
          </w:tcPr>
          <w:p>
            <w:pPr>
              <w:spacing w:after="0"/>
            </w:pPr>
            <w:r>
              <w:rPr>
                <w:sz w:val="17"/>
              </w:rPr>
              <w:t>Evidence Reader</w:t>
            </w:r>
          </w:p>
        </w:tc>
        <w:tc>
          <w:tcPr>
            <w:tcW w:type="dxa" w:w="6983"/>
            <w:tcMar>
              <w:top w:w="100" w:type="dxa"/>
              <w:start w:w="110" w:type="dxa"/>
              <w:bottom w:w="100" w:type="dxa"/>
              <w:end w:w="110" w:type="dxa"/>
            </w:tcMar>
            <w:vAlign w:val="center"/>
          </w:tcPr>
          <w:p>
            <w:pPr>
              <w:spacing w:after="0"/>
            </w:pPr>
            <w:r>
              <w:rPr>
                <w:sz w:val="17"/>
              </w:rPr>
              <w:t>CMP-003, ANA-004, ANA-005, ANA-012, ANA-023</w:t>
            </w:r>
          </w:p>
        </w:tc>
      </w:tr>
      <w:tr>
        <w:trPr>
          <w:cantSplit/>
        </w:trPr>
        <w:tc>
          <w:tcPr>
            <w:tcW w:type="dxa" w:w="1655"/>
            <w:tcMar>
              <w:top w:w="100" w:type="dxa"/>
              <w:start w:w="110" w:type="dxa"/>
              <w:bottom w:w="100" w:type="dxa"/>
              <w:end w:w="110" w:type="dxa"/>
            </w:tcMar>
            <w:vAlign w:val="center"/>
          </w:tcPr>
          <w:p>
            <w:pPr>
              <w:spacing w:after="0"/>
            </w:pPr>
            <w:r>
              <w:rPr>
                <w:sz w:val="17"/>
              </w:rPr>
              <w:t>SCR-ENT-003</w:t>
            </w:r>
          </w:p>
        </w:tc>
        <w:tc>
          <w:tcPr>
            <w:tcW w:type="dxa" w:w="2520"/>
            <w:tcMar>
              <w:top w:w="100" w:type="dxa"/>
              <w:start w:w="110" w:type="dxa"/>
              <w:bottom w:w="100" w:type="dxa"/>
              <w:end w:w="110" w:type="dxa"/>
            </w:tcMar>
            <w:vAlign w:val="center"/>
          </w:tcPr>
          <w:p>
            <w:pPr>
              <w:spacing w:after="0"/>
            </w:pPr>
            <w:r>
              <w:rPr>
                <w:sz w:val="17"/>
              </w:rPr>
              <w:t>Entity Detail</w:t>
            </w:r>
          </w:p>
        </w:tc>
        <w:tc>
          <w:tcPr>
            <w:tcW w:type="dxa" w:w="6983"/>
            <w:tcMar>
              <w:top w:w="100" w:type="dxa"/>
              <w:start w:w="110" w:type="dxa"/>
              <w:bottom w:w="100" w:type="dxa"/>
              <w:end w:w="110" w:type="dxa"/>
            </w:tcMar>
            <w:vAlign w:val="center"/>
          </w:tcPr>
          <w:p>
            <w:pPr>
              <w:spacing w:after="0"/>
            </w:pPr>
            <w:r>
              <w:rPr>
                <w:sz w:val="17"/>
              </w:rPr>
              <w:t>CMP-003, CMP-002, ANA-008, ANA-009, ANA-010</w:t>
            </w:r>
          </w:p>
        </w:tc>
      </w:tr>
      <w:tr>
        <w:trPr>
          <w:cantSplit/>
        </w:trPr>
        <w:tc>
          <w:tcPr>
            <w:tcW w:type="dxa" w:w="1655"/>
            <w:tcMar>
              <w:top w:w="100" w:type="dxa"/>
              <w:start w:w="110" w:type="dxa"/>
              <w:bottom w:w="100" w:type="dxa"/>
              <w:end w:w="110" w:type="dxa"/>
            </w:tcMar>
            <w:vAlign w:val="center"/>
          </w:tcPr>
          <w:p>
            <w:pPr>
              <w:spacing w:after="0"/>
            </w:pPr>
            <w:r>
              <w:rPr>
                <w:sz w:val="17"/>
              </w:rPr>
              <w:t>SCR-ENT-005</w:t>
            </w:r>
          </w:p>
        </w:tc>
        <w:tc>
          <w:tcPr>
            <w:tcW w:type="dxa" w:w="2520"/>
            <w:tcMar>
              <w:top w:w="100" w:type="dxa"/>
              <w:start w:w="110" w:type="dxa"/>
              <w:bottom w:w="100" w:type="dxa"/>
              <w:end w:w="110" w:type="dxa"/>
            </w:tcMar>
            <w:vAlign w:val="center"/>
          </w:tcPr>
          <w:p>
            <w:pPr>
              <w:spacing w:after="0"/>
            </w:pPr>
            <w:r>
              <w:rPr>
                <w:sz w:val="17"/>
              </w:rPr>
              <w:t>Entity Match Compare</w:t>
            </w:r>
          </w:p>
        </w:tc>
        <w:tc>
          <w:tcPr>
            <w:tcW w:type="dxa" w:w="6983"/>
            <w:tcMar>
              <w:top w:w="100" w:type="dxa"/>
              <w:start w:w="110" w:type="dxa"/>
              <w:bottom w:w="100" w:type="dxa"/>
              <w:end w:w="110" w:type="dxa"/>
            </w:tcMar>
            <w:vAlign w:val="center"/>
          </w:tcPr>
          <w:p>
            <w:pPr>
              <w:spacing w:after="0"/>
            </w:pPr>
            <w:r>
              <w:rPr>
                <w:sz w:val="17"/>
              </w:rPr>
              <w:t>CMP-006, ANA-008, ANA-004, ANA-001</w:t>
            </w:r>
          </w:p>
        </w:tc>
      </w:tr>
      <w:tr>
        <w:trPr>
          <w:cantSplit/>
        </w:trPr>
        <w:tc>
          <w:tcPr>
            <w:tcW w:type="dxa" w:w="1655"/>
            <w:tcMar>
              <w:top w:w="100" w:type="dxa"/>
              <w:start w:w="110" w:type="dxa"/>
              <w:bottom w:w="100" w:type="dxa"/>
              <w:end w:w="110" w:type="dxa"/>
            </w:tcMar>
            <w:vAlign w:val="center"/>
          </w:tcPr>
          <w:p>
            <w:pPr>
              <w:spacing w:after="0"/>
            </w:pPr>
            <w:r>
              <w:rPr>
                <w:sz w:val="17"/>
              </w:rPr>
              <w:t>SCR-TIM-001</w:t>
            </w:r>
          </w:p>
        </w:tc>
        <w:tc>
          <w:tcPr>
            <w:tcW w:type="dxa" w:w="2520"/>
            <w:tcMar>
              <w:top w:w="100" w:type="dxa"/>
              <w:start w:w="110" w:type="dxa"/>
              <w:bottom w:w="100" w:type="dxa"/>
              <w:end w:w="110" w:type="dxa"/>
            </w:tcMar>
            <w:vAlign w:val="center"/>
          </w:tcPr>
          <w:p>
            <w:pPr>
              <w:spacing w:after="0"/>
            </w:pPr>
            <w:r>
              <w:rPr>
                <w:sz w:val="17"/>
              </w:rPr>
              <w:t>Timeline</w:t>
            </w:r>
          </w:p>
        </w:tc>
        <w:tc>
          <w:tcPr>
            <w:tcW w:type="dxa" w:w="6983"/>
            <w:tcMar>
              <w:top w:w="100" w:type="dxa"/>
              <w:start w:w="110" w:type="dxa"/>
              <w:bottom w:w="100" w:type="dxa"/>
              <w:end w:w="110" w:type="dxa"/>
            </w:tcMar>
            <w:vAlign w:val="center"/>
          </w:tcPr>
          <w:p>
            <w:pPr>
              <w:spacing w:after="0"/>
            </w:pPr>
            <w:r>
              <w:rPr>
                <w:sz w:val="17"/>
              </w:rPr>
              <w:t>CMP-005, ANA-016, ANA-011, ANA-012</w:t>
            </w:r>
          </w:p>
        </w:tc>
      </w:tr>
      <w:tr>
        <w:trPr>
          <w:cantSplit/>
        </w:trPr>
        <w:tc>
          <w:tcPr>
            <w:tcW w:type="dxa" w:w="1655"/>
            <w:tcMar>
              <w:top w:w="100" w:type="dxa"/>
              <w:start w:w="110" w:type="dxa"/>
              <w:bottom w:w="100" w:type="dxa"/>
              <w:end w:w="110" w:type="dxa"/>
            </w:tcMar>
            <w:vAlign w:val="center"/>
          </w:tcPr>
          <w:p>
            <w:pPr>
              <w:spacing w:after="0"/>
            </w:pPr>
            <w:r>
              <w:rPr>
                <w:sz w:val="17"/>
              </w:rPr>
              <w:t>SCR-VAL-001</w:t>
            </w:r>
          </w:p>
        </w:tc>
        <w:tc>
          <w:tcPr>
            <w:tcW w:type="dxa" w:w="2520"/>
            <w:tcMar>
              <w:top w:w="100" w:type="dxa"/>
              <w:start w:w="110" w:type="dxa"/>
              <w:bottom w:w="100" w:type="dxa"/>
              <w:end w:w="110" w:type="dxa"/>
            </w:tcMar>
            <w:vAlign w:val="center"/>
          </w:tcPr>
          <w:p>
            <w:pPr>
              <w:spacing w:after="0"/>
            </w:pPr>
            <w:r>
              <w:rPr>
                <w:sz w:val="17"/>
              </w:rPr>
              <w:t>Value Flow Workspace</w:t>
            </w:r>
          </w:p>
        </w:tc>
        <w:tc>
          <w:tcPr>
            <w:tcW w:type="dxa" w:w="6983"/>
            <w:tcMar>
              <w:top w:w="100" w:type="dxa"/>
              <w:start w:w="110" w:type="dxa"/>
              <w:bottom w:w="100" w:type="dxa"/>
              <w:end w:w="110" w:type="dxa"/>
            </w:tcMar>
            <w:vAlign w:val="center"/>
          </w:tcPr>
          <w:p>
            <w:pPr>
              <w:spacing w:after="0"/>
            </w:pPr>
            <w:r>
              <w:rPr>
                <w:sz w:val="17"/>
              </w:rPr>
              <w:t>CMP-005, ANA-003, ANA-014, ANA-015, GEN-012</w:t>
            </w:r>
          </w:p>
        </w:tc>
      </w:tr>
      <w:tr>
        <w:trPr>
          <w:cantSplit/>
        </w:trPr>
        <w:tc>
          <w:tcPr>
            <w:tcW w:type="dxa" w:w="1655"/>
            <w:tcMar>
              <w:top w:w="100" w:type="dxa"/>
              <w:start w:w="110" w:type="dxa"/>
              <w:bottom w:w="100" w:type="dxa"/>
              <w:end w:w="110" w:type="dxa"/>
            </w:tcMar>
            <w:vAlign w:val="center"/>
          </w:tcPr>
          <w:p>
            <w:pPr>
              <w:spacing w:after="0"/>
            </w:pPr>
            <w:r>
              <w:rPr>
                <w:sz w:val="17"/>
              </w:rPr>
              <w:t>SCR-TYP-002</w:t>
            </w:r>
          </w:p>
        </w:tc>
        <w:tc>
          <w:tcPr>
            <w:tcW w:type="dxa" w:w="2520"/>
            <w:tcMar>
              <w:top w:w="100" w:type="dxa"/>
              <w:start w:w="110" w:type="dxa"/>
              <w:bottom w:w="100" w:type="dxa"/>
              <w:end w:w="110" w:type="dxa"/>
            </w:tcMar>
            <w:vAlign w:val="center"/>
          </w:tcPr>
          <w:p>
            <w:pPr>
              <w:spacing w:after="0"/>
            </w:pPr>
            <w:r>
              <w:rPr>
                <w:sz w:val="17"/>
              </w:rPr>
              <w:t>Typology Match</w:t>
            </w:r>
          </w:p>
        </w:tc>
        <w:tc>
          <w:tcPr>
            <w:tcW w:type="dxa" w:w="6983"/>
            <w:tcMar>
              <w:top w:w="100" w:type="dxa"/>
              <w:start w:w="110" w:type="dxa"/>
              <w:bottom w:w="100" w:type="dxa"/>
              <w:end w:w="110" w:type="dxa"/>
            </w:tcMar>
            <w:vAlign w:val="center"/>
          </w:tcPr>
          <w:p>
            <w:pPr>
              <w:spacing w:after="0"/>
            </w:pPr>
            <w:r>
              <w:rPr>
                <w:sz w:val="17"/>
              </w:rPr>
              <w:t>CMP-005, ANA-020, ANA-004, ANA-019</w:t>
            </w:r>
          </w:p>
        </w:tc>
      </w:tr>
      <w:tr>
        <w:trPr>
          <w:cantSplit/>
        </w:trPr>
        <w:tc>
          <w:tcPr>
            <w:tcW w:type="dxa" w:w="1655"/>
            <w:tcMar>
              <w:top w:w="100" w:type="dxa"/>
              <w:start w:w="110" w:type="dxa"/>
              <w:bottom w:w="100" w:type="dxa"/>
              <w:end w:w="110" w:type="dxa"/>
            </w:tcMar>
            <w:vAlign w:val="center"/>
          </w:tcPr>
          <w:p>
            <w:pPr>
              <w:spacing w:after="0"/>
            </w:pPr>
            <w:r>
              <w:rPr>
                <w:sz w:val="17"/>
              </w:rPr>
              <w:t>SCR-HYP-001</w:t>
            </w:r>
          </w:p>
        </w:tc>
        <w:tc>
          <w:tcPr>
            <w:tcW w:type="dxa" w:w="2520"/>
            <w:tcMar>
              <w:top w:w="100" w:type="dxa"/>
              <w:start w:w="110" w:type="dxa"/>
              <w:bottom w:w="100" w:type="dxa"/>
              <w:end w:w="110" w:type="dxa"/>
            </w:tcMar>
            <w:vAlign w:val="center"/>
          </w:tcPr>
          <w:p>
            <w:pPr>
              <w:spacing w:after="0"/>
            </w:pPr>
            <w:r>
              <w:rPr>
                <w:sz w:val="17"/>
              </w:rPr>
              <w:t>Hypothesis Workspace</w:t>
            </w:r>
          </w:p>
        </w:tc>
        <w:tc>
          <w:tcPr>
            <w:tcW w:type="dxa" w:w="6983"/>
            <w:tcMar>
              <w:top w:w="100" w:type="dxa"/>
              <w:start w:w="110" w:type="dxa"/>
              <w:bottom w:w="100" w:type="dxa"/>
              <w:end w:w="110" w:type="dxa"/>
            </w:tcMar>
            <w:vAlign w:val="center"/>
          </w:tcPr>
          <w:p>
            <w:pPr>
              <w:spacing w:after="0"/>
            </w:pPr>
            <w:r>
              <w:rPr>
                <w:sz w:val="17"/>
              </w:rPr>
              <w:t>CMP-005, ANA-017, ANA-018, ANA-019</w:t>
            </w:r>
          </w:p>
        </w:tc>
      </w:tr>
      <w:tr>
        <w:trPr>
          <w:cantSplit/>
        </w:trPr>
        <w:tc>
          <w:tcPr>
            <w:tcW w:type="dxa" w:w="1655"/>
            <w:tcMar>
              <w:top w:w="100" w:type="dxa"/>
              <w:start w:w="110" w:type="dxa"/>
              <w:bottom w:w="100" w:type="dxa"/>
              <w:end w:w="110" w:type="dxa"/>
            </w:tcMar>
            <w:vAlign w:val="center"/>
          </w:tcPr>
          <w:p>
            <w:pPr>
              <w:spacing w:after="0"/>
            </w:pPr>
            <w:r>
              <w:rPr>
                <w:sz w:val="17"/>
              </w:rPr>
              <w:t>SCR-ASM-001</w:t>
            </w:r>
          </w:p>
        </w:tc>
        <w:tc>
          <w:tcPr>
            <w:tcW w:type="dxa" w:w="2520"/>
            <w:tcMar>
              <w:top w:w="100" w:type="dxa"/>
              <w:start w:w="110" w:type="dxa"/>
              <w:bottom w:w="100" w:type="dxa"/>
              <w:end w:w="110" w:type="dxa"/>
            </w:tcMar>
            <w:vAlign w:val="center"/>
          </w:tcPr>
          <w:p>
            <w:pPr>
              <w:spacing w:after="0"/>
            </w:pPr>
            <w:r>
              <w:rPr>
                <w:sz w:val="17"/>
              </w:rPr>
              <w:t>Assessment Draft</w:t>
            </w:r>
          </w:p>
        </w:tc>
        <w:tc>
          <w:tcPr>
            <w:tcW w:type="dxa" w:w="6983"/>
            <w:tcMar>
              <w:top w:w="100" w:type="dxa"/>
              <w:start w:w="110" w:type="dxa"/>
              <w:bottom w:w="100" w:type="dxa"/>
              <w:end w:w="110" w:type="dxa"/>
            </w:tcMar>
            <w:vAlign w:val="center"/>
          </w:tcPr>
          <w:p>
            <w:pPr>
              <w:spacing w:after="0"/>
            </w:pPr>
            <w:r>
              <w:rPr>
                <w:sz w:val="17"/>
              </w:rPr>
              <w:t>CMP-004, ANA-021, ANA-002, ANA-019</w:t>
            </w:r>
          </w:p>
        </w:tc>
      </w:tr>
      <w:tr>
        <w:trPr>
          <w:cantSplit/>
        </w:trPr>
        <w:tc>
          <w:tcPr>
            <w:tcW w:type="dxa" w:w="1655"/>
            <w:tcMar>
              <w:top w:w="100" w:type="dxa"/>
              <w:start w:w="110" w:type="dxa"/>
              <w:bottom w:w="100" w:type="dxa"/>
              <w:end w:w="110" w:type="dxa"/>
            </w:tcMar>
            <w:vAlign w:val="center"/>
          </w:tcPr>
          <w:p>
            <w:pPr>
              <w:spacing w:after="0"/>
            </w:pPr>
            <w:r>
              <w:rPr>
                <w:sz w:val="17"/>
              </w:rPr>
              <w:t>SCR-GRF-001</w:t>
            </w:r>
          </w:p>
        </w:tc>
        <w:tc>
          <w:tcPr>
            <w:tcW w:type="dxa" w:w="2520"/>
            <w:tcMar>
              <w:top w:w="100" w:type="dxa"/>
              <w:start w:w="110" w:type="dxa"/>
              <w:bottom w:w="100" w:type="dxa"/>
              <w:end w:w="110" w:type="dxa"/>
            </w:tcMar>
            <w:vAlign w:val="center"/>
          </w:tcPr>
          <w:p>
            <w:pPr>
              <w:spacing w:after="0"/>
            </w:pPr>
            <w:r>
              <w:rPr>
                <w:sz w:val="17"/>
              </w:rPr>
              <w:t>Investigation Graph</w:t>
            </w:r>
          </w:p>
        </w:tc>
        <w:tc>
          <w:tcPr>
            <w:tcW w:type="dxa" w:w="6983"/>
            <w:tcMar>
              <w:top w:w="100" w:type="dxa"/>
              <w:start w:w="110" w:type="dxa"/>
              <w:bottom w:w="100" w:type="dxa"/>
              <w:end w:w="110" w:type="dxa"/>
            </w:tcMar>
            <w:vAlign w:val="center"/>
          </w:tcPr>
          <w:p>
            <w:pPr>
              <w:spacing w:after="0"/>
            </w:pPr>
            <w:r>
              <w:rPr>
                <w:sz w:val="17"/>
              </w:rPr>
              <w:t>CMP-005, ANA-013, ANA-014, ANA-015, ANA-012</w:t>
            </w:r>
          </w:p>
        </w:tc>
      </w:tr>
      <w:tr>
        <w:trPr>
          <w:cantSplit/>
        </w:trPr>
        <w:tc>
          <w:tcPr>
            <w:tcW w:type="dxa" w:w="1655"/>
            <w:tcMar>
              <w:top w:w="100" w:type="dxa"/>
              <w:start w:w="110" w:type="dxa"/>
              <w:bottom w:w="100" w:type="dxa"/>
              <w:end w:w="110" w:type="dxa"/>
            </w:tcMar>
            <w:vAlign w:val="center"/>
          </w:tcPr>
          <w:p>
            <w:pPr>
              <w:spacing w:after="0"/>
            </w:pPr>
            <w:r>
              <w:rPr>
                <w:sz w:val="17"/>
              </w:rPr>
              <w:t>SCR-PRD-003</w:t>
            </w:r>
          </w:p>
        </w:tc>
        <w:tc>
          <w:tcPr>
            <w:tcW w:type="dxa" w:w="2520"/>
            <w:tcMar>
              <w:top w:w="100" w:type="dxa"/>
              <w:start w:w="110" w:type="dxa"/>
              <w:bottom w:w="100" w:type="dxa"/>
              <w:end w:w="110" w:type="dxa"/>
            </w:tcMar>
            <w:vAlign w:val="center"/>
          </w:tcPr>
          <w:p>
            <w:pPr>
              <w:spacing w:after="0"/>
            </w:pPr>
            <w:r>
              <w:rPr>
                <w:sz w:val="17"/>
              </w:rPr>
              <w:t>Product Editor</w:t>
            </w:r>
          </w:p>
        </w:tc>
        <w:tc>
          <w:tcPr>
            <w:tcW w:type="dxa" w:w="6983"/>
            <w:tcMar>
              <w:top w:w="100" w:type="dxa"/>
              <w:start w:w="110" w:type="dxa"/>
              <w:bottom w:w="100" w:type="dxa"/>
              <w:end w:w="110" w:type="dxa"/>
            </w:tcMar>
            <w:vAlign w:val="center"/>
          </w:tcPr>
          <w:p>
            <w:pPr>
              <w:spacing w:after="0"/>
            </w:pPr>
            <w:r>
              <w:rPr>
                <w:sz w:val="17"/>
              </w:rPr>
              <w:t>CMP-004, ANA-004, ANA-001, ANA-021, ANA-023</w:t>
            </w:r>
          </w:p>
        </w:tc>
      </w:tr>
      <w:tr>
        <w:trPr>
          <w:cantSplit/>
        </w:trPr>
        <w:tc>
          <w:tcPr>
            <w:tcW w:type="dxa" w:w="1655"/>
            <w:tcMar>
              <w:top w:w="100" w:type="dxa"/>
              <w:start w:w="110" w:type="dxa"/>
              <w:bottom w:w="100" w:type="dxa"/>
              <w:end w:w="110" w:type="dxa"/>
            </w:tcMar>
            <w:vAlign w:val="center"/>
          </w:tcPr>
          <w:p>
            <w:pPr>
              <w:spacing w:after="0"/>
            </w:pPr>
            <w:r>
              <w:rPr>
                <w:sz w:val="17"/>
              </w:rPr>
              <w:t>SCR-REV-002</w:t>
            </w:r>
          </w:p>
        </w:tc>
        <w:tc>
          <w:tcPr>
            <w:tcW w:type="dxa" w:w="2520"/>
            <w:tcMar>
              <w:top w:w="100" w:type="dxa"/>
              <w:start w:w="110" w:type="dxa"/>
              <w:bottom w:w="100" w:type="dxa"/>
              <w:end w:w="110" w:type="dxa"/>
            </w:tcMar>
            <w:vAlign w:val="center"/>
          </w:tcPr>
          <w:p>
            <w:pPr>
              <w:spacing w:after="0"/>
            </w:pPr>
            <w:r>
              <w:rPr>
                <w:sz w:val="17"/>
              </w:rPr>
              <w:t>Peer Review</w:t>
            </w:r>
          </w:p>
        </w:tc>
        <w:tc>
          <w:tcPr>
            <w:tcW w:type="dxa" w:w="6983"/>
            <w:tcMar>
              <w:top w:w="100" w:type="dxa"/>
              <w:start w:w="110" w:type="dxa"/>
              <w:bottom w:w="100" w:type="dxa"/>
              <w:end w:w="110" w:type="dxa"/>
            </w:tcMar>
            <w:vAlign w:val="center"/>
          </w:tcPr>
          <w:p>
            <w:pPr>
              <w:spacing w:after="0"/>
            </w:pPr>
            <w:r>
              <w:rPr>
                <w:sz w:val="17"/>
              </w:rPr>
              <w:t>CMP-007, ANA-022, ANA-021, ANA-004, ANA-023</w:t>
            </w:r>
          </w:p>
        </w:tc>
      </w:tr>
      <w:tr>
        <w:trPr>
          <w:cantSplit/>
        </w:trPr>
        <w:tc>
          <w:tcPr>
            <w:tcW w:type="dxa" w:w="1655"/>
            <w:tcMar>
              <w:top w:w="100" w:type="dxa"/>
              <w:start w:w="110" w:type="dxa"/>
              <w:bottom w:w="100" w:type="dxa"/>
              <w:end w:w="110" w:type="dxa"/>
            </w:tcMar>
            <w:vAlign w:val="center"/>
          </w:tcPr>
          <w:p>
            <w:pPr>
              <w:spacing w:after="0"/>
            </w:pPr>
            <w:r>
              <w:rPr>
                <w:sz w:val="17"/>
              </w:rPr>
              <w:t>SCR-DIS-002</w:t>
            </w:r>
          </w:p>
        </w:tc>
        <w:tc>
          <w:tcPr>
            <w:tcW w:type="dxa" w:w="2520"/>
            <w:tcMar>
              <w:top w:w="100" w:type="dxa"/>
              <w:start w:w="110" w:type="dxa"/>
              <w:bottom w:w="100" w:type="dxa"/>
              <w:end w:w="110" w:type="dxa"/>
            </w:tcMar>
            <w:vAlign w:val="center"/>
          </w:tcPr>
          <w:p>
            <w:pPr>
              <w:spacing w:after="0"/>
            </w:pPr>
            <w:r>
              <w:rPr>
                <w:sz w:val="17"/>
              </w:rPr>
              <w:t>Export Package Builder</w:t>
            </w:r>
          </w:p>
        </w:tc>
        <w:tc>
          <w:tcPr>
            <w:tcW w:type="dxa" w:w="6983"/>
            <w:tcMar>
              <w:top w:w="100" w:type="dxa"/>
              <w:start w:w="110" w:type="dxa"/>
              <w:bottom w:w="100" w:type="dxa"/>
              <w:end w:w="110" w:type="dxa"/>
            </w:tcMar>
            <w:vAlign w:val="center"/>
          </w:tcPr>
          <w:p>
            <w:pPr>
              <w:spacing w:after="0"/>
            </w:pPr>
            <w:r>
              <w:rPr>
                <w:sz w:val="17"/>
              </w:rPr>
              <w:t>CMP-005, ANA-023, ANA-004, GEN-008, GEN-017</w:t>
            </w:r>
          </w:p>
        </w:tc>
      </w:tr>
    </w:tbl>
    <w:p>
      <w:pPr>
        <w:spacing w:after="20"/>
      </w:pPr>
    </w:p>
    <w:p>
      <w:pPr>
        <w:spacing w:after="80"/>
      </w:pPr>
      <w:r>
        <w:rPr>
          <w:b/>
          <w:color w:val="285C8E"/>
        </w:rPr>
        <w:t xml:space="preserve">CISB-050 — </w:t>
      </w:r>
      <w:r>
        <w:t>Critical screens SHALL reference shared component IDs in frontend implementation notes or equivalent engineering documentation.</w:t>
      </w:r>
    </w:p>
    <w:p>
      <w:pPr>
        <w:pStyle w:val="Heading1"/>
      </w:pPr>
      <w:r>
        <w:t>15. Reference Repository Structure</w:t>
      </w:r>
    </w:p>
    <w:p>
      <w:r>
        <w:rPr>
          <w:rFonts w:ascii="Consolas" w:hAnsi="Consolas"/>
          <w:sz w:val="18"/>
        </w:rPr>
        <w:t>frontend/</w:t>
        <w:br/>
        <w:t xml:space="preserve">  src/</w:t>
        <w:br/>
        <w:t xml:space="preserve">    design-system/</w:t>
        <w:br/>
        <w:t xml:space="preserve">      foundations/</w:t>
        <w:br/>
        <w:t xml:space="preserve">      components/</w:t>
        <w:br/>
        <w:t xml:space="preserve">        general/</w:t>
        <w:br/>
        <w:t xml:space="preserve">        analytical/</w:t>
        <w:br/>
        <w:t xml:space="preserve">        patterns/</w:t>
        <w:br/>
        <w:t xml:space="preserve">      tokens/</w:t>
        <w:br/>
        <w:t xml:space="preserve">      icons/</w:t>
        <w:br/>
        <w:t xml:space="preserve">      index.ts</w:t>
        <w:br/>
        <w:t xml:space="preserve">    features/</w:t>
        <w:br/>
        <w:t xml:space="preserve">      cases/</w:t>
        <w:br/>
        <w:t xml:space="preserve">      evidence/</w:t>
        <w:br/>
        <w:t xml:space="preserve">      entities/</w:t>
        <w:br/>
        <w:t xml:space="preserve">      analysis/</w:t>
        <w:br/>
        <w:t xml:space="preserve">      products/</w:t>
        <w:br/>
        <w:t xml:space="preserve">      administration/</w:t>
        <w:br/>
        <w:t xml:space="preserve">  .storybook/</w:t>
        <w:br/>
        <w:t xml:space="preserve">    main.ts</w:t>
        <w:br/>
        <w:t xml:space="preserve">    preview.ts</w:t>
        <w:br/>
        <w:t xml:space="preserve">    manager.ts</w:t>
        <w:br/>
        <w:t xml:space="preserve">  stories/ (optional docs-only compositions)</w:t>
        <w:br/>
        <w:t xml:space="preserve">  tests/</w:t>
        <w:br/>
      </w:r>
    </w:p>
    <w:p>
      <w:pPr>
        <w:spacing w:after="80"/>
      </w:pPr>
      <w:r>
        <w:rPr>
          <w:b/>
          <w:color w:val="285C8E"/>
        </w:rPr>
        <w:t xml:space="preserve">CISB-060 — </w:t>
      </w:r>
      <w:r>
        <w:t>Feature packages SHALL NOT deep-import private component implementation files; only public design-system exports are supported contracts.</w:t>
      </w:r>
    </w:p>
    <w:p>
      <w:pPr>
        <w:pStyle w:val="Heading1"/>
      </w:pPr>
      <w:r>
        <w:t>16. Component Lifecycle and Governance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88"/>
            <w:shd w:fill="DCE8F3"/>
            <w:tcMar>
              <w:top w:w="100" w:type="dxa"/>
              <w:start w:w="110" w:type="dxa"/>
              <w:bottom w:w="100" w:type="dxa"/>
              <w:end w:w="110" w:type="dxa"/>
            </w:tcMar>
            <w:vAlign w:val="center"/>
          </w:tcPr>
          <w:p>
            <w:pPr>
              <w:jc w:val="center"/>
            </w:pPr>
            <w:r>
              <w:rPr>
                <w:b/>
                <w:color w:val="1C4160"/>
                <w:sz w:val="18"/>
              </w:rPr>
              <w:t>State</w:t>
            </w:r>
          </w:p>
        </w:tc>
        <w:tc>
          <w:tcPr>
            <w:tcW w:type="dxa" w:w="8424"/>
            <w:shd w:fill="DCE8F3"/>
            <w:tcMar>
              <w:top w:w="100" w:type="dxa"/>
              <w:start w:w="110" w:type="dxa"/>
              <w:bottom w:w="100" w:type="dxa"/>
              <w:end w:w="110" w:type="dxa"/>
            </w:tcMar>
            <w:vAlign w:val="center"/>
          </w:tcPr>
          <w:p>
            <w:pPr>
              <w:jc w:val="center"/>
            </w:pPr>
            <w:r>
              <w:rPr>
                <w:b/>
                <w:color w:val="1C4160"/>
                <w:sz w:val="18"/>
              </w:rPr>
              <w:t>Meaning</w:t>
            </w:r>
          </w:p>
        </w:tc>
      </w:tr>
      <w:tr>
        <w:trPr>
          <w:cantSplit/>
        </w:trPr>
        <w:tc>
          <w:tcPr>
            <w:tcW w:type="dxa" w:w="2088"/>
            <w:tcMar>
              <w:top w:w="100" w:type="dxa"/>
              <w:start w:w="110" w:type="dxa"/>
              <w:bottom w:w="100" w:type="dxa"/>
              <w:end w:w="110" w:type="dxa"/>
            </w:tcMar>
            <w:vAlign w:val="center"/>
          </w:tcPr>
          <w:p>
            <w:pPr>
              <w:spacing w:after="0"/>
            </w:pPr>
            <w:r>
              <w:rPr>
                <w:sz w:val="17"/>
              </w:rPr>
              <w:t>Proposed</w:t>
            </w:r>
          </w:p>
        </w:tc>
        <w:tc>
          <w:tcPr>
            <w:tcW w:type="dxa" w:w="8424"/>
            <w:tcMar>
              <w:top w:w="100" w:type="dxa"/>
              <w:start w:w="110" w:type="dxa"/>
              <w:bottom w:w="100" w:type="dxa"/>
              <w:end w:w="110" w:type="dxa"/>
            </w:tcMar>
            <w:vAlign w:val="center"/>
          </w:tcPr>
          <w:p>
            <w:pPr>
              <w:spacing w:after="0"/>
            </w:pPr>
            <w:r>
              <w:rPr>
                <w:sz w:val="17"/>
              </w:rPr>
              <w:t>Need identified; API not stable.</w:t>
            </w:r>
          </w:p>
        </w:tc>
      </w:tr>
      <w:tr>
        <w:trPr>
          <w:cantSplit/>
        </w:trPr>
        <w:tc>
          <w:tcPr>
            <w:tcW w:type="dxa" w:w="2088"/>
            <w:tcMar>
              <w:top w:w="100" w:type="dxa"/>
              <w:start w:w="110" w:type="dxa"/>
              <w:bottom w:w="100" w:type="dxa"/>
              <w:end w:w="110" w:type="dxa"/>
            </w:tcMar>
            <w:vAlign w:val="center"/>
          </w:tcPr>
          <w:p>
            <w:pPr>
              <w:spacing w:after="0"/>
            </w:pPr>
            <w:r>
              <w:rPr>
                <w:sz w:val="17"/>
              </w:rPr>
              <w:t>Experimental</w:t>
            </w:r>
          </w:p>
        </w:tc>
        <w:tc>
          <w:tcPr>
            <w:tcW w:type="dxa" w:w="8424"/>
            <w:tcMar>
              <w:top w:w="100" w:type="dxa"/>
              <w:start w:w="110" w:type="dxa"/>
              <w:bottom w:w="100" w:type="dxa"/>
              <w:end w:w="110" w:type="dxa"/>
            </w:tcMar>
            <w:vAlign w:val="center"/>
          </w:tcPr>
          <w:p>
            <w:pPr>
              <w:spacing w:after="0"/>
            </w:pPr>
            <w:r>
              <w:rPr>
                <w:sz w:val="17"/>
              </w:rPr>
              <w:t>Usable in limited feature work; change without migration guarantee.</w:t>
            </w:r>
          </w:p>
        </w:tc>
      </w:tr>
      <w:tr>
        <w:trPr>
          <w:cantSplit/>
        </w:trPr>
        <w:tc>
          <w:tcPr>
            <w:tcW w:type="dxa" w:w="2088"/>
            <w:tcMar>
              <w:top w:w="100" w:type="dxa"/>
              <w:start w:w="110" w:type="dxa"/>
              <w:bottom w:w="100" w:type="dxa"/>
              <w:end w:w="110" w:type="dxa"/>
            </w:tcMar>
            <w:vAlign w:val="center"/>
          </w:tcPr>
          <w:p>
            <w:pPr>
              <w:spacing w:after="0"/>
            </w:pPr>
            <w:r>
              <w:rPr>
                <w:sz w:val="17"/>
              </w:rPr>
              <w:t>Stable</w:t>
            </w:r>
          </w:p>
        </w:tc>
        <w:tc>
          <w:tcPr>
            <w:tcW w:type="dxa" w:w="8424"/>
            <w:tcMar>
              <w:top w:w="100" w:type="dxa"/>
              <w:start w:w="110" w:type="dxa"/>
              <w:bottom w:w="100" w:type="dxa"/>
              <w:end w:w="110" w:type="dxa"/>
            </w:tcMar>
            <w:vAlign w:val="center"/>
          </w:tcPr>
          <w:p>
            <w:pPr>
              <w:spacing w:after="0"/>
            </w:pPr>
            <w:r>
              <w:rPr>
                <w:sz w:val="17"/>
              </w:rPr>
              <w:t>Approved public API and Storybook/test coverage.</w:t>
            </w:r>
          </w:p>
        </w:tc>
      </w:tr>
      <w:tr>
        <w:trPr>
          <w:cantSplit/>
        </w:trPr>
        <w:tc>
          <w:tcPr>
            <w:tcW w:type="dxa" w:w="2088"/>
            <w:tcMar>
              <w:top w:w="100" w:type="dxa"/>
              <w:start w:w="110" w:type="dxa"/>
              <w:bottom w:w="100" w:type="dxa"/>
              <w:end w:w="110" w:type="dxa"/>
            </w:tcMar>
            <w:vAlign w:val="center"/>
          </w:tcPr>
          <w:p>
            <w:pPr>
              <w:spacing w:after="0"/>
            </w:pPr>
            <w:r>
              <w:rPr>
                <w:sz w:val="17"/>
              </w:rPr>
              <w:t>Deprecated</w:t>
            </w:r>
          </w:p>
        </w:tc>
        <w:tc>
          <w:tcPr>
            <w:tcW w:type="dxa" w:w="8424"/>
            <w:tcMar>
              <w:top w:w="100" w:type="dxa"/>
              <w:start w:w="110" w:type="dxa"/>
              <w:bottom w:w="100" w:type="dxa"/>
              <w:end w:w="110" w:type="dxa"/>
            </w:tcMar>
            <w:vAlign w:val="center"/>
          </w:tcPr>
          <w:p>
            <w:pPr>
              <w:spacing w:after="0"/>
            </w:pPr>
            <w:r>
              <w:rPr>
                <w:sz w:val="17"/>
              </w:rPr>
              <w:t>Replacement exists; migration guidance required.</w:t>
            </w:r>
          </w:p>
        </w:tc>
      </w:tr>
      <w:tr>
        <w:trPr>
          <w:cantSplit/>
        </w:trPr>
        <w:tc>
          <w:tcPr>
            <w:tcW w:type="dxa" w:w="2088"/>
            <w:tcMar>
              <w:top w:w="100" w:type="dxa"/>
              <w:start w:w="110" w:type="dxa"/>
              <w:bottom w:w="100" w:type="dxa"/>
              <w:end w:w="110" w:type="dxa"/>
            </w:tcMar>
            <w:vAlign w:val="center"/>
          </w:tcPr>
          <w:p>
            <w:pPr>
              <w:spacing w:after="0"/>
            </w:pPr>
            <w:r>
              <w:rPr>
                <w:sz w:val="17"/>
              </w:rPr>
              <w:t>Retired</w:t>
            </w:r>
          </w:p>
        </w:tc>
        <w:tc>
          <w:tcPr>
            <w:tcW w:type="dxa" w:w="8424"/>
            <w:tcMar>
              <w:top w:w="100" w:type="dxa"/>
              <w:start w:w="110" w:type="dxa"/>
              <w:bottom w:w="100" w:type="dxa"/>
              <w:end w:w="110" w:type="dxa"/>
            </w:tcMar>
            <w:vAlign w:val="center"/>
          </w:tcPr>
          <w:p>
            <w:pPr>
              <w:spacing w:after="0"/>
            </w:pPr>
            <w:r>
              <w:rPr>
                <w:sz w:val="17"/>
              </w:rPr>
              <w:t>Removed from public exports after approved migration window.</w:t>
            </w:r>
          </w:p>
        </w:tc>
      </w:tr>
    </w:tbl>
    <w:p>
      <w:pPr>
        <w:spacing w:after="20"/>
      </w:pPr>
    </w:p>
    <w:p>
      <w:pPr>
        <w:spacing w:after="80"/>
      </w:pPr>
      <w:r>
        <w:rPr>
          <w:b/>
          <w:color w:val="285C8E"/>
        </w:rPr>
        <w:t xml:space="preserve">CISB-070 — </w:t>
      </w:r>
      <w:r>
        <w:t>Breaking changes to Stable component APIs SHALL require migration notes and release-note entry.</w:t>
      </w:r>
    </w:p>
    <w:p>
      <w:pPr>
        <w:spacing w:after="80"/>
      </w:pPr>
      <w:r>
        <w:rPr>
          <w:b/>
          <w:color w:val="285C8E"/>
        </w:rPr>
        <w:t xml:space="preserve">CISB-071 — </w:t>
      </w:r>
      <w:r>
        <w:t>Changes to analytical semantic components SHALL be reviewed by UX/design-system owner and a domain/framework owner.</w:t>
      </w:r>
    </w:p>
    <w:p>
      <w:pPr>
        <w:spacing w:after="80"/>
      </w:pPr>
      <w:r>
        <w:rPr>
          <w:b/>
          <w:color w:val="285C8E"/>
        </w:rPr>
        <w:t xml:space="preserve">CISB-072 — </w:t>
      </w:r>
      <w:r>
        <w:t>A component SHOULD be promoted to shared inventory when two or more screens need the same semantic behavior, or immediately when the behavior is safety/security critical.</w:t>
      </w:r>
    </w:p>
    <w:p>
      <w:pPr>
        <w:pStyle w:val="Heading1"/>
      </w:pPr>
      <w:r>
        <w:t>17. CI/CD and Storybook Publication</w:t>
      </w:r>
    </w:p>
    <w:p>
      <w:pPr>
        <w:pStyle w:val="ListBullet"/>
        <w:spacing w:after="40"/>
      </w:pPr>
      <w:r>
        <w:t>Build Storybook on every pull request affecting frontend/design-system code.</w:t>
      </w:r>
    </w:p>
    <w:p>
      <w:pPr>
        <w:pStyle w:val="ListBullet"/>
        <w:spacing w:after="40"/>
      </w:pPr>
      <w:r>
        <w:t>Run typecheck, lint, unit/interaction tests, and automated accessibility checks.</w:t>
      </w:r>
    </w:p>
    <w:p>
      <w:pPr>
        <w:pStyle w:val="ListBullet"/>
        <w:spacing w:after="40"/>
      </w:pPr>
      <w:r>
        <w:t>Publish ephemeral preview for reviewer access.</w:t>
      </w:r>
    </w:p>
    <w:p>
      <w:pPr>
        <w:pStyle w:val="ListBullet"/>
        <w:spacing w:after="40"/>
      </w:pPr>
      <w:r>
        <w:t>Run visual regression against approved baseline for changed stories.</w:t>
      </w:r>
    </w:p>
    <w:p>
      <w:pPr>
        <w:pStyle w:val="ListBullet"/>
        <w:spacing w:after="40"/>
      </w:pPr>
      <w:r>
        <w:t>Block merge on failed mandatory checks unless a documented exception is approved.</w:t>
      </w:r>
    </w:p>
    <w:p>
      <w:pPr>
        <w:pStyle w:val="ListBullet"/>
        <w:spacing w:after="40"/>
      </w:pPr>
      <w:r>
        <w:t>Publish versioned Storybook for release candidates; production deployment need not expose it publicly.</w:t>
      </w:r>
    </w:p>
    <w:p>
      <w:pPr>
        <w:pStyle w:val="Heading1"/>
      </w:pPr>
      <w:r>
        <w:t>18. Security and Privacy in Storybook</w:t>
      </w:r>
    </w:p>
    <w:p>
      <w:pPr>
        <w:spacing w:after="80"/>
      </w:pPr>
      <w:r>
        <w:rPr>
          <w:b/>
          <w:color w:val="285C8E"/>
        </w:rPr>
        <w:t xml:space="preserve">CISB-080 — </w:t>
      </w:r>
      <w:r>
        <w:t>Storybook fixtures SHALL contain only synthetic or explicitly approved non-sensitive data.</w:t>
      </w:r>
    </w:p>
    <w:p>
      <w:pPr>
        <w:spacing w:after="80"/>
      </w:pPr>
      <w:r>
        <w:rPr>
          <w:b/>
          <w:color w:val="285C8E"/>
        </w:rPr>
        <w:t xml:space="preserve">CISB-081 — </w:t>
      </w:r>
      <w:r>
        <w:t>Storybook builds SHALL NOT embed production API tokens, production endpoints requiring credentials, or real protected-source identities.</w:t>
      </w:r>
    </w:p>
    <w:p>
      <w:pPr>
        <w:spacing w:after="80"/>
      </w:pPr>
      <w:r>
        <w:rPr>
          <w:b/>
          <w:color w:val="285C8E"/>
        </w:rPr>
        <w:t xml:space="preserve">CISB-082 — </w:t>
      </w:r>
      <w:r>
        <w:t>Authorization behavior MAY be simulated through safe decorators/fixtures, but Storybook SHALL NOT be treated as proof of server-side authorization.</w:t>
      </w:r>
    </w:p>
    <w:p>
      <w:pPr>
        <w:spacing w:after="80"/>
      </w:pPr>
      <w:r>
        <w:rPr>
          <w:b/>
          <w:color w:val="285C8E"/>
        </w:rPr>
        <w:t xml:space="preserve">CISB-083 — </w:t>
      </w:r>
      <w:r>
        <w:t>Private deployment or access control SHOULD be used when Storybook documentation contains internal security architecture details.</w:t>
      </w:r>
    </w:p>
    <w:p>
      <w:pPr>
        <w:pStyle w:val="Heading1"/>
      </w:pPr>
      <w:r>
        <w:t>19. Component Definition of Done</w:t>
      </w:r>
    </w:p>
    <w:p>
      <w:pPr>
        <w:pStyle w:val="ListBullet"/>
        <w:spacing w:after="40"/>
      </w:pPr>
      <w:r>
        <w:t>☐ Inventory ID and semantic owner assigned.</w:t>
      </w:r>
    </w:p>
    <w:p>
      <w:pPr>
        <w:pStyle w:val="ListBullet"/>
        <w:spacing w:after="40"/>
      </w:pPr>
      <w:r>
        <w:t>☐ Public TypeScript API documented.</w:t>
      </w:r>
    </w:p>
    <w:p>
      <w:pPr>
        <w:pStyle w:val="ListBullet"/>
        <w:spacing w:after="40"/>
      </w:pPr>
      <w:r>
        <w:t>☐ Uses semantic tokens and approved icons.</w:t>
      </w:r>
    </w:p>
    <w:p>
      <w:pPr>
        <w:pStyle w:val="ListBullet"/>
        <w:spacing w:after="40"/>
      </w:pPr>
      <w:r>
        <w:t>☐ Default + all required variants implemented.</w:t>
      </w:r>
    </w:p>
    <w:p>
      <w:pPr>
        <w:pStyle w:val="ListBullet"/>
        <w:spacing w:after="40"/>
      </w:pPr>
      <w:r>
        <w:t>☐ Unknown/empty/error/loading/readonly/restricted states implemented where applicable.</w:t>
      </w:r>
    </w:p>
    <w:p>
      <w:pPr>
        <w:pStyle w:val="ListBullet"/>
        <w:spacing w:after="40"/>
      </w:pPr>
      <w:r>
        <w:t>☐ Keyboard behavior verified.</w:t>
      </w:r>
    </w:p>
    <w:p>
      <w:pPr>
        <w:pStyle w:val="ListBullet"/>
        <w:spacing w:after="40"/>
      </w:pPr>
      <w:r>
        <w:t>☐ Automated accessibility check passes for supported state set.</w:t>
      </w:r>
    </w:p>
    <w:p>
      <w:pPr>
        <w:pStyle w:val="ListBullet"/>
        <w:spacing w:after="40"/>
      </w:pPr>
      <w:r>
        <w:t>☐ Storybook stories complete.</w:t>
      </w:r>
    </w:p>
    <w:p>
      <w:pPr>
        <w:pStyle w:val="ListBullet"/>
        <w:spacing w:after="40"/>
      </w:pPr>
      <w:r>
        <w:t>☐ Interaction tests present for meaningful behaviors.</w:t>
      </w:r>
    </w:p>
    <w:p>
      <w:pPr>
        <w:pStyle w:val="ListBullet"/>
        <w:spacing w:after="40"/>
      </w:pPr>
      <w:r>
        <w:t>☐ Visual-regression baseline approved for P0/critical analytical components.</w:t>
      </w:r>
    </w:p>
    <w:p>
      <w:pPr>
        <w:pStyle w:val="ListBullet"/>
        <w:spacing w:after="40"/>
      </w:pPr>
      <w:r>
        <w:t>☐ No sensitive fixture data.</w:t>
      </w:r>
    </w:p>
    <w:p>
      <w:pPr>
        <w:pStyle w:val="ListBullet"/>
        <w:spacing w:after="40"/>
      </w:pPr>
      <w:r>
        <w:t>☐ Relevant screen IDs and normative references documented.</w:t>
      </w:r>
    </w:p>
    <w:p>
      <w:pPr>
        <w:pStyle w:val="ListBullet"/>
        <w:spacing w:after="40"/>
      </w:pPr>
      <w:r>
        <w:t>☐ No duplicate local implementation exists in target feature module.</w:t>
      </w:r>
    </w:p>
    <w:p>
      <w:pPr>
        <w:pStyle w:val="Heading1"/>
      </w:pPr>
      <w:r>
        <w:t>20. Storybook Release Gate</w:t>
      </w:r>
    </w:p>
    <w:tbl>
      <w:tblPr>
        <w:tblW w:type="auto" w:w="0"/>
        <w:jc w:val="center"/>
        <w:tblLook w:firstColumn="1" w:firstRow="1" w:lastColumn="0" w:lastRow="0" w:noHBand="0" w:noVBand="1" w:val="04A0"/>
      </w:tblPr>
      <w:tblGrid>
        <w:gridCol w:w="10080"/>
      </w:tblGrid>
      <w:tr>
        <w:tc>
          <w:tcPr>
            <w:tcW w:type="dxa" w:w="10080"/>
            <w:shd w:fill="FFF4D8"/>
            <w:tcMar>
              <w:top w:w="160" w:type="dxa"/>
              <w:start w:w="180" w:type="dxa"/>
              <w:bottom w:w="160" w:type="dxa"/>
              <w:end w:w="180" w:type="dxa"/>
            </w:tcMar>
          </w:tcPr>
          <w:p>
            <w:r>
              <w:rPr>
                <w:b/>
                <w:color w:val="1C4160"/>
                <w:sz w:val="21"/>
              </w:rPr>
              <w:t>MVP Storybook gate</w:t>
              <w:br/>
            </w:r>
            <w:r>
              <w:rPr>
                <w:sz w:val="19"/>
              </w:rPr>
              <w:t>Before MVP UI freeze, every P0 shared component used by the critical end-to-end scenario SHALL have an approved Storybook entry, required state coverage, accessibility checks, and visual-regression baseline. Missing Storybook coverage for a critical analytical semantic component is a release-quality defect, not merely documentation debt.</w:t>
            </w:r>
          </w:p>
        </w:tc>
      </w:tr>
    </w:tbl>
    <w:p>
      <w:pPr>
        <w:spacing w:after="40"/>
      </w:pPr>
    </w:p>
    <w:p>
      <w:pPr>
        <w:pStyle w:val="Heading1"/>
      </w:pPr>
      <w:r>
        <w:t>Annex A — Minimum Story Coverage by Priority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152"/>
            <w:shd w:fill="DCE8F3"/>
            <w:tcMar>
              <w:top w:w="100" w:type="dxa"/>
              <w:start w:w="110" w:type="dxa"/>
              <w:bottom w:w="100" w:type="dxa"/>
              <w:end w:w="110" w:type="dxa"/>
            </w:tcMar>
            <w:vAlign w:val="center"/>
          </w:tcPr>
          <w:p>
            <w:pPr>
              <w:jc w:val="center"/>
            </w:pPr>
            <w:r>
              <w:rPr>
                <w:b/>
                <w:color w:val="1C4160"/>
                <w:sz w:val="18"/>
              </w:rPr>
              <w:t>Priority</w:t>
            </w:r>
          </w:p>
        </w:tc>
        <w:tc>
          <w:tcPr>
            <w:tcW w:type="dxa" w:w="9360"/>
            <w:shd w:fill="DCE8F3"/>
            <w:tcMar>
              <w:top w:w="100" w:type="dxa"/>
              <w:start w:w="110" w:type="dxa"/>
              <w:bottom w:w="100" w:type="dxa"/>
              <w:end w:w="110" w:type="dxa"/>
            </w:tcMar>
            <w:vAlign w:val="center"/>
          </w:tcPr>
          <w:p>
            <w:pPr>
              <w:jc w:val="center"/>
            </w:pPr>
            <w:r>
              <w:rPr>
                <w:b/>
                <w:color w:val="1C4160"/>
                <w:sz w:val="18"/>
              </w:rPr>
              <w:t>Minimum</w:t>
            </w:r>
          </w:p>
        </w:tc>
      </w:tr>
      <w:tr>
        <w:trPr>
          <w:cantSplit/>
        </w:trPr>
        <w:tc>
          <w:tcPr>
            <w:tcW w:type="dxa" w:w="1152"/>
            <w:tcMar>
              <w:top w:w="100" w:type="dxa"/>
              <w:start w:w="110" w:type="dxa"/>
              <w:bottom w:w="100" w:type="dxa"/>
              <w:end w:w="110" w:type="dxa"/>
            </w:tcMar>
            <w:vAlign w:val="center"/>
          </w:tcPr>
          <w:p>
            <w:pPr>
              <w:spacing w:after="0"/>
            </w:pPr>
            <w:r>
              <w:rPr>
                <w:sz w:val="17"/>
              </w:rPr>
              <w:t>P0</w:t>
            </w:r>
          </w:p>
        </w:tc>
        <w:tc>
          <w:tcPr>
            <w:tcW w:type="dxa" w:w="9360"/>
            <w:tcMar>
              <w:top w:w="100" w:type="dxa"/>
              <w:start w:w="110" w:type="dxa"/>
              <w:bottom w:w="100" w:type="dxa"/>
              <w:end w:w="110" w:type="dxa"/>
            </w:tcMar>
            <w:vAlign w:val="center"/>
          </w:tcPr>
          <w:p>
            <w:pPr>
              <w:spacing w:after="0"/>
            </w:pPr>
            <w:r>
              <w:rPr>
                <w:sz w:val="17"/>
              </w:rPr>
              <w:t>Default, all variants, key interaction, error/unknown/restricted where applicable, accessibility, critical viewport, visual baseline.</w:t>
            </w:r>
          </w:p>
        </w:tc>
      </w:tr>
      <w:tr>
        <w:trPr>
          <w:cantSplit/>
        </w:trPr>
        <w:tc>
          <w:tcPr>
            <w:tcW w:type="dxa" w:w="1152"/>
            <w:tcMar>
              <w:top w:w="100" w:type="dxa"/>
              <w:start w:w="110" w:type="dxa"/>
              <w:bottom w:w="100" w:type="dxa"/>
              <w:end w:w="110" w:type="dxa"/>
            </w:tcMar>
            <w:vAlign w:val="center"/>
          </w:tcPr>
          <w:p>
            <w:pPr>
              <w:spacing w:after="0"/>
            </w:pPr>
            <w:r>
              <w:rPr>
                <w:sz w:val="17"/>
              </w:rPr>
              <w:t>P1</w:t>
            </w:r>
          </w:p>
        </w:tc>
        <w:tc>
          <w:tcPr>
            <w:tcW w:type="dxa" w:w="9360"/>
            <w:tcMar>
              <w:top w:w="100" w:type="dxa"/>
              <w:start w:w="110" w:type="dxa"/>
              <w:bottom w:w="100" w:type="dxa"/>
              <w:end w:w="110" w:type="dxa"/>
            </w:tcMar>
            <w:vAlign w:val="center"/>
          </w:tcPr>
          <w:p>
            <w:pPr>
              <w:spacing w:after="0"/>
            </w:pPr>
            <w:r>
              <w:rPr>
                <w:sz w:val="17"/>
              </w:rPr>
              <w:t>Default, all public variants, basic accessibility, key interaction; visual baseline recommended.</w:t>
            </w:r>
          </w:p>
        </w:tc>
      </w:tr>
      <w:tr>
        <w:trPr>
          <w:cantSplit/>
        </w:trPr>
        <w:tc>
          <w:tcPr>
            <w:tcW w:type="dxa" w:w="1152"/>
            <w:tcMar>
              <w:top w:w="100" w:type="dxa"/>
              <w:start w:w="110" w:type="dxa"/>
              <w:bottom w:w="100" w:type="dxa"/>
              <w:end w:w="110" w:type="dxa"/>
            </w:tcMar>
            <w:vAlign w:val="center"/>
          </w:tcPr>
          <w:p>
            <w:pPr>
              <w:spacing w:after="0"/>
            </w:pPr>
            <w:r>
              <w:rPr>
                <w:sz w:val="17"/>
              </w:rPr>
              <w:t>P2</w:t>
            </w:r>
          </w:p>
        </w:tc>
        <w:tc>
          <w:tcPr>
            <w:tcW w:type="dxa" w:w="9360"/>
            <w:tcMar>
              <w:top w:w="100" w:type="dxa"/>
              <w:start w:w="110" w:type="dxa"/>
              <w:bottom w:w="100" w:type="dxa"/>
              <w:end w:w="110" w:type="dxa"/>
            </w:tcMar>
            <w:vAlign w:val="center"/>
          </w:tcPr>
          <w:p>
            <w:pPr>
              <w:spacing w:after="0"/>
            </w:pPr>
            <w:r>
              <w:rPr>
                <w:sz w:val="17"/>
              </w:rPr>
              <w:t>Default and public variants; additional test/story coverage before promotion to production-critical use.</w:t>
            </w:r>
          </w:p>
        </w:tc>
      </w:tr>
    </w:tbl>
    <w:p>
      <w:pPr>
        <w:spacing w:after="20"/>
      </w:pPr>
    </w:p>
    <w:p>
      <w:pPr>
        <w:pStyle w:val="Heading1"/>
      </w:pPr>
      <w:r>
        <w:t>Annex B — Story Naming Convention</w:t>
      </w:r>
    </w:p>
    <w:tbl>
      <w:tblPr>
        <w:tblW w:type="auto" w:w="0"/>
        <w:jc w:val="center"/>
        <w:tblLook w:firstColumn="1" w:firstRow="1" w:lastColumn="0" w:lastRow="0" w:noHBand="0" w:noVBand="1" w:val="04A0"/>
      </w:tblPr>
      <w:tblGrid>
        <w:gridCol w:w="10080"/>
      </w:tblGrid>
      <w:tr>
        <w:tc>
          <w:tcPr>
            <w:tcW w:type="dxa" w:w="10080"/>
            <w:shd w:fill="EEF4FA"/>
            <w:tcMar>
              <w:top w:w="160" w:type="dxa"/>
              <w:start w:w="180" w:type="dxa"/>
              <w:bottom w:w="160" w:type="dxa"/>
              <w:end w:w="180" w:type="dxa"/>
            </w:tcMar>
          </w:tcPr>
          <w:p>
            <w:r>
              <w:rPr>
                <w:b/>
                <w:color w:val="1C4160"/>
                <w:sz w:val="21"/>
              </w:rPr>
              <w:t>Canonical format</w:t>
              <w:br/>
            </w:r>
            <w:r>
              <w:rPr>
                <w:sz w:val="19"/>
              </w:rPr>
              <w:t>`&lt;Group&gt;/&lt;Subgroup&gt;/&lt;Component&gt;` for title; stories use clear state names such as `Direct`, `Reconstructed`, `RestrictedEvidence`, `KeyboardNavigation`, or `LongContent`. Avoid `Example1`, `Test`, and ambiguous names.</w:t>
            </w:r>
          </w:p>
        </w:tc>
      </w:tr>
    </w:tbl>
    <w:p>
      <w:pPr>
        <w:spacing w:after="40"/>
      </w:pPr>
    </w:p>
    <w:p>
      <w:pPr>
        <w:pStyle w:val="Heading1"/>
      </w:pPr>
      <w:r>
        <w:t>Annex C — Pull Request Review Checklist</w:t>
      </w:r>
    </w:p>
    <w:p>
      <w:pPr>
        <w:pStyle w:val="ListBullet"/>
        <w:spacing w:after="0" w:line="240" w:lineRule="auto"/>
      </w:pPr>
      <w:r>
        <w:rPr>
          <w:sz w:val="18"/>
        </w:rPr>
        <w:t>☐ Component belongs in shared library rather than local feature code.</w:t>
      </w:r>
    </w:p>
    <w:p>
      <w:pPr>
        <w:pStyle w:val="ListBullet"/>
        <w:spacing w:after="0" w:line="240" w:lineRule="auto"/>
      </w:pPr>
      <w:r>
        <w:rPr>
          <w:sz w:val="18"/>
        </w:rPr>
        <w:t>☐ No normative semantic is implemented with raw color alone.</w:t>
      </w:r>
    </w:p>
    <w:p>
      <w:pPr>
        <w:pStyle w:val="ListBullet"/>
        <w:spacing w:after="0" w:line="240" w:lineRule="auto"/>
      </w:pPr>
      <w:r>
        <w:rPr>
          <w:sz w:val="18"/>
        </w:rPr>
        <w:t>☐ Public props are typed and minimal.</w:t>
      </w:r>
    </w:p>
    <w:p>
      <w:pPr>
        <w:pStyle w:val="ListBullet"/>
        <w:spacing w:after="0" w:line="240" w:lineRule="auto"/>
      </w:pPr>
      <w:r>
        <w:rPr>
          <w:sz w:val="18"/>
        </w:rPr>
        <w:t>☐ Story set covers non-happy-path states.</w:t>
      </w:r>
    </w:p>
    <w:p>
      <w:pPr>
        <w:pStyle w:val="ListBullet"/>
        <w:spacing w:after="0" w:line="240" w:lineRule="auto"/>
      </w:pPr>
      <w:r>
        <w:rPr>
          <w:sz w:val="18"/>
        </w:rPr>
        <w:t>☐ Keyboard and focus behavior checked.</w:t>
      </w:r>
    </w:p>
    <w:p>
      <w:pPr>
        <w:pStyle w:val="ListBullet"/>
        <w:spacing w:after="0" w:line="240" w:lineRule="auto"/>
      </w:pPr>
      <w:r>
        <w:rPr>
          <w:sz w:val="18"/>
        </w:rPr>
        <w:t>☐ axe violations resolved or documented with approved rationale.</w:t>
      </w:r>
    </w:p>
    <w:p>
      <w:pPr>
        <w:pStyle w:val="ListBullet"/>
        <w:spacing w:after="0" w:line="240" w:lineRule="auto"/>
      </w:pPr>
      <w:r>
        <w:rPr>
          <w:sz w:val="18"/>
        </w:rPr>
        <w:t>☐ Synthetic fixtures only.</w:t>
      </w:r>
    </w:p>
    <w:p>
      <w:pPr>
        <w:pStyle w:val="ListBullet"/>
        <w:spacing w:after="0" w:line="240" w:lineRule="auto"/>
      </w:pPr>
      <w:r>
        <w:rPr>
          <w:sz w:val="18"/>
        </w:rPr>
        <w:t>☐ Visual diffs reviewed semantically.</w:t>
      </w:r>
    </w:p>
    <w:p>
      <w:pPr>
        <w:pStyle w:val="ListBullet"/>
        <w:spacing w:after="0" w:line="240" w:lineRule="auto"/>
      </w:pPr>
      <w:r>
        <w:rPr>
          <w:sz w:val="18"/>
        </w:rPr>
        <w:t>☐ Screen traceability updated if usage changes.</w:t>
      </w:r>
    </w:p>
    <w:p>
      <w:pPr>
        <w:pStyle w:val="ListBullet"/>
        <w:spacing w:after="0" w:line="240" w:lineRule="auto"/>
      </w:pPr>
      <w:r>
        <w:rPr>
          <w:sz w:val="18"/>
        </w:rPr>
        <w:t>☐ Breaking API changes include migration notes.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CS-AML Component Inventory &amp; Storybook Implementation Specification v0.1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C416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85C8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85C8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416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