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285C8E"/>
          <w:sz w:val="40"/>
        </w:rPr>
        <w:t>CS-AML</w:t>
      </w:r>
    </w:p>
    <w:p>
      <w:pPr>
        <w:jc w:val="center"/>
      </w:pPr>
      <w:r>
        <w:rPr>
          <w:rFonts w:ascii="Aptos Display" w:hAnsi="Aptos Display"/>
          <w:b/>
          <w:color w:val="17324D"/>
          <w:sz w:val="54"/>
        </w:rPr>
        <w:t>Frontend Architecture &amp; State Management Specification</w:t>
      </w:r>
    </w:p>
    <w:p>
      <w:pPr>
        <w:jc w:val="center"/>
      </w:pPr>
      <w:r>
        <w:rPr>
          <w:color w:val="5B6874"/>
          <w:sz w:val="30"/>
        </w:rPr>
        <w:t>Version 0.1</w:t>
      </w:r>
    </w:p>
    <w:p>
      <w:pPr>
        <w:spacing w:after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85C8E"/>
                <w:sz w:val="21"/>
              </w:rPr>
              <w:t>Purpose</w:t>
              <w:br/>
            </w:r>
            <w:r>
              <w:rPr>
                <w:color w:val="16212B"/>
                <w:sz w:val="18"/>
              </w:rPr>
              <w:t>Normative frontend architecture baseline for the CS-AML MVP. It defines frontend module boundaries, routing, state ownership, server-state synchronization, form and visualization state, authorization-aware rendering, concurrency handling, error recovery, accessibility, testing and frontend delivery conventions.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EE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5B4B8A"/>
                <w:sz w:val="21"/>
              </w:rPr>
              <w:t>Core architecture axiom</w:t>
              <w:br/>
            </w:r>
            <w:r>
              <w:rPr>
                <w:color w:val="16212B"/>
                <w:sz w:val="18"/>
              </w:rPr>
              <w:t>Frontend state SHALL preserve canonical server truth, workflow versioning, permission boundaries and analytical uncertainty. The client SHALL NOT manufacture durable truth by promoting local, cached, inferred or visualization-only state into canonical state.</w:t>
            </w:r>
          </w:p>
        </w:tc>
      </w:tr>
    </w:tbl>
    <w:p>
      <w:pPr>
        <w:spacing w:after="40"/>
      </w:pPr>
    </w:p>
    <w:p>
      <w:pPr>
        <w:spacing w:after="900"/>
      </w:pPr>
    </w:p>
    <w:p>
      <w:pPr>
        <w:jc w:val="center"/>
      </w:pPr>
      <w:r>
        <w:rPr>
          <w:sz w:val="20"/>
        </w:rPr>
        <w:t>Status: Normative frontend implementation baseline for MVP 0.1</w:t>
      </w:r>
    </w:p>
    <w:p>
      <w:pPr>
        <w:jc w:val="center"/>
      </w:pPr>
      <w:r>
        <w:rPr>
          <w:sz w:val="18"/>
        </w:rPr>
        <w:t>Dependencies: SRS · Technical Stack · UX · IA · Screen Inventory · Wireframe · UI Design System · High-Fidelity UI · Storybook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92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Document ID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CSAML-FEARCH-0.1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Version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Status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Normative frontend architecture baseline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Primary audience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Frontend Engineer, UX Engineer, Tech Lead, QA, Security Reviewer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Reference stack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React 19 + TypeScript + Vite + Tailwind CSS 4 + shared Storybook design system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API assumption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Versioned REST API; canonical authorization and validation remain server-side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Normative verbs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SHALL / MUST / SHOULD / MAY</w:t>
            </w:r>
          </w:p>
        </w:tc>
      </w:tr>
    </w:tbl>
    <w:p>
      <w:pPr>
        <w:spacing w:after="40"/>
      </w:pPr>
    </w:p>
    <w:p>
      <w:pPr>
        <w:pStyle w:val="Heading1"/>
      </w:pPr>
      <w:r>
        <w:t>1. Scope and Non-Goals</w:t>
      </w:r>
    </w:p>
    <w:p>
      <w:r>
        <w:t>This specification defines the frontend application architecture for the CS-AML MVP. It translates the approved screen and component specifications into implementation boundaries and state-management rules. It does not define backend business logic, canonical data schemas, authorization policy decisions, or API endpoint payloads; those are owned by backend specifications and the separate API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518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Feature-module organization, routing, data fetching, cache ownership, local state, forms, optimistic updates, concurrency, error handling, authorization-aware UI, visualization state, testing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Database model, server-side policy engine, evidence storage implementation, backend transaction rules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Frontend adaptation of canonical analytical semantics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New analytical semantics not present in framework/data model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Client security behavior and non-leakage rules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Treating UI hiding as an authorization control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5D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8A5A00"/>
                <w:sz w:val="21"/>
              </w:rPr>
              <w:t>Security boundary</w:t>
              <w:br/>
            </w:r>
            <w:r>
              <w:rPr>
                <w:color w:val="16212B"/>
                <w:sz w:val="18"/>
              </w:rPr>
              <w:t>Hiding a control or object in the UI is a usability measure, not an authorization decision. Every protected read or mutation SHALL remain authorized and validated by the API.</w:t>
            </w:r>
          </w:p>
        </w:tc>
      </w:tr>
    </w:tbl>
    <w:p>
      <w:pPr>
        <w:spacing w:after="40"/>
      </w:pPr>
    </w:p>
    <w:p>
      <w:pPr>
        <w:pStyle w:val="Heading1"/>
      </w:pPr>
      <w:r>
        <w:t>2.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676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Server truth first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Canonical objects, permissions, versions, approvals and audit-relevant state originate from server responses.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FE-P02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State by ownership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Server state, form state, navigation state, workflow state, visualization state and ephemeral UI state SHALL have distinct owners.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FE-P03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URL is durable navigation state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Object IDs, case context, active tabs, filters and shareable search context SHOULD live in URL state where safe.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FE-P04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monolithic global store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 single application-wide mutable store SHALL NOT become the default home for all state.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FE-P05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Permission-aware by construction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Components receive authorized data; restricted metadata SHALL not be cached or rendered merely because a route was guessed.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FE-P06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Version-aware editing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Editable canonical resources SHALL detect stale versions and prevent silent overwrite.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FE-P07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Derived views stay derived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Graph layouts, timeline positions and view filters SHALL NOT silently mutate canonical relationships, events or value flows.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FE-P08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Uncertainty preserved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Claim, fact, candidate, disputed, unknown and flow-class semantics persist through cache, form, visualization and export preview.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FE-P09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Recover locally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Component/feature failures SHOULD degrade locally before forcing a whole-app failure.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FE-P10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Accessible state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State changes, validation, loading and errors are exposed to keyboard and assistive technology.</w:t>
            </w:r>
          </w:p>
        </w:tc>
      </w:tr>
    </w:tbl>
    <w:p>
      <w:pPr>
        <w:spacing w:after="40"/>
      </w:pPr>
    </w:p>
    <w:p>
      <w:pPr>
        <w:pStyle w:val="Heading1"/>
      </w:pPr>
      <w:r>
        <w:t>3. Reference Frontend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316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547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Runtime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React 19 + TypeScript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Strict TypeScript SHALL be enabled; `any` is exceptional and justified.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Build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Vite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Environment variables exposed to browser are explicitly allowlisted.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Styling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Tailwind CSS 4 + semantic CSS variables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code consumes semantic tokens; raw status colors are prohibited where tokens exist.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Routing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React Router or equivalent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Routes use stable canonical IDs; case context is explicit.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Server state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TanStack Query or equivalent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Remote cache, invalidation, deduplication and mutation lifecycle are centralized here.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Forms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React Hook Form + schema validation or equivalent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Form state stays local to form boundary; server validation is mapped back to fields.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Schema types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Generated/OpenAPI-derived TypeScript types where feasible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Handwritten duplicate DTO types SHOULD be minimized.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Visualization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Cytoscape.js + approved timeline/value-flow primitives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Visualization state remains non-canonical.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Storybook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Storybook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Shared components and compound patterns require stories/test coverage.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Tests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Vitest/Jest + Testing Library + Playwright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Behavior first; implementation-detail tests discouraged.</w:t>
            </w:r>
          </w:p>
        </w:tc>
      </w:tr>
    </w:tbl>
    <w:p>
      <w:pPr>
        <w:spacing w:after="40"/>
      </w:pPr>
    </w:p>
    <w:p>
      <w:pPr>
        <w:pStyle w:val="Heading1"/>
      </w:pPr>
      <w:r>
        <w:t>4. Application Module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16212B"/>
                <w:sz w:val="17"/>
              </w:rPr>
              <w:t>frontend/</w:t>
              <w:br/>
              <w:t xml:space="preserve">  src/</w:t>
              <w:br/>
              <w:t xml:space="preserve">    app/</w:t>
              <w:br/>
              <w:t xml:space="preserve">      router/</w:t>
              <w:br/>
              <w:t xml:space="preserve">      providers/</w:t>
              <w:br/>
              <w:t xml:space="preserve">      error-boundaries/</w:t>
              <w:br/>
              <w:t xml:space="preserve">    features/</w:t>
              <w:br/>
              <w:t xml:space="preserve">      cases/</w:t>
              <w:br/>
              <w:t xml:space="preserve">      evidence/</w:t>
              <w:br/>
              <w:t xml:space="preserve">      entities/</w:t>
              <w:br/>
              <w:t xml:space="preserve">      relationships/</w:t>
              <w:br/>
              <w:t xml:space="preserve">      assets/</w:t>
              <w:br/>
              <w:t xml:space="preserve">      timeline/</w:t>
              <w:br/>
              <w:t xml:space="preserve">      valueflows/</w:t>
              <w:br/>
              <w:t xml:space="preserve">      typologies/</w:t>
              <w:br/>
              <w:t xml:space="preserve">      hypotheses/</w:t>
              <w:br/>
              <w:t xml:space="preserve">      assessments/</w:t>
              <w:br/>
              <w:t xml:space="preserve">      search/</w:t>
              <w:br/>
              <w:t xml:space="preserve">      graph/</w:t>
              <w:br/>
              <w:t xml:space="preserve">      products/</w:t>
              <w:br/>
              <w:t xml:space="preserve">      reviews/</w:t>
              <w:br/>
              <w:t xml:space="preserve">      dissemination/</w:t>
              <w:br/>
              <w:t xml:space="preserve">      administration/</w:t>
              <w:br/>
              <w:t xml:space="preserve">      audit/</w:t>
              <w:br/>
              <w:t xml:space="preserve">    shared/</w:t>
              <w:br/>
              <w:t xml:space="preserve">      api/</w:t>
              <w:br/>
              <w:t xml:space="preserve">      auth/</w:t>
              <w:br/>
              <w:t xml:space="preserve">      components/</w:t>
              <w:br/>
              <w:t xml:space="preserve">      design-system/</w:t>
              <w:br/>
              <w:t xml:space="preserve">      hooks/</w:t>
              <w:br/>
              <w:t xml:space="preserve">      types/</w:t>
              <w:br/>
              <w:t xml:space="preserve">      utils/</w:t>
              <w:br/>
              <w:t xml:space="preserve">    test/</w:t>
              <w:br/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03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May depend on</w:t>
            </w:r>
          </w:p>
        </w:tc>
        <w:tc>
          <w:tcPr>
            <w:tcW w:type="dxa" w:w="446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SHALL NOT depend on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app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features, shared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internals via deep imports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shared, explicitly published contracts from another feature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Another feature’s private components/store internals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shared API/auth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generic infrastructure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UI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design-system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tokens, generic utilities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Case/entity/business-specific behavior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screen composition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public components, design system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Backend implementation details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85C8E"/>
                <w:sz w:val="21"/>
              </w:rPr>
              <w:t>Boundary rule</w:t>
              <w:br/>
            </w:r>
            <w:r>
              <w:rPr>
                <w:color w:val="16212B"/>
                <w:sz w:val="18"/>
              </w:rPr>
              <w:t>Cross-feature imports SHOULD use explicit public barrels/contracts. If two features repeatedly depend on the same domain presentation primitive, promote that primitive deliberately rather than creating circular imports.</w:t>
            </w:r>
          </w:p>
        </w:tc>
      </w:tr>
    </w:tbl>
    <w:p>
      <w:pPr>
        <w:spacing w:after="40"/>
      </w:pPr>
    </w:p>
    <w:p>
      <w:pPr>
        <w:pStyle w:val="Heading1"/>
      </w:pPr>
      <w:r>
        <w:t>5. Routing and Navigation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16212B"/>
                <w:sz w:val="17"/>
              </w:rPr>
              <w:t>/cases</w:t>
              <w:br/>
              <w:t>/cases/:caseId/overview</w:t>
              <w:br/>
              <w:t>/cases/:caseId/evidence/:evidenceId</w:t>
              <w:br/>
              <w:t>/entities/:entityId?case=:caseId</w:t>
              <w:br/>
              <w:t>/analysis/value-flows?case=:caseId</w:t>
              <w:br/>
              <w:t>/products/:productId/review</w:t>
              <w:br/>
              <w:t>/search?q=...&amp;type=entity&amp;case=...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2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58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URL?</w:t>
            </w:r>
          </w:p>
        </w:tc>
        <w:tc>
          <w:tcPr>
            <w:tcW w:type="dxa" w:w="604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Canonical object ID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YES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Deep-linkable identity.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Case context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YES where relevant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Same entity may be opened inside different authorized case contexts.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Primary tab/section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YES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Back/forward navigation and shareable context.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Search query/facets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YES unless sensitive query policy forbids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Reproducibility and navigation.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Inspector open/closed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Usually NO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Ephemeral view state.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Unsaved form values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Sensitive local state; do not leak into history/URL.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Graph viewport coordinates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Usually NO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Derived visualization state; MAY persist as named saved view later.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Protected-source identifiers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in ordinary route/query strings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Avoid browser history/log leakage.</w:t>
            </w:r>
          </w:p>
        </w:tc>
      </w:tr>
    </w:tbl>
    <w:p>
      <w:pPr>
        <w:spacing w:after="40"/>
      </w:pPr>
    </w:p>
    <w:p>
      <w:pPr>
        <w:pStyle w:val="Heading1"/>
      </w:pPr>
      <w:r>
        <w:t>6. State Taxonomy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State class</w:t>
            </w:r>
          </w:p>
        </w:tc>
        <w:tc>
          <w:tcPr>
            <w:tcW w:type="dxa" w:w="388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73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16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Persistence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Server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Case, entity, evidence metadata, assessment version, review status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Query/cache layer backed by API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Remote canonical; client cache ephemeral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Form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Unsaved charter fields, hypothesis edit, relationship editor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Form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Memory; optional safe draft policy only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Navigation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Route, case context, active tab, filters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Router/URL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Browser 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Workflow UI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Wizard step, review panel state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Feature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Memory; derive from server when material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Visualization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Selected graph nodes, zoom, hidden layers, timeline scale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Visualization controller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Memory; optional saved view, never canonical relationship truth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Ephemeral UI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Modal open, tooltip, toast, drawer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Local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Memory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Session/auth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Authenticated principal, session expiry, coarse capabilities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Auth provider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Memory + IdP/session cookie/token model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Preference state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Density, reduced motion, column visibility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Preference service/local storage if approved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6"/>
              </w:rPr>
              <w:t>Local or server preference; no sensitive case content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A13333"/>
                <w:sz w:val="21"/>
              </w:rPr>
              <w:t>Hard rule</w:t>
              <w:br/>
            </w:r>
            <w:r>
              <w:rPr>
                <w:color w:val="16212B"/>
                <w:sz w:val="18"/>
              </w:rPr>
              <w:t>Canonical server state SHALL NOT be copied into a global mutable store merely to make it easy to access. Use normalized/query cache access and feature selectors instead. Duplicate copies create version drift and authorization leakage risk.</w:t>
            </w:r>
          </w:p>
        </w:tc>
      </w:tr>
    </w:tbl>
    <w:p>
      <w:pPr>
        <w:spacing w:after="40"/>
      </w:pPr>
    </w:p>
    <w:p>
      <w:pPr>
        <w:pStyle w:val="Heading1"/>
      </w:pPr>
      <w:r>
        <w:t>7. Server-State Management</w:t>
      </w:r>
    </w:p>
    <w:p>
      <w:pPr>
        <w:pStyle w:val="ListBullet"/>
        <w:spacing w:after="40"/>
      </w:pPr>
      <w:r>
        <w:t>Every query key SHALL include all dimensions that materially change authorization or representation, including canonical object ID, case context where relevant, and relevant filters.</w:t>
      </w:r>
    </w:p>
    <w:p>
      <w:pPr>
        <w:pStyle w:val="ListBullet"/>
        <w:spacing w:after="40"/>
      </w:pPr>
      <w:r>
        <w:t>Cache entries SHALL be invalidated or updated after successful canonical mutations according to explicit mutation contracts.</w:t>
      </w:r>
    </w:p>
    <w:p>
      <w:pPr>
        <w:pStyle w:val="ListBullet"/>
        <w:spacing w:after="40"/>
      </w:pPr>
      <w:r>
        <w:t>Unauthorized/forbidden responses SHALL not be cached as if they were ordinary empty data.</w:t>
      </w:r>
    </w:p>
    <w:p>
      <w:pPr>
        <w:pStyle w:val="ListBullet"/>
        <w:spacing w:after="40"/>
      </w:pPr>
      <w:r>
        <w:t>Query retries SHOULD be disabled or limited for 401/403/404 non-disclosing authorization outcomes.</w:t>
      </w:r>
    </w:p>
    <w:p>
      <w:pPr>
        <w:pStyle w:val="ListBullet"/>
        <w:spacing w:after="40"/>
      </w:pPr>
      <w:r>
        <w:t>Background refetch MAY refresh read screens; editable screens require version-aware reconciliation before replacing user-visible data.</w:t>
      </w:r>
    </w:p>
    <w:p>
      <w:pPr>
        <w:pStyle w:val="ListBullet"/>
        <w:spacing w:after="40"/>
      </w:pPr>
      <w:r>
        <w:t>Prefetch MAY be used for ordinary objects but SHALL NOT prefetch protected-source identity or highly restricted content without an explicit authorized task.</w:t>
      </w:r>
    </w:p>
    <w:p>
      <w:pPr>
        <w:pStyle w:val="ListBullet"/>
        <w:spacing w:after="40"/>
      </w:pPr>
      <w:r>
        <w:t>Client caches SHALL be cleared on logout/session revocation and SHOULD be scoped to the authenticated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Query example</w:t>
            </w:r>
          </w:p>
        </w:tc>
        <w:tc>
          <w:tcPr>
            <w:tcW w:type="dxa" w:w="705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Key shape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Case overview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["case", caseId, "overview"]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Entity detail in case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["entity", entityId, {caseId}]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Evidence reader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["evidence", evidenceId, {caseId, version}]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Search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["search", {q,type,caseId,filters,page}]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Review product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8"/>
              </w:rPr>
              <w:t>["product", productId, {version, mode:"review"}]</w:t>
            </w:r>
          </w:p>
        </w:tc>
      </w:tr>
    </w:tbl>
    <w:p>
      <w:pPr>
        <w:spacing w:after="40"/>
      </w:pPr>
    </w:p>
    <w:p>
      <w:pPr>
        <w:pStyle w:val="Heading1"/>
      </w:pPr>
      <w:r>
        <w:t>8. Mutation and Concurrency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Mutation type</w:t>
            </w:r>
          </w:p>
        </w:tc>
        <w:tc>
          <w:tcPr>
            <w:tcW w:type="dxa" w:w="172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Optimistic?</w:t>
            </w:r>
          </w:p>
        </w:tc>
        <w:tc>
          <w:tcPr>
            <w:tcW w:type="dxa" w:w="576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Low-impact preference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YES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May update locally and rollback on failure.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Task status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Conditional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Only if authorization and version conflicts are simple; failure visibly rolls back.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Entity merge/unmerge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High-impact/reversible canonical action; wait for server result.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 metadata affecting provenance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Server validates integrity/version.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Assessment finalization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Requires server gate/version validation.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Review approval/rejection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High-impact decision and independence checks.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Dissemination approval/export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Server authorization/audit must succeed first.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Graph selection/layout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Local only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Not a canonical mutation.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5D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8A5A00"/>
                <w:sz w:val="21"/>
              </w:rPr>
              <w:t>Concurrency contract</w:t>
              <w:br/>
            </w:r>
            <w:r>
              <w:rPr>
                <w:color w:val="16212B"/>
                <w:sz w:val="18"/>
              </w:rPr>
              <w:t>Editable canonical resources SHOULD use an explicit version token (for example record_version/ETag). On conflict, the frontend SHALL present stale-version recovery and SHALL NOT silently overwrite the newer server version.</w:t>
            </w:r>
          </w:p>
        </w:tc>
      </w:tr>
    </w:tbl>
    <w:p>
      <w:pPr>
        <w:spacing w:after="40"/>
      </w:pPr>
    </w:p>
    <w:p>
      <w:pPr>
        <w:pStyle w:val="Heading1"/>
      </w:pPr>
      <w:r>
        <w:t>9. Form Architecture</w:t>
      </w:r>
    </w:p>
    <w:p>
      <w:pPr>
        <w:pStyle w:val="ListBullet"/>
        <w:spacing w:after="40"/>
      </w:pPr>
      <w:r>
        <w:t>Forms SHALL use client-side schema validation for immediate feedback and server-side validation as authority.</w:t>
      </w:r>
    </w:p>
    <w:p>
      <w:pPr>
        <w:pStyle w:val="ListBullet"/>
        <w:spacing w:after="40"/>
      </w:pPr>
      <w:r>
        <w:t>Unknown, null, approximate and zero SHALL remain distinct values where the domain model distinguishes them.</w:t>
      </w:r>
    </w:p>
    <w:p>
      <w:pPr>
        <w:pStyle w:val="ListBullet"/>
        <w:spacing w:after="40"/>
      </w:pPr>
      <w:r>
        <w:t>Unsaved changes SHALL trigger safe-navigation protection for material forms.</w:t>
      </w:r>
    </w:p>
    <w:p>
      <w:pPr>
        <w:pStyle w:val="ListBullet"/>
        <w:spacing w:after="40"/>
      </w:pPr>
      <w:r>
        <w:t>Form submission SHALL preserve field-level server errors and non-field errors.</w:t>
      </w:r>
    </w:p>
    <w:p>
      <w:pPr>
        <w:pStyle w:val="ListBullet"/>
        <w:spacing w:after="40"/>
      </w:pPr>
      <w:r>
        <w:t>High-impact forms SHALL include explicit review summary before final action where defined by UX.</w:t>
      </w:r>
    </w:p>
    <w:p>
      <w:pPr>
        <w:pStyle w:val="ListBullet"/>
        <w:spacing w:after="40"/>
      </w:pPr>
      <w:r>
        <w:t>Dynamic controlled-vocabulary fields SHALL retain term IDs and display labels; labels alone are not canonical values.</w:t>
      </w:r>
    </w:p>
    <w:p>
      <w:pPr>
        <w:pStyle w:val="ListBullet"/>
        <w:spacing w:after="40"/>
      </w:pPr>
      <w:r>
        <w:t>Protected-source identity SHALL not be auto-filled into ordinary evidence or export 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Form family</w:t>
            </w:r>
          </w:p>
        </w:tc>
        <w:tc>
          <w:tcPr>
            <w:tcW w:type="dxa" w:w="734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Draft behavior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Case/charter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Local unsaved state; server version after save.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 upload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Upload session state; failed upload does not create completed evidence.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Entity/relationship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Local edit; canonical mutation on save.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Hypothesis/assessment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Local edit + optional explicit server draft version; no invisible autosave that changes audit-relevant content.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Product editor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Versioned draft; autosave MAY be used if server-side version/audit semantics are explicit.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Review/dissemination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optimistic finalization; server response authoritative.</w:t>
            </w:r>
          </w:p>
        </w:tc>
      </w:tr>
    </w:tbl>
    <w:p>
      <w:pPr>
        <w:spacing w:after="40"/>
      </w:pPr>
    </w:p>
    <w:p>
      <w:pPr>
        <w:pStyle w:val="Heading1"/>
      </w:pPr>
      <w:r>
        <w:t>10. Authorization-Aware Rendering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763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Capability check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UI MAY use server-provided capabilities to show/disable actions.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Object access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component SHALL infer access solely from role name; object/case policy matters.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Non-disclosing denial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 404/403 policy response SHALL map to the approved non-leaking system state.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Protected source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Protected-source identity components SHALL exist in separately permissioned feature boundary and SHALL not be imported into ordinary evidence screens.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Export preview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Only server-authorized export candidates are rendered as selectable.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Counts/facets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Counts returned by API are treated as already permission-filtered; frontend SHALL not reconstruct hidden totals.</w:t>
            </w:r>
          </w:p>
        </w:tc>
      </w:tr>
    </w:tbl>
    <w:p>
      <w:pPr>
        <w:spacing w:after="40"/>
      </w:pPr>
    </w:p>
    <w:p>
      <w:pPr>
        <w:pStyle w:val="Heading1"/>
      </w:pPr>
      <w:r>
        <w:t>11. Error and Recovery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Failure class</w:t>
            </w:r>
          </w:p>
        </w:tc>
        <w:tc>
          <w:tcPr>
            <w:tcW w:type="dxa" w:w="763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UI behavior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Network/transient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Local retry with clear status; preserve safe unsaved state where feasible.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Authentication expired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Suspend protected work, re-authenticate; do not discard local form without warning where secure recovery is possible.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Authorization changed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Remove restricted cached content and transition to non-disclosing access state.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Validation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Field/non-field errors near source; no generic toast-only failure.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Concurrency conflict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Open compare/reload/resolve flow; never auto-force overwrite.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Integrity warning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Blocking error treatment for evidence integrity issue.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Partial feature failure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Local error boundary keeps surrounding case workspace usable.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Fatal application failure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Global recovery boundary with correlation ID; no sensitive payload in error display/log.</w:t>
            </w:r>
          </w:p>
        </w:tc>
      </w:tr>
    </w:tbl>
    <w:p>
      <w:pPr>
        <w:spacing w:after="40"/>
      </w:pPr>
    </w:p>
    <w:p>
      <w:pPr>
        <w:pStyle w:val="Heading1"/>
      </w:pPr>
      <w:r>
        <w:t>12. Visualization 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446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Canonical state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Frontend-only state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Graph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Entity/Relationship/Asset/ValueFlow objects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node positions, selection, zoom, hidden edge classes, inspector state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Timeline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Event records and temporal precision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scale, viewport, filters, expanded cards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Value Flow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ValueFlow/legs/class/evidence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canvas layout, selected leg, comparison overlays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Hypothesis matrix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Hypothesis/evidence link disposition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sorting, collapsed rows, temporary filter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 reader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Evidence/Extract objects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page viewport, zoom, transient selection before extract save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EE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5B4B8A"/>
                <w:sz w:val="21"/>
              </w:rPr>
              <w:t>Derived-state rule</w:t>
              <w:br/>
            </w:r>
            <w:r>
              <w:rPr>
                <w:color w:val="16212B"/>
                <w:sz w:val="18"/>
              </w:rPr>
              <w:t>Layout algorithms, centrality calculations, path highlighting and client-side clustering MAY assist navigation, but SHALL remain visibly derived and SHALL NOT create canonical relationships, risk labels or adverse assessment state.</w:t>
            </w:r>
          </w:p>
        </w:tc>
      </w:tr>
    </w:tbl>
    <w:p>
      <w:pPr>
        <w:spacing w:after="40"/>
      </w:pPr>
    </w:p>
    <w:p>
      <w:pPr>
        <w:pStyle w:val="Heading1"/>
      </w:pPr>
      <w:r>
        <w:t>13. Search and Filter State</w:t>
      </w:r>
    </w:p>
    <w:p>
      <w:pPr>
        <w:pStyle w:val="ListBullet"/>
        <w:spacing w:after="40"/>
      </w:pPr>
      <w:r>
        <w:t>Global search query and approved facets SHOULD be URL-addressable.</w:t>
      </w:r>
    </w:p>
    <w:p>
      <w:pPr>
        <w:pStyle w:val="ListBullet"/>
        <w:spacing w:after="40"/>
      </w:pPr>
      <w:r>
        <w:t>Facet counts are server-provided permission-filtered values.</w:t>
      </w:r>
    </w:p>
    <w:p>
      <w:pPr>
        <w:pStyle w:val="ListBullet"/>
        <w:spacing w:after="40"/>
      </w:pPr>
      <w:r>
        <w:t>Debounced queries SHALL be cancellable to avoid displaying stale results after a newer query completes.</w:t>
      </w:r>
    </w:p>
    <w:p>
      <w:pPr>
        <w:pStyle w:val="ListBullet"/>
        <w:spacing w:after="40"/>
      </w:pPr>
      <w:r>
        <w:t>Sensitive query strings MAY require history/logging safeguards; protected-source identity SHALL not be exposed through ordinary global search.</w:t>
      </w:r>
    </w:p>
    <w:p>
      <w:pPr>
        <w:pStyle w:val="ListBullet"/>
        <w:spacing w:after="40"/>
      </w:pPr>
      <w:r>
        <w:t>Search results SHALL display canonical object type/status and context without manufacturing analytical priority from ranking position.</w:t>
      </w:r>
    </w:p>
    <w:p>
      <w:pPr>
        <w:pStyle w:val="Heading1"/>
      </w:pPr>
      <w:r>
        <w:t>14. Session, Authentication and Logout</w:t>
      </w:r>
    </w:p>
    <w:p>
      <w:pPr>
        <w:pStyle w:val="ListBullet"/>
        <w:spacing w:after="40"/>
      </w:pPr>
      <w:r>
        <w:t>Frontend SHALL use standards-based OIDC session integration and SHALL not store long-lived secrets in application code.</w:t>
      </w:r>
    </w:p>
    <w:p>
      <w:pPr>
        <w:pStyle w:val="ListBullet"/>
        <w:spacing w:after="40"/>
      </w:pPr>
      <w:r>
        <w:t>On logout, user switch or confirmed session revocation, query caches and sensitive in-memory state SHALL be cleared.</w:t>
      </w:r>
    </w:p>
    <w:p>
      <w:pPr>
        <w:pStyle w:val="ListBullet"/>
        <w:spacing w:after="40"/>
      </w:pPr>
      <w:r>
        <w:t>Idle/session expiry behavior SHALL provide clear re-authentication path.</w:t>
      </w:r>
    </w:p>
    <w:p>
      <w:pPr>
        <w:pStyle w:val="ListBullet"/>
        <w:spacing w:after="40"/>
      </w:pPr>
      <w:r>
        <w:t>Browser storage SHALL not contain raw evidence content, protected-source identity or durable access tokens unless the security architecture explicitly approves the mechanism.</w:t>
      </w:r>
    </w:p>
    <w:p>
      <w:pPr>
        <w:pStyle w:val="ListBullet"/>
        <w:spacing w:after="40"/>
      </w:pPr>
      <w:r>
        <w:t>Multi-tab session expiry SHOULD converge safely without preserving stale privileged UI.</w:t>
      </w:r>
    </w:p>
    <w:p>
      <w:pPr>
        <w:pStyle w:val="Heading1"/>
      </w:pPr>
      <w:r>
        <w:t>15. Component and Feature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03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417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State rule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Design system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Button, DataGrid, Badge, ClassificationBanner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business fetching; presentational/interaction state only.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Domain shared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EvidenceCitation, ProvenanceTrail, FlowClassBadge, EntityBlock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Receives typed domain props; no screen-specific navigation assumptions.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component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EntityMatchCompare, HypothesisMatrix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May own feature queries/mutations and local feature state.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Screen container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SCR-ENT-005, SCR-HYP-001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Coordinates route context, feature components, error/loading states.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App shell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Header, primary nav, session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Owns global navigation/session only.</w:t>
            </w:r>
          </w:p>
        </w:tc>
      </w:tr>
    </w:tbl>
    <w:p>
      <w:pPr>
        <w:spacing w:after="40"/>
      </w:pPr>
    </w:p>
    <w:p>
      <w:pPr>
        <w:pStyle w:val="Heading1"/>
      </w:pPr>
      <w:r>
        <w:t>16. Performance and Rendering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763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Route splitting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routes SHOULD be code-split to reduce initial bundle.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Large tables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Use pagination/virtualization where measured data volume requires it; virtualization SHALL preserve keyboard/accessibility.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Graph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Progressive rendering and node limits SHOULD be explicit; large graph failure SHALL degrade to list/filter tools.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 reader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Stream/page-render rather than loading huge files wholly into memory where possible.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Search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Cancel stale requests; cache recent authorized queries briefly.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Re-render control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Memoization SHOULD follow measured cost, not blanket use.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Bundle budget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Critical route bundles SHOULD be monitored in CI with agreed thresholds.</w:t>
            </w:r>
          </w:p>
        </w:tc>
      </w:tr>
    </w:tbl>
    <w:p>
      <w:pPr>
        <w:spacing w:after="40"/>
      </w:pPr>
    </w:p>
    <w:p>
      <w:pPr>
        <w:pStyle w:val="Heading1"/>
      </w:pPr>
      <w:r>
        <w:t>17. Accessibility Architecture</w:t>
      </w:r>
    </w:p>
    <w:p>
      <w:pPr>
        <w:pStyle w:val="ListBullet"/>
        <w:spacing w:after="40"/>
      </w:pPr>
      <w:r>
        <w:t>Route changes SHALL move focus/announce context appropriately.</w:t>
      </w:r>
    </w:p>
    <w:p>
      <w:pPr>
        <w:pStyle w:val="ListBullet"/>
        <w:spacing w:after="40"/>
      </w:pPr>
      <w:r>
        <w:t>Loading, error, save success and validation states SHALL be programmatically perceivable.</w:t>
      </w:r>
    </w:p>
    <w:p>
      <w:pPr>
        <w:pStyle w:val="ListBullet"/>
        <w:spacing w:after="40"/>
      </w:pPr>
      <w:r>
        <w:t>Graph/timeline/value-flow views SHALL have an accessible list/table alternative that references the same canonical objects.</w:t>
      </w:r>
    </w:p>
    <w:p>
      <w:pPr>
        <w:pStyle w:val="ListBullet"/>
        <w:spacing w:after="40"/>
      </w:pPr>
      <w:r>
        <w:t>Keyboard focus SHALL remain recoverable after modal/drawer close and after dynamic mutations.</w:t>
      </w:r>
    </w:p>
    <w:p>
      <w:pPr>
        <w:pStyle w:val="ListBullet"/>
        <w:spacing w:after="40"/>
      </w:pPr>
      <w:r>
        <w:t>Reduced-motion preference SHALL apply to graph transitions and other animations.</w:t>
      </w:r>
    </w:p>
    <w:p>
      <w:pPr>
        <w:pStyle w:val="ListBullet"/>
        <w:spacing w:after="40"/>
      </w:pPr>
      <w:r>
        <w:t>Virtualized tables SHALL retain semantics and keyboard navigation.</w:t>
      </w:r>
    </w:p>
    <w:p>
      <w:pPr>
        <w:pStyle w:val="Heading1"/>
      </w:pPr>
      <w:r>
        <w:t>18. Frontend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64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FE-SEC-01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authorization decision relies solely on hidden/disabled UI.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FE-SEC-02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Sensitive API errors SHALL be rendered using non-disclosing approved states.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FE-SEC-03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raw evidence/protected-source content in analytics, telemetry breadcrumbs or routine console logs.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FE-SEC-04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External links from evidence SHOULD use safe rel/referrer behavior according to policy.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FE-SEC-05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HTML/markdown/user content SHALL be safely rendered; no unsanitized injection.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FE-SEC-06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File previews SHALL be sandboxed/isolated as appropriate and not execute active content.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FE-SEC-07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Browser storage use for case-sensitive state requires explicit security review.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FE-SEC-08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Logout/user switch clears sensitive caches and feature state.</w:t>
            </w:r>
          </w:p>
        </w:tc>
      </w:tr>
    </w:tbl>
    <w:p>
      <w:pPr>
        <w:spacing w:after="40"/>
      </w:pPr>
    </w:p>
    <w:p>
      <w:pPr>
        <w:pStyle w:val="Heading1"/>
      </w:pPr>
      <w:r>
        <w:t>19.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92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Minimum tests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Design-system component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Storybook stories + interaction + accessibility + visual regression.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component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Behavior, permission variants, loading/error, domain-state semantics.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Data hooks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Query keys, invalidation, mutation error mapping, conflict handling.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Route/screen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Critical happy path + permission denied + stale version + responsive smoke.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End-to-end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Case → evidence → entity → value flow → hypothesis → assessment → review → dissemination.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Security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Direct route guesses, cached-data logout, hidden-action API bypass expectation, non-leaking denied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Accessibility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Keyboard, focus, announcements, graph/list alternatives.</w:t>
            </w:r>
          </w:p>
        </w:tc>
      </w:tr>
    </w:tbl>
    <w:p>
      <w:pPr>
        <w:spacing w:after="40"/>
      </w:pPr>
    </w:p>
    <w:p>
      <w:pPr>
        <w:pStyle w:val="Heading1"/>
      </w:pPr>
      <w:r>
        <w:t>20. Observability and Telemetry</w:t>
      </w:r>
    </w:p>
    <w:p>
      <w:pPr>
        <w:pStyle w:val="ListBullet"/>
        <w:spacing w:after="40"/>
      </w:pPr>
      <w:r>
        <w:t>Frontend errors SHOULD carry correlation/request IDs when provided by API.</w:t>
      </w:r>
    </w:p>
    <w:p>
      <w:pPr>
        <w:pStyle w:val="ListBullet"/>
        <w:spacing w:after="40"/>
      </w:pPr>
      <w:r>
        <w:t>Operational telemetry SHALL avoid case titles, evidence snippets, protected-source identities and free-text analytical content.</w:t>
      </w:r>
    </w:p>
    <w:p>
      <w:pPr>
        <w:pStyle w:val="ListBullet"/>
        <w:spacing w:after="40"/>
      </w:pPr>
      <w:r>
        <w:t>Performance metrics MAY include route load, API latency categories, rendering time and error rate using non-sensitive identifiers.</w:t>
      </w:r>
    </w:p>
    <w:p>
      <w:pPr>
        <w:pStyle w:val="ListBullet"/>
        <w:spacing w:after="40"/>
      </w:pPr>
      <w:r>
        <w:t>User analytics SHALL follow the privacy specification; no keystroke/session replay over sensitive investigation screens by default.</w:t>
      </w:r>
    </w:p>
    <w:p>
      <w:pPr>
        <w:pStyle w:val="Heading1"/>
      </w:pPr>
      <w:r>
        <w:t>21. Frontend Configuration and Feature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Config</w:t>
            </w:r>
          </w:p>
        </w:tc>
        <w:tc>
          <w:tcPr>
            <w:tcW w:type="dxa" w:w="748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API base URL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Build/deployment configuration; no hardcoded production URL.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OIDC config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Environment configuration, public client metadata only.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flags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Server/environment policy is authoritative for high-risk features; client flag alone cannot enable API capability.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Build metadata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Version/commit SHOULD be visible in diagnostics.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Experimental graph/AI features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Disabled by default unless approved deployment policy enables them.</w:t>
            </w:r>
          </w:p>
        </w:tc>
      </w:tr>
    </w:tbl>
    <w:p>
      <w:pPr>
        <w:spacing w:after="40"/>
      </w:pPr>
    </w:p>
    <w:p>
      <w:pPr>
        <w:pStyle w:val="Heading1"/>
      </w:pPr>
      <w:r>
        <w:t>22. Screen-to-Feature Ownership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59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Feature owner</w:t>
            </w:r>
          </w:p>
        </w:tc>
        <w:tc>
          <w:tcPr>
            <w:tcW w:type="dxa" w:w="5472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Primary state owners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SCR-CASE-003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cases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case server state; route caseId; local panel state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SCR-EVD-003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evidence server state; reader viewport; extract draft form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SCR-ENT-005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entities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candidate server state; compare UI state; merge mutation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SCR-VAL-001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valueflows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flow server state; filters in URL; canvas selection/layout local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SCR-HYP-001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hypotheses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hypothesis server state; matrix filters local; edits form state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SCR-REV-002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reviews/products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product version server state; comment form; approval mutation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SCR-DIS-002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dissemination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authorized export candidates server state; selection form; export mutation</w:t>
            </w:r>
          </w:p>
        </w:tc>
      </w:tr>
    </w:tbl>
    <w:p>
      <w:pPr>
        <w:spacing w:after="40"/>
      </w:pPr>
    </w:p>
    <w:p>
      <w:pPr>
        <w:pStyle w:val="Heading1"/>
      </w:pPr>
      <w:r>
        <w:t>23. Frontend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Done when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Architecture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 is in correct module and does not create circular/private cross-feature dependencies.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State ownership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Remote, form, route, visualization and ephemeral state have explicit owners.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Authorization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Denied/changed permissions are handled without data leakage; server remains authoritative.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Concurrency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Editable canonical records handle stale versions safely.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UI semantics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Shared design-system/domain components preserve uncertainty/provenance semantics.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Accessibility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Keyboard, focus and state announcements verified.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Tests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Unit/integration/screen/E2E coverage appropriate to risk; Storybook coverage for shared components.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Security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Sensitive content absent from logs/storage/telemetry beyond approved mechanisms.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Performance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Critical route/render performance meets MVP thresholds.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Traceability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Screen IDs and SRS/feature references included in implementation issue/test metadata where practical.</w:t>
            </w:r>
          </w:p>
        </w:tc>
      </w:tr>
    </w:tbl>
    <w:p>
      <w:pPr>
        <w:spacing w:after="40"/>
      </w:pPr>
    </w:p>
    <w:p>
      <w:pPr>
        <w:pStyle w:val="Heading1"/>
      </w:pPr>
      <w:r>
        <w:t>24. Architecture Decision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8064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FE-ADR-001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Feature-oriented modular React application; no page-folder monolith.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FE-ADR-002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TanStack Query-equivalent owns server state; no duplicate global canonical store.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FE-ADR-003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Form library owns unsaved form state; durable draft requires explicit server object.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FE-ADR-004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React Router-equivalent owns shareable navigation/filter context.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FE-ADR-005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Visualization controllers own layout/selection; graph layout is not canonical truth.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FE-ADR-006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Shared component package/design system before feature-local duplicates.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FE-ADR-007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Version-aware mutations for canonical editable objects.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FE-ADR-008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16212B"/>
                <w:sz w:val="17"/>
              </w:rPr>
              <w:t>No offline-first evidence cache in MVP.</w:t>
            </w:r>
          </w:p>
        </w:tc>
      </w:tr>
    </w:tbl>
    <w:p>
      <w:pPr>
        <w:spacing w:after="40"/>
      </w:pPr>
    </w:p>
    <w:p>
      <w:pPr>
        <w:pStyle w:val="Heading1"/>
      </w:pPr>
      <w:r>
        <w:t>Annex A — State Ownership 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16212B"/>
                <w:sz w:val="17"/>
              </w:rPr>
              <w:t>Is the value canonical or returned by API?</w:t>
              <w:br/>
              <w:t xml:space="preserve">  YES → Server/query state.</w:t>
              <w:br/>
              <w:t xml:space="preserve">  NO → Is it an unsaved user edit?</w:t>
              <w:br/>
              <w:t xml:space="preserve">    YES → Form state.</w:t>
              <w:br/>
              <w:t xml:space="preserve">    NO → Must it survive/share via URL/back button?</w:t>
              <w:br/>
              <w:t xml:space="preserve">      YES → Router/URL state.</w:t>
              <w:br/>
              <w:t xml:space="preserve">      NO → Is it visualization-only (selection/layout/zoom)?</w:t>
              <w:br/>
              <w:t xml:space="preserve">        YES → Visualization controller state.</w:t>
              <w:br/>
              <w:t xml:space="preserve">        NO → Is it transient UI chrome?</w:t>
              <w:br/>
              <w:t xml:space="preserve">          YES → Local component state.</w:t>
              <w:br/>
              <w:t xml:space="preserve">          NO → Define explicit feature ownership; do not default to global store.</w:t>
            </w:r>
          </w:p>
        </w:tc>
      </w:tr>
    </w:tbl>
    <w:p>
      <w:pPr>
        <w:spacing w:after="40"/>
      </w:pPr>
    </w:p>
    <w:p>
      <w:pPr>
        <w:pStyle w:val="Heading1"/>
      </w:pPr>
      <w:r>
        <w:t>Annex B — Frontend Review Checklist</w:t>
      </w:r>
    </w:p>
    <w:p>
      <w:pPr>
        <w:pStyle w:val="ListBullet"/>
        <w:spacing w:after="40"/>
      </w:pPr>
      <w:r>
        <w:t>No canonical object copied into unversioned global mutable state.</w:t>
      </w:r>
    </w:p>
    <w:p>
      <w:pPr>
        <w:pStyle w:val="ListBullet"/>
        <w:spacing w:after="40"/>
      </w:pPr>
      <w:r>
        <w:t>Query key includes relevant case/context dimensions.</w:t>
      </w:r>
    </w:p>
    <w:p>
      <w:pPr>
        <w:pStyle w:val="ListBullet"/>
        <w:spacing w:after="40"/>
      </w:pPr>
      <w:r>
        <w:t>Logout/user switch clears sensitive caches.</w:t>
      </w:r>
    </w:p>
    <w:p>
      <w:pPr>
        <w:pStyle w:val="ListBullet"/>
        <w:spacing w:after="40"/>
      </w:pPr>
      <w:r>
        <w:t>403/404 non-disclosing states handled correctly.</w:t>
      </w:r>
    </w:p>
    <w:p>
      <w:pPr>
        <w:pStyle w:val="ListBullet"/>
        <w:spacing w:after="40"/>
      </w:pPr>
      <w:r>
        <w:t>Unknown/null/zero distinctions preserved.</w:t>
      </w:r>
    </w:p>
    <w:p>
      <w:pPr>
        <w:pStyle w:val="ListBullet"/>
        <w:spacing w:after="40"/>
      </w:pPr>
      <w:r>
        <w:t>No optimistic high-impact approval/merge/dissemination.</w:t>
      </w:r>
    </w:p>
    <w:p>
      <w:pPr>
        <w:pStyle w:val="ListBullet"/>
        <w:spacing w:after="40"/>
      </w:pPr>
      <w:r>
        <w:t>Stale-version conflict tested.</w:t>
      </w:r>
    </w:p>
    <w:p>
      <w:pPr>
        <w:pStyle w:val="ListBullet"/>
        <w:spacing w:after="40"/>
      </w:pPr>
      <w:r>
        <w:t>Graph/timeline/value-flow derived state does not mutate canonical objects.</w:t>
      </w:r>
    </w:p>
    <w:p>
      <w:pPr>
        <w:pStyle w:val="ListBullet"/>
        <w:spacing w:after="40"/>
      </w:pPr>
      <w:r>
        <w:t>Keyboard/focus/error/loading states tested.</w:t>
      </w:r>
    </w:p>
    <w:p>
      <w:pPr>
        <w:pStyle w:val="ListBullet"/>
        <w:spacing w:after="40"/>
      </w:pPr>
      <w:r>
        <w:t>No protected-source content in ordinary browser storage or telemetry.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874"/>
        <w:sz w:val="16"/>
      </w:rPr>
      <w:t>CS-AML Frontend Architecture &amp; State Management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85C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E55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