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85C8E"/>
          <w:sz w:val="40"/>
        </w:rPr>
        <w:t>CS-AML</w:t>
      </w:r>
    </w:p>
    <w:p>
      <w:pPr>
        <w:jc w:val="center"/>
      </w:pPr>
      <w:r>
        <w:rPr>
          <w:rFonts w:ascii="Aptos Display" w:hAnsi="Aptos Display"/>
          <w:b/>
          <w:color w:val="17324D"/>
          <w:sz w:val="56"/>
        </w:rPr>
        <w:t>High-Fidelity UI Specification</w:t>
      </w:r>
    </w:p>
    <w:p>
      <w:pPr>
        <w:jc w:val="center"/>
      </w:pPr>
      <w:r>
        <w:rPr>
          <w:color w:val="5B6874"/>
          <w:sz w:val="30"/>
        </w:rPr>
        <w:t>Version 0.1</w:t>
      </w:r>
    </w:p>
    <w:p>
      <w:pPr>
        <w:spacing w:after="480"/>
      </w:pP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30" w:type="dxa"/>
              <w:bottom w:w="110" w:type="dxa"/>
              <w:end w:w="130" w:type="dxa"/>
            </w:tcMar>
          </w:tcPr>
          <w:p>
            <w:r>
              <w:rPr>
                <w:b/>
                <w:color w:val="285C8E"/>
                <w:sz w:val="21"/>
              </w:rPr>
              <w:t>Purpose</w:t>
              <w:br/>
            </w:r>
            <w:r>
              <w:rPr>
                <w:color w:val="16212B"/>
                <w:sz w:val="19"/>
              </w:rPr>
              <w:t>Normative visual-composition baseline for translating CS-AML wireframes and UI design-system rules into production-ready desktop interfaces for MVP 0.1.</w:t>
            </w:r>
          </w:p>
        </w:tc>
      </w:tr>
    </w:tbl>
    <w:p>
      <w:pPr>
        <w:spacing w:after="40"/>
      </w:pPr>
    </w:p>
    <w:tbl>
      <w:tblPr>
        <w:tblStyle w:val="TableGrid"/>
        <w:tblW w:type="auto" w:w="0"/>
        <w:jc w:val="center"/>
        <w:tblLook w:firstColumn="1" w:firstRow="1" w:lastColumn="0" w:lastRow="0" w:noHBand="0" w:noVBand="1" w:val="04A0"/>
      </w:tblPr>
      <w:tblGrid>
        <w:gridCol w:w="10166"/>
      </w:tblGrid>
      <w:tr>
        <w:trPr>
          <w:cantSplit/>
        </w:trPr>
        <w:tc>
          <w:tcPr>
            <w:tcW w:type="dxa" w:w="10166"/>
            <w:shd w:fill="F1EEFA"/>
            <w:tcMar>
              <w:top w:w="110" w:type="dxa"/>
              <w:start w:w="130" w:type="dxa"/>
              <w:bottom w:w="110" w:type="dxa"/>
              <w:end w:w="130" w:type="dxa"/>
            </w:tcMar>
          </w:tcPr>
          <w:p>
            <w:r>
              <w:rPr>
                <w:b/>
                <w:color w:val="5B4B8A"/>
                <w:sz w:val="21"/>
              </w:rPr>
              <w:t>Core visual axiom</w:t>
              <w:br/>
            </w:r>
            <w:r>
              <w:rPr>
                <w:color w:val="16212B"/>
                <w:sz w:val="19"/>
              </w:rPr>
              <w:t>High visual fidelity SHALL improve comprehension without manufacturing certainty. Visual hierarchy may emphasize task relevance, state, and provenance, but SHALL NOT imply guilt, criminality, reliability, or analytical importance beyond the underlying record.</w:t>
            </w:r>
          </w:p>
        </w:tc>
      </w:tr>
    </w:tbl>
    <w:p>
      <w:pPr>
        <w:spacing w:after="40"/>
      </w:pPr>
    </w:p>
    <w:p>
      <w:pPr>
        <w:spacing w:after="1300"/>
      </w:pPr>
    </w:p>
    <w:p>
      <w:pPr>
        <w:jc w:val="center"/>
      </w:pPr>
      <w:r>
        <w:rPr>
          <w:color w:val="5B6874"/>
          <w:sz w:val="20"/>
        </w:rPr>
        <w:t>Status: Normative UI composition baseline for MVP 0.1</w:t>
      </w:r>
    </w:p>
    <w:p>
      <w:pPr>
        <w:jc w:val="center"/>
      </w:pPr>
      <w:r>
        <w:rPr>
          <w:sz w:val="18"/>
        </w:rPr>
        <w:t>Dependencies: UX Specification · Information Architecture · Screen Inventory · Wireframe Specification · UI Design System</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shd w:fill="17324D"/>
            <w:tcMar>
              <w:top w:w="70" w:type="dxa"/>
              <w:start w:w="90" w:type="dxa"/>
              <w:bottom w:w="70" w:type="dxa"/>
              <w:end w:w="90" w:type="dxa"/>
            </w:tcMar>
            <w:vAlign w:val="center"/>
          </w:tcPr>
          <w:p>
            <w:r>
              <w:rPr>
                <w:b/>
                <w:color w:val="FFFFFF"/>
                <w:sz w:val="18"/>
              </w:rPr>
              <w:t>Attribute</w:t>
            </w:r>
          </w:p>
        </w:tc>
        <w:tc>
          <w:tcPr>
            <w:tcW w:type="dxa" w:w="8064"/>
            <w:shd w:fill="17324D"/>
            <w:tcMar>
              <w:top w:w="70" w:type="dxa"/>
              <w:start w:w="90" w:type="dxa"/>
              <w:bottom w:w="70" w:type="dxa"/>
              <w:end w:w="90" w:type="dxa"/>
            </w:tcMar>
            <w:vAlign w:val="center"/>
          </w:tcPr>
          <w:p>
            <w:r>
              <w:rPr>
                <w:b/>
                <w:color w:val="FFFFFF"/>
                <w:sz w:val="18"/>
              </w:rPr>
              <w:t>Value</w:t>
            </w:r>
          </w:p>
        </w:tc>
      </w:tr>
      <w:tr>
        <w:trPr>
          <w:cantSplit/>
        </w:trPr>
        <w:tc>
          <w:tcPr>
            <w:tcW w:type="dxa" w:w="2448"/>
            <w:tcMar>
              <w:top w:w="70" w:type="dxa"/>
              <w:start w:w="90" w:type="dxa"/>
              <w:bottom w:w="70" w:type="dxa"/>
              <w:end w:w="90" w:type="dxa"/>
            </w:tcMar>
            <w:vAlign w:val="center"/>
          </w:tcPr>
          <w:p>
            <w:r>
              <w:rPr>
                <w:color w:val="16212B"/>
                <w:sz w:val="18"/>
              </w:rPr>
              <w:t>Document ID</w:t>
            </w:r>
          </w:p>
        </w:tc>
        <w:tc>
          <w:tcPr>
            <w:tcW w:type="dxa" w:w="8064"/>
            <w:tcMar>
              <w:top w:w="70" w:type="dxa"/>
              <w:start w:w="90" w:type="dxa"/>
              <w:bottom w:w="70" w:type="dxa"/>
              <w:end w:w="90" w:type="dxa"/>
            </w:tcMar>
            <w:vAlign w:val="center"/>
          </w:tcPr>
          <w:p>
            <w:r>
              <w:rPr>
                <w:color w:val="16212B"/>
                <w:sz w:val="18"/>
              </w:rPr>
              <w:t>CSAML-HIFI-UI-0.1</w:t>
            </w:r>
          </w:p>
        </w:tc>
      </w:tr>
      <w:tr>
        <w:trPr>
          <w:cantSplit/>
        </w:trPr>
        <w:tc>
          <w:tcPr>
            <w:tcW w:type="dxa" w:w="2448"/>
            <w:tcMar>
              <w:top w:w="70" w:type="dxa"/>
              <w:start w:w="90" w:type="dxa"/>
              <w:bottom w:w="70" w:type="dxa"/>
              <w:end w:w="90" w:type="dxa"/>
            </w:tcMar>
            <w:vAlign w:val="center"/>
          </w:tcPr>
          <w:p>
            <w:r>
              <w:rPr>
                <w:color w:val="16212B"/>
                <w:sz w:val="18"/>
              </w:rPr>
              <w:t>Version</w:t>
            </w:r>
          </w:p>
        </w:tc>
        <w:tc>
          <w:tcPr>
            <w:tcW w:type="dxa" w:w="8064"/>
            <w:tcMar>
              <w:top w:w="70" w:type="dxa"/>
              <w:start w:w="90" w:type="dxa"/>
              <w:bottom w:w="70" w:type="dxa"/>
              <w:end w:w="90" w:type="dxa"/>
            </w:tcMar>
            <w:vAlign w:val="center"/>
          </w:tcPr>
          <w:p>
            <w:r>
              <w:rPr>
                <w:color w:val="16212B"/>
                <w:sz w:val="18"/>
              </w:rPr>
              <w:t>0.1</w:t>
            </w:r>
          </w:p>
        </w:tc>
      </w:tr>
      <w:tr>
        <w:trPr>
          <w:cantSplit/>
        </w:trPr>
        <w:tc>
          <w:tcPr>
            <w:tcW w:type="dxa" w:w="2448"/>
            <w:tcMar>
              <w:top w:w="70" w:type="dxa"/>
              <w:start w:w="90" w:type="dxa"/>
              <w:bottom w:w="70" w:type="dxa"/>
              <w:end w:w="90" w:type="dxa"/>
            </w:tcMar>
            <w:vAlign w:val="center"/>
          </w:tcPr>
          <w:p>
            <w:r>
              <w:rPr>
                <w:color w:val="16212B"/>
                <w:sz w:val="18"/>
              </w:rPr>
              <w:t>Status</w:t>
            </w:r>
          </w:p>
        </w:tc>
        <w:tc>
          <w:tcPr>
            <w:tcW w:type="dxa" w:w="8064"/>
            <w:tcMar>
              <w:top w:w="70" w:type="dxa"/>
              <w:start w:w="90" w:type="dxa"/>
              <w:bottom w:w="70" w:type="dxa"/>
              <w:end w:w="90" w:type="dxa"/>
            </w:tcMar>
            <w:vAlign w:val="center"/>
          </w:tcPr>
          <w:p>
            <w:r>
              <w:rPr>
                <w:color w:val="16212B"/>
                <w:sz w:val="18"/>
              </w:rPr>
              <w:t>Normative high-fidelity UI baseline</w:t>
            </w:r>
          </w:p>
        </w:tc>
      </w:tr>
      <w:tr>
        <w:trPr>
          <w:cantSplit/>
        </w:trPr>
        <w:tc>
          <w:tcPr>
            <w:tcW w:type="dxa" w:w="2448"/>
            <w:tcMar>
              <w:top w:w="70" w:type="dxa"/>
              <w:start w:w="90" w:type="dxa"/>
              <w:bottom w:w="70" w:type="dxa"/>
              <w:end w:w="90" w:type="dxa"/>
            </w:tcMar>
            <w:vAlign w:val="center"/>
          </w:tcPr>
          <w:p>
            <w:r>
              <w:rPr>
                <w:color w:val="16212B"/>
                <w:sz w:val="18"/>
              </w:rPr>
              <w:t>Primary audience</w:t>
            </w:r>
          </w:p>
        </w:tc>
        <w:tc>
          <w:tcPr>
            <w:tcW w:type="dxa" w:w="8064"/>
            <w:tcMar>
              <w:top w:w="70" w:type="dxa"/>
              <w:start w:w="90" w:type="dxa"/>
              <w:bottom w:w="70" w:type="dxa"/>
              <w:end w:w="90" w:type="dxa"/>
            </w:tcMar>
            <w:vAlign w:val="center"/>
          </w:tcPr>
          <w:p>
            <w:r>
              <w:rPr>
                <w:color w:val="16212B"/>
                <w:sz w:val="18"/>
              </w:rPr>
              <w:t>Product Designer, UX Engineer, Frontend Engineer, QA, Product Owner</w:t>
            </w:r>
          </w:p>
        </w:tc>
      </w:tr>
      <w:tr>
        <w:trPr>
          <w:cantSplit/>
        </w:trPr>
        <w:tc>
          <w:tcPr>
            <w:tcW w:type="dxa" w:w="2448"/>
            <w:tcMar>
              <w:top w:w="70" w:type="dxa"/>
              <w:start w:w="90" w:type="dxa"/>
              <w:bottom w:w="70" w:type="dxa"/>
              <w:end w:w="90" w:type="dxa"/>
            </w:tcMar>
            <w:vAlign w:val="center"/>
          </w:tcPr>
          <w:p>
            <w:r>
              <w:rPr>
                <w:color w:val="16212B"/>
                <w:sz w:val="18"/>
              </w:rPr>
              <w:t>Applies to</w:t>
            </w:r>
          </w:p>
        </w:tc>
        <w:tc>
          <w:tcPr>
            <w:tcW w:type="dxa" w:w="8064"/>
            <w:tcMar>
              <w:top w:w="70" w:type="dxa"/>
              <w:start w:w="90" w:type="dxa"/>
              <w:bottom w:w="70" w:type="dxa"/>
              <w:end w:w="90" w:type="dxa"/>
            </w:tcMar>
            <w:vAlign w:val="center"/>
          </w:tcPr>
          <w:p>
            <w:r>
              <w:rPr>
                <w:color w:val="16212B"/>
                <w:sz w:val="18"/>
              </w:rPr>
              <w:t>MVP 0.1 production interfaces</w:t>
            </w:r>
          </w:p>
        </w:tc>
      </w:tr>
      <w:tr>
        <w:trPr>
          <w:cantSplit/>
        </w:trPr>
        <w:tc>
          <w:tcPr>
            <w:tcW w:type="dxa" w:w="2448"/>
            <w:tcMar>
              <w:top w:w="70" w:type="dxa"/>
              <w:start w:w="90" w:type="dxa"/>
              <w:bottom w:w="70" w:type="dxa"/>
              <w:end w:w="90" w:type="dxa"/>
            </w:tcMar>
            <w:vAlign w:val="center"/>
          </w:tcPr>
          <w:p>
            <w:r>
              <w:rPr>
                <w:color w:val="16212B"/>
                <w:sz w:val="18"/>
              </w:rPr>
              <w:t>Primary source IDs</w:t>
            </w:r>
          </w:p>
        </w:tc>
        <w:tc>
          <w:tcPr>
            <w:tcW w:type="dxa" w:w="8064"/>
            <w:tcMar>
              <w:top w:w="70" w:type="dxa"/>
              <w:start w:w="90" w:type="dxa"/>
              <w:bottom w:w="70" w:type="dxa"/>
              <w:end w:w="90" w:type="dxa"/>
            </w:tcMar>
            <w:vAlign w:val="center"/>
          </w:tcPr>
          <w:p>
            <w:r>
              <w:rPr>
                <w:color w:val="16212B"/>
                <w:sz w:val="18"/>
              </w:rPr>
              <w:t>SCR-* screen IDs; WF-PAT-* layout patterns</w:t>
            </w:r>
          </w:p>
        </w:tc>
      </w:tr>
      <w:tr>
        <w:trPr>
          <w:cantSplit/>
        </w:trPr>
        <w:tc>
          <w:tcPr>
            <w:tcW w:type="dxa" w:w="2448"/>
            <w:tcMar>
              <w:top w:w="70" w:type="dxa"/>
              <w:start w:w="90" w:type="dxa"/>
              <w:bottom w:w="70" w:type="dxa"/>
              <w:end w:w="90" w:type="dxa"/>
            </w:tcMar>
            <w:vAlign w:val="center"/>
          </w:tcPr>
          <w:p>
            <w:r>
              <w:rPr>
                <w:color w:val="16212B"/>
                <w:sz w:val="18"/>
              </w:rPr>
              <w:t>Normative verbs</w:t>
            </w:r>
          </w:p>
        </w:tc>
        <w:tc>
          <w:tcPr>
            <w:tcW w:type="dxa" w:w="8064"/>
            <w:tcMar>
              <w:top w:w="70" w:type="dxa"/>
              <w:start w:w="90" w:type="dxa"/>
              <w:bottom w:w="70" w:type="dxa"/>
              <w:end w:w="90" w:type="dxa"/>
            </w:tcMar>
            <w:vAlign w:val="center"/>
          </w:tcPr>
          <w:p>
            <w:r>
              <w:rPr>
                <w:color w:val="16212B"/>
                <w:sz w:val="18"/>
              </w:rPr>
              <w:t>SHALL / MUST / SHOULD / MAY</w:t>
            </w:r>
          </w:p>
        </w:tc>
      </w:tr>
    </w:tbl>
    <w:p>
      <w:pPr>
        <w:spacing w:after="40"/>
      </w:pPr>
    </w:p>
    <w:p>
      <w:pPr>
        <w:pStyle w:val="Heading1"/>
      </w:pPr>
      <w:r>
        <w:t>1. Scope and Boundary</w:t>
      </w:r>
    </w:p>
    <w:p>
      <w:r>
        <w:t>This specification defines visual composition at production fidelity. It determines how approved wireframe regions and design-system primitives are assembled into concrete screens. It does not replace the UX specification, information architecture, canonical screen inventory, or component implementation specification.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17324D"/>
            <w:tcMar>
              <w:top w:w="70" w:type="dxa"/>
              <w:start w:w="90" w:type="dxa"/>
              <w:bottom w:w="70" w:type="dxa"/>
              <w:end w:w="90" w:type="dxa"/>
            </w:tcMar>
            <w:vAlign w:val="center"/>
          </w:tcPr>
          <w:p>
            <w:r>
              <w:rPr>
                <w:b/>
                <w:color w:val="FFFFFF"/>
                <w:sz w:val="18"/>
              </w:rPr>
              <w:t>Document</w:t>
            </w:r>
          </w:p>
        </w:tc>
        <w:tc>
          <w:tcPr>
            <w:tcW w:type="dxa" w:w="7488"/>
            <w:shd w:fill="17324D"/>
            <w:tcMar>
              <w:top w:w="70" w:type="dxa"/>
              <w:start w:w="90" w:type="dxa"/>
              <w:bottom w:w="70" w:type="dxa"/>
              <w:end w:w="90" w:type="dxa"/>
            </w:tcMar>
            <w:vAlign w:val="center"/>
          </w:tcPr>
          <w:p>
            <w:r>
              <w:rPr>
                <w:b/>
                <w:color w:val="FFFFFF"/>
                <w:sz w:val="18"/>
              </w:rPr>
              <w:t>Owns</w:t>
            </w:r>
          </w:p>
        </w:tc>
      </w:tr>
      <w:tr>
        <w:trPr>
          <w:cantSplit/>
        </w:trPr>
        <w:tc>
          <w:tcPr>
            <w:tcW w:type="dxa" w:w="3024"/>
            <w:tcMar>
              <w:top w:w="70" w:type="dxa"/>
              <w:start w:w="90" w:type="dxa"/>
              <w:bottom w:w="70" w:type="dxa"/>
              <w:end w:w="90" w:type="dxa"/>
            </w:tcMar>
            <w:vAlign w:val="center"/>
          </w:tcPr>
          <w:p>
            <w:r>
              <w:rPr>
                <w:color w:val="16212B"/>
                <w:sz w:val="18"/>
              </w:rPr>
              <w:t>UX Specification</w:t>
            </w:r>
          </w:p>
        </w:tc>
        <w:tc>
          <w:tcPr>
            <w:tcW w:type="dxa" w:w="7488"/>
            <w:tcMar>
              <w:top w:w="70" w:type="dxa"/>
              <w:start w:w="90" w:type="dxa"/>
              <w:bottom w:w="70" w:type="dxa"/>
              <w:end w:w="90" w:type="dxa"/>
            </w:tcMar>
            <w:vAlign w:val="center"/>
          </w:tcPr>
          <w:p>
            <w:r>
              <w:rPr>
                <w:color w:val="16212B"/>
                <w:sz w:val="18"/>
              </w:rPr>
              <w:t>Task flow, interaction behaviour, safety, reversibility, feedback, accessibility intent</w:t>
            </w:r>
          </w:p>
        </w:tc>
      </w:tr>
      <w:tr>
        <w:trPr>
          <w:cantSplit/>
        </w:trPr>
        <w:tc>
          <w:tcPr>
            <w:tcW w:type="dxa" w:w="3024"/>
            <w:tcMar>
              <w:top w:w="70" w:type="dxa"/>
              <w:start w:w="90" w:type="dxa"/>
              <w:bottom w:w="70" w:type="dxa"/>
              <w:end w:w="90" w:type="dxa"/>
            </w:tcMar>
            <w:vAlign w:val="center"/>
          </w:tcPr>
          <w:p>
            <w:r>
              <w:rPr>
                <w:color w:val="16212B"/>
                <w:sz w:val="18"/>
              </w:rPr>
              <w:t>Information Architecture</w:t>
            </w:r>
          </w:p>
        </w:tc>
        <w:tc>
          <w:tcPr>
            <w:tcW w:type="dxa" w:w="7488"/>
            <w:tcMar>
              <w:top w:w="70" w:type="dxa"/>
              <w:start w:w="90" w:type="dxa"/>
              <w:bottom w:w="70" w:type="dxa"/>
              <w:end w:w="90" w:type="dxa"/>
            </w:tcMar>
            <w:vAlign w:val="center"/>
          </w:tcPr>
          <w:p>
            <w:r>
              <w:rPr>
                <w:color w:val="16212B"/>
                <w:sz w:val="18"/>
              </w:rPr>
              <w:t>Object organisation, taxonomy, navigation, labeling, findability</w:t>
            </w:r>
          </w:p>
        </w:tc>
      </w:tr>
      <w:tr>
        <w:trPr>
          <w:cantSplit/>
        </w:trPr>
        <w:tc>
          <w:tcPr>
            <w:tcW w:type="dxa" w:w="3024"/>
            <w:tcMar>
              <w:top w:w="70" w:type="dxa"/>
              <w:start w:w="90" w:type="dxa"/>
              <w:bottom w:w="70" w:type="dxa"/>
              <w:end w:w="90" w:type="dxa"/>
            </w:tcMar>
            <w:vAlign w:val="center"/>
          </w:tcPr>
          <w:p>
            <w:r>
              <w:rPr>
                <w:color w:val="16212B"/>
                <w:sz w:val="18"/>
              </w:rPr>
              <w:t>Screen Inventory</w:t>
            </w:r>
          </w:p>
        </w:tc>
        <w:tc>
          <w:tcPr>
            <w:tcW w:type="dxa" w:w="7488"/>
            <w:tcMar>
              <w:top w:w="70" w:type="dxa"/>
              <w:start w:w="90" w:type="dxa"/>
              <w:bottom w:w="70" w:type="dxa"/>
              <w:end w:w="90" w:type="dxa"/>
            </w:tcMar>
            <w:vAlign w:val="center"/>
          </w:tcPr>
          <w:p>
            <w:r>
              <w:rPr>
                <w:color w:val="16212B"/>
                <w:sz w:val="18"/>
              </w:rPr>
              <w:t>Canonical screen IDs and required screen scope</w:t>
            </w:r>
          </w:p>
        </w:tc>
      </w:tr>
      <w:tr>
        <w:trPr>
          <w:cantSplit/>
        </w:trPr>
        <w:tc>
          <w:tcPr>
            <w:tcW w:type="dxa" w:w="3024"/>
            <w:tcMar>
              <w:top w:w="70" w:type="dxa"/>
              <w:start w:w="90" w:type="dxa"/>
              <w:bottom w:w="70" w:type="dxa"/>
              <w:end w:w="90" w:type="dxa"/>
            </w:tcMar>
            <w:vAlign w:val="center"/>
          </w:tcPr>
          <w:p>
            <w:r>
              <w:rPr>
                <w:color w:val="16212B"/>
                <w:sz w:val="18"/>
              </w:rPr>
              <w:t>Wireframe Specification</w:t>
            </w:r>
          </w:p>
        </w:tc>
        <w:tc>
          <w:tcPr>
            <w:tcW w:type="dxa" w:w="7488"/>
            <w:tcMar>
              <w:top w:w="70" w:type="dxa"/>
              <w:start w:w="90" w:type="dxa"/>
              <w:bottom w:w="70" w:type="dxa"/>
              <w:end w:w="90" w:type="dxa"/>
            </w:tcMar>
            <w:vAlign w:val="center"/>
          </w:tcPr>
          <w:p>
            <w:r>
              <w:rPr>
                <w:color w:val="16212B"/>
                <w:sz w:val="18"/>
              </w:rPr>
              <w:t>Structural regions and layout pattern</w:t>
            </w:r>
          </w:p>
        </w:tc>
      </w:tr>
      <w:tr>
        <w:trPr>
          <w:cantSplit/>
        </w:trPr>
        <w:tc>
          <w:tcPr>
            <w:tcW w:type="dxa" w:w="3024"/>
            <w:tcMar>
              <w:top w:w="70" w:type="dxa"/>
              <w:start w:w="90" w:type="dxa"/>
              <w:bottom w:w="70" w:type="dxa"/>
              <w:end w:w="90" w:type="dxa"/>
            </w:tcMar>
            <w:vAlign w:val="center"/>
          </w:tcPr>
          <w:p>
            <w:r>
              <w:rPr>
                <w:color w:val="16212B"/>
                <w:sz w:val="18"/>
              </w:rPr>
              <w:t>UI Design System</w:t>
            </w:r>
          </w:p>
        </w:tc>
        <w:tc>
          <w:tcPr>
            <w:tcW w:type="dxa" w:w="7488"/>
            <w:tcMar>
              <w:top w:w="70" w:type="dxa"/>
              <w:start w:w="90" w:type="dxa"/>
              <w:bottom w:w="70" w:type="dxa"/>
              <w:end w:w="90" w:type="dxa"/>
            </w:tcMar>
            <w:vAlign w:val="center"/>
          </w:tcPr>
          <w:p>
            <w:r>
              <w:rPr>
                <w:color w:val="16212B"/>
                <w:sz w:val="18"/>
              </w:rPr>
              <w:t>Tokens, primitive and semantic components, visual semantics</w:t>
            </w:r>
          </w:p>
        </w:tc>
      </w:tr>
      <w:tr>
        <w:trPr>
          <w:cantSplit/>
        </w:trPr>
        <w:tc>
          <w:tcPr>
            <w:tcW w:type="dxa" w:w="3024"/>
            <w:tcMar>
              <w:top w:w="70" w:type="dxa"/>
              <w:start w:w="90" w:type="dxa"/>
              <w:bottom w:w="70" w:type="dxa"/>
              <w:end w:w="90" w:type="dxa"/>
            </w:tcMar>
            <w:vAlign w:val="center"/>
          </w:tcPr>
          <w:p>
            <w:r>
              <w:rPr>
                <w:color w:val="16212B"/>
                <w:sz w:val="18"/>
              </w:rPr>
              <w:t>High-Fidelity UI Specification</w:t>
            </w:r>
          </w:p>
        </w:tc>
        <w:tc>
          <w:tcPr>
            <w:tcW w:type="dxa" w:w="7488"/>
            <w:tcMar>
              <w:top w:w="70" w:type="dxa"/>
              <w:start w:w="90" w:type="dxa"/>
              <w:bottom w:w="70" w:type="dxa"/>
              <w:end w:w="90" w:type="dxa"/>
            </w:tcMar>
            <w:vAlign w:val="center"/>
          </w:tcPr>
          <w:p>
            <w:r>
              <w:rPr>
                <w:color w:val="16212B"/>
                <w:sz w:val="18"/>
              </w:rPr>
              <w:t>Production visual composition for each screen family and critical screen</w:t>
            </w:r>
          </w:p>
        </w:tc>
      </w:tr>
      <w:tr>
        <w:trPr>
          <w:cantSplit/>
        </w:trPr>
        <w:tc>
          <w:tcPr>
            <w:tcW w:type="dxa" w:w="3024"/>
            <w:tcMar>
              <w:top w:w="70" w:type="dxa"/>
              <w:start w:w="90" w:type="dxa"/>
              <w:bottom w:w="70" w:type="dxa"/>
              <w:end w:w="90" w:type="dxa"/>
            </w:tcMar>
            <w:vAlign w:val="center"/>
          </w:tcPr>
          <w:p>
            <w:r>
              <w:rPr>
                <w:color w:val="16212B"/>
                <w:sz w:val="18"/>
              </w:rPr>
              <w:t>Storybook Implementation Specification (next)</w:t>
            </w:r>
          </w:p>
        </w:tc>
        <w:tc>
          <w:tcPr>
            <w:tcW w:type="dxa" w:w="7488"/>
            <w:tcMar>
              <w:top w:w="70" w:type="dxa"/>
              <w:start w:w="90" w:type="dxa"/>
              <w:bottom w:w="70" w:type="dxa"/>
              <w:end w:w="90" w:type="dxa"/>
            </w:tcMar>
            <w:vAlign w:val="center"/>
          </w:tcPr>
          <w:p>
            <w:r>
              <w:rPr>
                <w:color w:val="16212B"/>
                <w:sz w:val="18"/>
              </w:rPr>
              <w:t>Component implementation API, stories, test matrix, documentation, release process</w:t>
            </w:r>
          </w:p>
        </w:tc>
      </w:tr>
    </w:tbl>
    <w:p>
      <w:pPr>
        <w:spacing w:after="40"/>
      </w:pPr>
    </w:p>
    <w:tbl>
      <w:tblPr>
        <w:tblStyle w:val="TableGrid"/>
        <w:tblW w:type="auto" w:w="0"/>
        <w:jc w:val="center"/>
        <w:tblLook w:firstColumn="1" w:firstRow="1" w:lastColumn="0" w:lastRow="0" w:noHBand="0" w:noVBand="1" w:val="04A0"/>
      </w:tblPr>
      <w:tblGrid>
        <w:gridCol w:w="10166"/>
      </w:tblGrid>
      <w:tr>
        <w:trPr>
          <w:cantSplit/>
        </w:trPr>
        <w:tc>
          <w:tcPr>
            <w:tcW w:type="dxa" w:w="10166"/>
            <w:shd w:fill="FFF5DB"/>
            <w:tcMar>
              <w:top w:w="110" w:type="dxa"/>
              <w:start w:w="130" w:type="dxa"/>
              <w:bottom w:w="110" w:type="dxa"/>
              <w:end w:w="130" w:type="dxa"/>
            </w:tcMar>
          </w:tcPr>
          <w:p>
            <w:r>
              <w:rPr>
                <w:b/>
                <w:color w:val="8A5A00"/>
                <w:sz w:val="21"/>
              </w:rPr>
              <w:t>Boundary rule</w:t>
              <w:br/>
            </w:r>
            <w:r>
              <w:rPr>
                <w:color w:val="16212B"/>
                <w:sz w:val="19"/>
              </w:rPr>
              <w:t>A high-fidelity screen SHALL NOT introduce a new object type, semantic state, navigation destination, or analytical meaning solely for visual convenience. Such changes require the owning specification to change first.</w:t>
            </w:r>
          </w:p>
        </w:tc>
      </w:tr>
    </w:tbl>
    <w:p>
      <w:pPr>
        <w:spacing w:after="40"/>
      </w:pPr>
    </w:p>
    <w:p>
      <w:pPr>
        <w:pStyle w:val="Heading1"/>
      </w:pPr>
      <w:r>
        <w:t>2. Visual Composition Principles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shd w:fill="17324D"/>
            <w:tcMar>
              <w:top w:w="70" w:type="dxa"/>
              <w:start w:w="90" w:type="dxa"/>
              <w:bottom w:w="70" w:type="dxa"/>
              <w:end w:w="90" w:type="dxa"/>
            </w:tcMar>
            <w:vAlign w:val="center"/>
          </w:tcPr>
          <w:p>
            <w:r>
              <w:rPr>
                <w:b/>
                <w:color w:val="FFFFFF"/>
                <w:sz w:val="17"/>
              </w:rPr>
              <w:t>ID</w:t>
            </w:r>
          </w:p>
        </w:tc>
        <w:tc>
          <w:tcPr>
            <w:tcW w:type="dxa" w:w="2304"/>
            <w:shd w:fill="17324D"/>
            <w:tcMar>
              <w:top w:w="70" w:type="dxa"/>
              <w:start w:w="90" w:type="dxa"/>
              <w:bottom w:w="70" w:type="dxa"/>
              <w:end w:w="90" w:type="dxa"/>
            </w:tcMar>
            <w:vAlign w:val="center"/>
          </w:tcPr>
          <w:p>
            <w:r>
              <w:rPr>
                <w:b/>
                <w:color w:val="FFFFFF"/>
                <w:sz w:val="17"/>
              </w:rPr>
              <w:t>Principle</w:t>
            </w:r>
          </w:p>
        </w:tc>
        <w:tc>
          <w:tcPr>
            <w:tcW w:type="dxa" w:w="6768"/>
            <w:shd w:fill="17324D"/>
            <w:tcMar>
              <w:top w:w="70" w:type="dxa"/>
              <w:start w:w="90" w:type="dxa"/>
              <w:bottom w:w="70" w:type="dxa"/>
              <w:end w:w="90" w:type="dxa"/>
            </w:tcMar>
            <w:vAlign w:val="center"/>
          </w:tcPr>
          <w:p>
            <w:r>
              <w:rPr>
                <w:b/>
                <w:color w:val="FFFFFF"/>
                <w:sz w:val="17"/>
              </w:rPr>
              <w:t>Rule</w:t>
            </w:r>
          </w:p>
        </w:tc>
      </w:tr>
      <w:tr>
        <w:trPr>
          <w:cantSplit/>
        </w:trPr>
        <w:tc>
          <w:tcPr>
            <w:tcW w:type="dxa" w:w="1440"/>
            <w:tcMar>
              <w:top w:w="70" w:type="dxa"/>
              <w:start w:w="90" w:type="dxa"/>
              <w:bottom w:w="70" w:type="dxa"/>
              <w:end w:w="90" w:type="dxa"/>
            </w:tcMar>
            <w:vAlign w:val="center"/>
          </w:tcPr>
          <w:p>
            <w:r>
              <w:rPr>
                <w:color w:val="16212B"/>
                <w:sz w:val="17"/>
              </w:rPr>
              <w:t>HIFI-P01</w:t>
            </w:r>
          </w:p>
        </w:tc>
        <w:tc>
          <w:tcPr>
            <w:tcW w:type="dxa" w:w="2304"/>
            <w:tcMar>
              <w:top w:w="70" w:type="dxa"/>
              <w:start w:w="90" w:type="dxa"/>
              <w:bottom w:w="70" w:type="dxa"/>
              <w:end w:w="90" w:type="dxa"/>
            </w:tcMar>
            <w:vAlign w:val="center"/>
          </w:tcPr>
          <w:p>
            <w:r>
              <w:rPr>
                <w:color w:val="16212B"/>
                <w:sz w:val="17"/>
              </w:rPr>
              <w:t>Evidence-forward</w:t>
            </w:r>
          </w:p>
        </w:tc>
        <w:tc>
          <w:tcPr>
            <w:tcW w:type="dxa" w:w="6768"/>
            <w:tcMar>
              <w:top w:w="70" w:type="dxa"/>
              <w:start w:w="90" w:type="dxa"/>
              <w:bottom w:w="70" w:type="dxa"/>
              <w:end w:w="90" w:type="dxa"/>
            </w:tcMar>
            <w:vAlign w:val="center"/>
          </w:tcPr>
          <w:p>
            <w:r>
              <w:rPr>
                <w:color w:val="16212B"/>
                <w:sz w:val="17"/>
              </w:rPr>
              <w:t>Material analytical claims expose provenance access within the primary task context.</w:t>
            </w:r>
          </w:p>
        </w:tc>
      </w:tr>
      <w:tr>
        <w:trPr>
          <w:cantSplit/>
        </w:trPr>
        <w:tc>
          <w:tcPr>
            <w:tcW w:type="dxa" w:w="1440"/>
            <w:tcMar>
              <w:top w:w="70" w:type="dxa"/>
              <w:start w:w="90" w:type="dxa"/>
              <w:bottom w:w="70" w:type="dxa"/>
              <w:end w:w="90" w:type="dxa"/>
            </w:tcMar>
            <w:vAlign w:val="center"/>
          </w:tcPr>
          <w:p>
            <w:r>
              <w:rPr>
                <w:color w:val="16212B"/>
                <w:sz w:val="17"/>
              </w:rPr>
              <w:t>HIFI-P02</w:t>
            </w:r>
          </w:p>
        </w:tc>
        <w:tc>
          <w:tcPr>
            <w:tcW w:type="dxa" w:w="2304"/>
            <w:tcMar>
              <w:top w:w="70" w:type="dxa"/>
              <w:start w:w="90" w:type="dxa"/>
              <w:bottom w:w="70" w:type="dxa"/>
              <w:end w:w="90" w:type="dxa"/>
            </w:tcMar>
            <w:vAlign w:val="center"/>
          </w:tcPr>
          <w:p>
            <w:r>
              <w:rPr>
                <w:color w:val="16212B"/>
                <w:sz w:val="17"/>
              </w:rPr>
              <w:t>Calm hierarchy</w:t>
            </w:r>
          </w:p>
        </w:tc>
        <w:tc>
          <w:tcPr>
            <w:tcW w:type="dxa" w:w="6768"/>
            <w:tcMar>
              <w:top w:w="70" w:type="dxa"/>
              <w:start w:w="90" w:type="dxa"/>
              <w:bottom w:w="70" w:type="dxa"/>
              <w:end w:w="90" w:type="dxa"/>
            </w:tcMar>
            <w:vAlign w:val="center"/>
          </w:tcPr>
          <w:p>
            <w:r>
              <w:rPr>
                <w:color w:val="16212B"/>
                <w:sz w:val="17"/>
              </w:rPr>
              <w:t>Use structure, spacing and typography before warning colors.</w:t>
            </w:r>
          </w:p>
        </w:tc>
      </w:tr>
      <w:tr>
        <w:trPr>
          <w:cantSplit/>
        </w:trPr>
        <w:tc>
          <w:tcPr>
            <w:tcW w:type="dxa" w:w="1440"/>
            <w:tcMar>
              <w:top w:w="70" w:type="dxa"/>
              <w:start w:w="90" w:type="dxa"/>
              <w:bottom w:w="70" w:type="dxa"/>
              <w:end w:w="90" w:type="dxa"/>
            </w:tcMar>
            <w:vAlign w:val="center"/>
          </w:tcPr>
          <w:p>
            <w:r>
              <w:rPr>
                <w:color w:val="16212B"/>
                <w:sz w:val="17"/>
              </w:rPr>
              <w:t>HIFI-P03</w:t>
            </w:r>
          </w:p>
        </w:tc>
        <w:tc>
          <w:tcPr>
            <w:tcW w:type="dxa" w:w="2304"/>
            <w:tcMar>
              <w:top w:w="70" w:type="dxa"/>
              <w:start w:w="90" w:type="dxa"/>
              <w:bottom w:w="70" w:type="dxa"/>
              <w:end w:w="90" w:type="dxa"/>
            </w:tcMar>
            <w:vAlign w:val="center"/>
          </w:tcPr>
          <w:p>
            <w:r>
              <w:rPr>
                <w:color w:val="16212B"/>
                <w:sz w:val="17"/>
              </w:rPr>
              <w:t>Uncertainty visible</w:t>
            </w:r>
          </w:p>
        </w:tc>
        <w:tc>
          <w:tcPr>
            <w:tcW w:type="dxa" w:w="6768"/>
            <w:tcMar>
              <w:top w:w="70" w:type="dxa"/>
              <w:start w:w="90" w:type="dxa"/>
              <w:bottom w:w="70" w:type="dxa"/>
              <w:end w:w="90" w:type="dxa"/>
            </w:tcMar>
            <w:vAlign w:val="center"/>
          </w:tcPr>
          <w:p>
            <w:r>
              <w:rPr>
                <w:color w:val="16212B"/>
                <w:sz w:val="17"/>
              </w:rPr>
              <w:t>Unknown, disputed, candidate and inferred states stay perceivable at normal scanning distance.</w:t>
            </w:r>
          </w:p>
        </w:tc>
      </w:tr>
      <w:tr>
        <w:trPr>
          <w:cantSplit/>
        </w:trPr>
        <w:tc>
          <w:tcPr>
            <w:tcW w:type="dxa" w:w="1440"/>
            <w:tcMar>
              <w:top w:w="70" w:type="dxa"/>
              <w:start w:w="90" w:type="dxa"/>
              <w:bottom w:w="70" w:type="dxa"/>
              <w:end w:w="90" w:type="dxa"/>
            </w:tcMar>
            <w:vAlign w:val="center"/>
          </w:tcPr>
          <w:p>
            <w:r>
              <w:rPr>
                <w:color w:val="16212B"/>
                <w:sz w:val="17"/>
              </w:rPr>
              <w:t>HIFI-P04</w:t>
            </w:r>
          </w:p>
        </w:tc>
        <w:tc>
          <w:tcPr>
            <w:tcW w:type="dxa" w:w="2304"/>
            <w:tcMar>
              <w:top w:w="70" w:type="dxa"/>
              <w:start w:w="90" w:type="dxa"/>
              <w:bottom w:w="70" w:type="dxa"/>
              <w:end w:w="90" w:type="dxa"/>
            </w:tcMar>
            <w:vAlign w:val="center"/>
          </w:tcPr>
          <w:p>
            <w:r>
              <w:rPr>
                <w:color w:val="16212B"/>
                <w:sz w:val="17"/>
              </w:rPr>
              <w:t>No guilt by prominence</w:t>
            </w:r>
          </w:p>
        </w:tc>
        <w:tc>
          <w:tcPr>
            <w:tcW w:type="dxa" w:w="6768"/>
            <w:tcMar>
              <w:top w:w="70" w:type="dxa"/>
              <w:start w:w="90" w:type="dxa"/>
              <w:bottom w:w="70" w:type="dxa"/>
              <w:end w:w="90" w:type="dxa"/>
            </w:tcMar>
            <w:vAlign w:val="center"/>
          </w:tcPr>
          <w:p>
            <w:r>
              <w:rPr>
                <w:color w:val="16212B"/>
                <w:sz w:val="17"/>
              </w:rPr>
              <w:t>Size, red, glow, rank or graph centrality SHALL NOT encode culpability.</w:t>
            </w:r>
          </w:p>
        </w:tc>
      </w:tr>
      <w:tr>
        <w:trPr>
          <w:cantSplit/>
        </w:trPr>
        <w:tc>
          <w:tcPr>
            <w:tcW w:type="dxa" w:w="1440"/>
            <w:tcMar>
              <w:top w:w="70" w:type="dxa"/>
              <w:start w:w="90" w:type="dxa"/>
              <w:bottom w:w="70" w:type="dxa"/>
              <w:end w:w="90" w:type="dxa"/>
            </w:tcMar>
            <w:vAlign w:val="center"/>
          </w:tcPr>
          <w:p>
            <w:r>
              <w:rPr>
                <w:color w:val="16212B"/>
                <w:sz w:val="17"/>
              </w:rPr>
              <w:t>HIFI-P05</w:t>
            </w:r>
          </w:p>
        </w:tc>
        <w:tc>
          <w:tcPr>
            <w:tcW w:type="dxa" w:w="2304"/>
            <w:tcMar>
              <w:top w:w="70" w:type="dxa"/>
              <w:start w:w="90" w:type="dxa"/>
              <w:bottom w:w="70" w:type="dxa"/>
              <w:end w:w="90" w:type="dxa"/>
            </w:tcMar>
            <w:vAlign w:val="center"/>
          </w:tcPr>
          <w:p>
            <w:r>
              <w:rPr>
                <w:color w:val="16212B"/>
                <w:sz w:val="17"/>
              </w:rPr>
              <w:t>Action locality</w:t>
            </w:r>
          </w:p>
        </w:tc>
        <w:tc>
          <w:tcPr>
            <w:tcW w:type="dxa" w:w="6768"/>
            <w:tcMar>
              <w:top w:w="70" w:type="dxa"/>
              <w:start w:w="90" w:type="dxa"/>
              <w:bottom w:w="70" w:type="dxa"/>
              <w:end w:w="90" w:type="dxa"/>
            </w:tcMar>
            <w:vAlign w:val="center"/>
          </w:tcPr>
          <w:p>
            <w:r>
              <w:rPr>
                <w:color w:val="16212B"/>
                <w:sz w:val="17"/>
              </w:rPr>
              <w:t>Primary action sits near the object or workflow state it changes.</w:t>
            </w:r>
          </w:p>
        </w:tc>
      </w:tr>
      <w:tr>
        <w:trPr>
          <w:cantSplit/>
        </w:trPr>
        <w:tc>
          <w:tcPr>
            <w:tcW w:type="dxa" w:w="1440"/>
            <w:tcMar>
              <w:top w:w="70" w:type="dxa"/>
              <w:start w:w="90" w:type="dxa"/>
              <w:bottom w:w="70" w:type="dxa"/>
              <w:end w:w="90" w:type="dxa"/>
            </w:tcMar>
            <w:vAlign w:val="center"/>
          </w:tcPr>
          <w:p>
            <w:r>
              <w:rPr>
                <w:color w:val="16212B"/>
                <w:sz w:val="17"/>
              </w:rPr>
              <w:t>HIFI-P06</w:t>
            </w:r>
          </w:p>
        </w:tc>
        <w:tc>
          <w:tcPr>
            <w:tcW w:type="dxa" w:w="2304"/>
            <w:tcMar>
              <w:top w:w="70" w:type="dxa"/>
              <w:start w:w="90" w:type="dxa"/>
              <w:bottom w:w="70" w:type="dxa"/>
              <w:end w:w="90" w:type="dxa"/>
            </w:tcMar>
            <w:vAlign w:val="center"/>
          </w:tcPr>
          <w:p>
            <w:r>
              <w:rPr>
                <w:color w:val="16212B"/>
                <w:sz w:val="17"/>
              </w:rPr>
              <w:t>Review parity</w:t>
            </w:r>
          </w:p>
        </w:tc>
        <w:tc>
          <w:tcPr>
            <w:tcW w:type="dxa" w:w="6768"/>
            <w:tcMar>
              <w:top w:w="70" w:type="dxa"/>
              <w:start w:w="90" w:type="dxa"/>
              <w:bottom w:w="70" w:type="dxa"/>
              <w:end w:w="90" w:type="dxa"/>
            </w:tcMar>
            <w:vAlign w:val="center"/>
          </w:tcPr>
          <w:p>
            <w:r>
              <w:rPr>
                <w:color w:val="16212B"/>
                <w:sz w:val="17"/>
              </w:rPr>
              <w:t>Reviewer sees the same analytical state and provenance context as author, plus review controls.</w:t>
            </w:r>
          </w:p>
        </w:tc>
      </w:tr>
      <w:tr>
        <w:trPr>
          <w:cantSplit/>
        </w:trPr>
        <w:tc>
          <w:tcPr>
            <w:tcW w:type="dxa" w:w="1440"/>
            <w:tcMar>
              <w:top w:w="70" w:type="dxa"/>
              <w:start w:w="90" w:type="dxa"/>
              <w:bottom w:w="70" w:type="dxa"/>
              <w:end w:w="90" w:type="dxa"/>
            </w:tcMar>
            <w:vAlign w:val="center"/>
          </w:tcPr>
          <w:p>
            <w:r>
              <w:rPr>
                <w:color w:val="16212B"/>
                <w:sz w:val="17"/>
              </w:rPr>
              <w:t>HIFI-P07</w:t>
            </w:r>
          </w:p>
        </w:tc>
        <w:tc>
          <w:tcPr>
            <w:tcW w:type="dxa" w:w="2304"/>
            <w:tcMar>
              <w:top w:w="70" w:type="dxa"/>
              <w:start w:w="90" w:type="dxa"/>
              <w:bottom w:w="70" w:type="dxa"/>
              <w:end w:w="90" w:type="dxa"/>
            </w:tcMar>
            <w:vAlign w:val="center"/>
          </w:tcPr>
          <w:p>
            <w:r>
              <w:rPr>
                <w:color w:val="16212B"/>
                <w:sz w:val="17"/>
              </w:rPr>
              <w:t>Print/export parity</w:t>
            </w:r>
          </w:p>
        </w:tc>
        <w:tc>
          <w:tcPr>
            <w:tcW w:type="dxa" w:w="6768"/>
            <w:tcMar>
              <w:top w:w="70" w:type="dxa"/>
              <w:start w:w="90" w:type="dxa"/>
              <w:bottom w:w="70" w:type="dxa"/>
              <w:end w:w="90" w:type="dxa"/>
            </w:tcMar>
            <w:vAlign w:val="center"/>
          </w:tcPr>
          <w:p>
            <w:r>
              <w:rPr>
                <w:color w:val="16212B"/>
                <w:sz w:val="17"/>
              </w:rPr>
              <w:t>Critical semantic distinctions survive screenshot, grayscale and export.</w:t>
            </w:r>
          </w:p>
        </w:tc>
      </w:tr>
      <w:tr>
        <w:trPr>
          <w:cantSplit/>
        </w:trPr>
        <w:tc>
          <w:tcPr>
            <w:tcW w:type="dxa" w:w="1440"/>
            <w:tcMar>
              <w:top w:w="70" w:type="dxa"/>
              <w:start w:w="90" w:type="dxa"/>
              <w:bottom w:w="70" w:type="dxa"/>
              <w:end w:w="90" w:type="dxa"/>
            </w:tcMar>
            <w:vAlign w:val="center"/>
          </w:tcPr>
          <w:p>
            <w:r>
              <w:rPr>
                <w:color w:val="16212B"/>
                <w:sz w:val="17"/>
              </w:rPr>
              <w:t>HIFI-P08</w:t>
            </w:r>
          </w:p>
        </w:tc>
        <w:tc>
          <w:tcPr>
            <w:tcW w:type="dxa" w:w="2304"/>
            <w:tcMar>
              <w:top w:w="70" w:type="dxa"/>
              <w:start w:w="90" w:type="dxa"/>
              <w:bottom w:w="70" w:type="dxa"/>
              <w:end w:w="90" w:type="dxa"/>
            </w:tcMar>
            <w:vAlign w:val="center"/>
          </w:tcPr>
          <w:p>
            <w:r>
              <w:rPr>
                <w:color w:val="16212B"/>
                <w:sz w:val="17"/>
              </w:rPr>
              <w:t>Dense but legible</w:t>
            </w:r>
          </w:p>
        </w:tc>
        <w:tc>
          <w:tcPr>
            <w:tcW w:type="dxa" w:w="6768"/>
            <w:tcMar>
              <w:top w:w="70" w:type="dxa"/>
              <w:start w:w="90" w:type="dxa"/>
              <w:bottom w:w="70" w:type="dxa"/>
              <w:end w:w="90" w:type="dxa"/>
            </w:tcMar>
            <w:vAlign w:val="center"/>
          </w:tcPr>
          <w:p>
            <w:r>
              <w:rPr>
                <w:color w:val="16212B"/>
                <w:sz w:val="17"/>
              </w:rPr>
              <w:t>Data-dense screens use structured density rather than compressed typography.</w:t>
            </w:r>
          </w:p>
        </w:tc>
      </w:tr>
      <w:tr>
        <w:trPr>
          <w:cantSplit/>
        </w:trPr>
        <w:tc>
          <w:tcPr>
            <w:tcW w:type="dxa" w:w="1440"/>
            <w:tcMar>
              <w:top w:w="70" w:type="dxa"/>
              <w:start w:w="90" w:type="dxa"/>
              <w:bottom w:w="70" w:type="dxa"/>
              <w:end w:w="90" w:type="dxa"/>
            </w:tcMar>
            <w:vAlign w:val="center"/>
          </w:tcPr>
          <w:p>
            <w:r>
              <w:rPr>
                <w:color w:val="16212B"/>
                <w:sz w:val="17"/>
              </w:rPr>
              <w:t>HIFI-P09</w:t>
            </w:r>
          </w:p>
        </w:tc>
        <w:tc>
          <w:tcPr>
            <w:tcW w:type="dxa" w:w="2304"/>
            <w:tcMar>
              <w:top w:w="70" w:type="dxa"/>
              <w:start w:w="90" w:type="dxa"/>
              <w:bottom w:w="70" w:type="dxa"/>
              <w:end w:w="90" w:type="dxa"/>
            </w:tcMar>
            <w:vAlign w:val="center"/>
          </w:tcPr>
          <w:p>
            <w:r>
              <w:rPr>
                <w:color w:val="16212B"/>
                <w:sz w:val="17"/>
              </w:rPr>
              <w:t>Canonical consistency</w:t>
            </w:r>
          </w:p>
        </w:tc>
        <w:tc>
          <w:tcPr>
            <w:tcW w:type="dxa" w:w="6768"/>
            <w:tcMar>
              <w:top w:w="70" w:type="dxa"/>
              <w:start w:w="90" w:type="dxa"/>
              <w:bottom w:w="70" w:type="dxa"/>
              <w:end w:w="90" w:type="dxa"/>
            </w:tcMar>
            <w:vAlign w:val="center"/>
          </w:tcPr>
          <w:p>
            <w:r>
              <w:rPr>
                <w:color w:val="16212B"/>
                <w:sz w:val="17"/>
              </w:rPr>
              <w:t>The same object uses the same identity block across list, detail, graph and report contexts.</w:t>
            </w:r>
          </w:p>
        </w:tc>
      </w:tr>
      <w:tr>
        <w:trPr>
          <w:cantSplit/>
        </w:trPr>
        <w:tc>
          <w:tcPr>
            <w:tcW w:type="dxa" w:w="1440"/>
            <w:tcMar>
              <w:top w:w="70" w:type="dxa"/>
              <w:start w:w="90" w:type="dxa"/>
              <w:bottom w:w="70" w:type="dxa"/>
              <w:end w:w="90" w:type="dxa"/>
            </w:tcMar>
            <w:vAlign w:val="center"/>
          </w:tcPr>
          <w:p>
            <w:r>
              <w:rPr>
                <w:color w:val="16212B"/>
                <w:sz w:val="17"/>
              </w:rPr>
              <w:t>HIFI-P10</w:t>
            </w:r>
          </w:p>
        </w:tc>
        <w:tc>
          <w:tcPr>
            <w:tcW w:type="dxa" w:w="2304"/>
            <w:tcMar>
              <w:top w:w="70" w:type="dxa"/>
              <w:start w:w="90" w:type="dxa"/>
              <w:bottom w:w="70" w:type="dxa"/>
              <w:end w:w="90" w:type="dxa"/>
            </w:tcMar>
            <w:vAlign w:val="center"/>
          </w:tcPr>
          <w:p>
            <w:r>
              <w:rPr>
                <w:color w:val="16212B"/>
                <w:sz w:val="17"/>
              </w:rPr>
              <w:t>Accessible alternatives</w:t>
            </w:r>
          </w:p>
        </w:tc>
        <w:tc>
          <w:tcPr>
            <w:tcW w:type="dxa" w:w="6768"/>
            <w:tcMar>
              <w:top w:w="70" w:type="dxa"/>
              <w:start w:w="90" w:type="dxa"/>
              <w:bottom w:w="70" w:type="dxa"/>
              <w:end w:w="90" w:type="dxa"/>
            </w:tcMar>
            <w:vAlign w:val="center"/>
          </w:tcPr>
          <w:p>
            <w:r>
              <w:rPr>
                <w:color w:val="16212B"/>
                <w:sz w:val="17"/>
              </w:rPr>
              <w:t>Graphical views have equivalent navigable list/table representations where material.</w:t>
            </w:r>
          </w:p>
        </w:tc>
      </w:tr>
    </w:tbl>
    <w:p>
      <w:pPr>
        <w:spacing w:after="40"/>
      </w:pPr>
    </w:p>
    <w:p>
      <w:pPr>
        <w:pStyle w:val="Heading1"/>
      </w:pPr>
      <w:r>
        <w:t>3. Reference Viewport and Application Shell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shd w:fill="17324D"/>
            <w:tcMar>
              <w:top w:w="70" w:type="dxa"/>
              <w:start w:w="90" w:type="dxa"/>
              <w:bottom w:w="70" w:type="dxa"/>
              <w:end w:w="90" w:type="dxa"/>
            </w:tcMar>
            <w:vAlign w:val="center"/>
          </w:tcPr>
          <w:p>
            <w:r>
              <w:rPr>
                <w:b/>
                <w:color w:val="FFFFFF"/>
                <w:sz w:val="17"/>
              </w:rPr>
              <w:t>Token / region</w:t>
            </w:r>
          </w:p>
        </w:tc>
        <w:tc>
          <w:tcPr>
            <w:tcW w:type="dxa" w:w="2448"/>
            <w:shd w:fill="17324D"/>
            <w:tcMar>
              <w:top w:w="70" w:type="dxa"/>
              <w:start w:w="90" w:type="dxa"/>
              <w:bottom w:w="70" w:type="dxa"/>
              <w:end w:w="90" w:type="dxa"/>
            </w:tcMar>
            <w:vAlign w:val="center"/>
          </w:tcPr>
          <w:p>
            <w:r>
              <w:rPr>
                <w:b/>
                <w:color w:val="FFFFFF"/>
                <w:sz w:val="17"/>
              </w:rPr>
              <w:t>Desktop baseline</w:t>
            </w:r>
          </w:p>
        </w:tc>
        <w:tc>
          <w:tcPr>
            <w:tcW w:type="dxa" w:w="5472"/>
            <w:shd w:fill="17324D"/>
            <w:tcMar>
              <w:top w:w="70" w:type="dxa"/>
              <w:start w:w="90" w:type="dxa"/>
              <w:bottom w:w="70" w:type="dxa"/>
              <w:end w:w="90" w:type="dxa"/>
            </w:tcMar>
            <w:vAlign w:val="center"/>
          </w:tcPr>
          <w:p>
            <w:r>
              <w:rPr>
                <w:b/>
                <w:color w:val="FFFFFF"/>
                <w:sz w:val="17"/>
              </w:rPr>
              <w:t>Behaviour</w:t>
            </w:r>
          </w:p>
        </w:tc>
      </w:tr>
      <w:tr>
        <w:trPr>
          <w:cantSplit/>
        </w:trPr>
        <w:tc>
          <w:tcPr>
            <w:tcW w:type="dxa" w:w="2592"/>
            <w:tcMar>
              <w:top w:w="70" w:type="dxa"/>
              <w:start w:w="90" w:type="dxa"/>
              <w:bottom w:w="70" w:type="dxa"/>
              <w:end w:w="90" w:type="dxa"/>
            </w:tcMar>
            <w:vAlign w:val="center"/>
          </w:tcPr>
          <w:p>
            <w:r>
              <w:rPr>
                <w:color w:val="16212B"/>
                <w:sz w:val="17"/>
              </w:rPr>
              <w:t>Viewport</w:t>
            </w:r>
          </w:p>
        </w:tc>
        <w:tc>
          <w:tcPr>
            <w:tcW w:type="dxa" w:w="2448"/>
            <w:tcMar>
              <w:top w:w="70" w:type="dxa"/>
              <w:start w:w="90" w:type="dxa"/>
              <w:bottom w:w="70" w:type="dxa"/>
              <w:end w:w="90" w:type="dxa"/>
            </w:tcMar>
            <w:vAlign w:val="center"/>
          </w:tcPr>
          <w:p>
            <w:r>
              <w:rPr>
                <w:color w:val="16212B"/>
                <w:sz w:val="17"/>
              </w:rPr>
              <w:t>1440 × 900 reference</w:t>
            </w:r>
          </w:p>
        </w:tc>
        <w:tc>
          <w:tcPr>
            <w:tcW w:type="dxa" w:w="5472"/>
            <w:tcMar>
              <w:top w:w="70" w:type="dxa"/>
              <w:start w:w="90" w:type="dxa"/>
              <w:bottom w:w="70" w:type="dxa"/>
              <w:end w:w="90" w:type="dxa"/>
            </w:tcMar>
            <w:vAlign w:val="center"/>
          </w:tcPr>
          <w:p>
            <w:r>
              <w:rPr>
                <w:color w:val="16212B"/>
                <w:sz w:val="17"/>
              </w:rPr>
              <w:t>Primary design review target; supports 1280 minimum without loss of required functions.</w:t>
            </w:r>
          </w:p>
        </w:tc>
      </w:tr>
      <w:tr>
        <w:trPr>
          <w:cantSplit/>
        </w:trPr>
        <w:tc>
          <w:tcPr>
            <w:tcW w:type="dxa" w:w="2592"/>
            <w:tcMar>
              <w:top w:w="70" w:type="dxa"/>
              <w:start w:w="90" w:type="dxa"/>
              <w:bottom w:w="70" w:type="dxa"/>
              <w:end w:w="90" w:type="dxa"/>
            </w:tcMar>
            <w:vAlign w:val="center"/>
          </w:tcPr>
          <w:p>
            <w:r>
              <w:rPr>
                <w:color w:val="16212B"/>
                <w:sz w:val="17"/>
              </w:rPr>
              <w:t>Top application bar</w:t>
            </w:r>
          </w:p>
        </w:tc>
        <w:tc>
          <w:tcPr>
            <w:tcW w:type="dxa" w:w="2448"/>
            <w:tcMar>
              <w:top w:w="70" w:type="dxa"/>
              <w:start w:w="90" w:type="dxa"/>
              <w:bottom w:w="70" w:type="dxa"/>
              <w:end w:w="90" w:type="dxa"/>
            </w:tcMar>
            <w:vAlign w:val="center"/>
          </w:tcPr>
          <w:p>
            <w:r>
              <w:rPr>
                <w:color w:val="16212B"/>
                <w:sz w:val="17"/>
              </w:rPr>
              <w:t>56 px</w:t>
            </w:r>
          </w:p>
        </w:tc>
        <w:tc>
          <w:tcPr>
            <w:tcW w:type="dxa" w:w="5472"/>
            <w:tcMar>
              <w:top w:w="70" w:type="dxa"/>
              <w:start w:w="90" w:type="dxa"/>
              <w:bottom w:w="70" w:type="dxa"/>
              <w:end w:w="90" w:type="dxa"/>
            </w:tcMar>
            <w:vAlign w:val="center"/>
          </w:tcPr>
          <w:p>
            <w:r>
              <w:rPr>
                <w:color w:val="16212B"/>
                <w:sz w:val="17"/>
              </w:rPr>
              <w:t>Brand, primary destinations, global search trigger, user/session area.</w:t>
            </w:r>
          </w:p>
        </w:tc>
      </w:tr>
      <w:tr>
        <w:trPr>
          <w:cantSplit/>
        </w:trPr>
        <w:tc>
          <w:tcPr>
            <w:tcW w:type="dxa" w:w="2592"/>
            <w:tcMar>
              <w:top w:w="70" w:type="dxa"/>
              <w:start w:w="90" w:type="dxa"/>
              <w:bottom w:w="70" w:type="dxa"/>
              <w:end w:w="90" w:type="dxa"/>
            </w:tcMar>
            <w:vAlign w:val="center"/>
          </w:tcPr>
          <w:p>
            <w:r>
              <w:rPr>
                <w:color w:val="16212B"/>
                <w:sz w:val="17"/>
              </w:rPr>
              <w:t>Context header</w:t>
            </w:r>
          </w:p>
        </w:tc>
        <w:tc>
          <w:tcPr>
            <w:tcW w:type="dxa" w:w="2448"/>
            <w:tcMar>
              <w:top w:w="70" w:type="dxa"/>
              <w:start w:w="90" w:type="dxa"/>
              <w:bottom w:w="70" w:type="dxa"/>
              <w:end w:w="90" w:type="dxa"/>
            </w:tcMar>
            <w:vAlign w:val="center"/>
          </w:tcPr>
          <w:p>
            <w:r>
              <w:rPr>
                <w:color w:val="16212B"/>
                <w:sz w:val="17"/>
              </w:rPr>
              <w:t>72–96 px</w:t>
            </w:r>
          </w:p>
        </w:tc>
        <w:tc>
          <w:tcPr>
            <w:tcW w:type="dxa" w:w="5472"/>
            <w:tcMar>
              <w:top w:w="70" w:type="dxa"/>
              <w:start w:w="90" w:type="dxa"/>
              <w:bottom w:w="70" w:type="dxa"/>
              <w:end w:w="90" w:type="dxa"/>
            </w:tcMar>
            <w:vAlign w:val="center"/>
          </w:tcPr>
          <w:p>
            <w:r>
              <w:rPr>
                <w:color w:val="16212B"/>
                <w:sz w:val="17"/>
              </w:rPr>
              <w:t>Case/object title, stable ID, classification/status, primary actions.</w:t>
            </w:r>
          </w:p>
        </w:tc>
      </w:tr>
      <w:tr>
        <w:trPr>
          <w:cantSplit/>
        </w:trPr>
        <w:tc>
          <w:tcPr>
            <w:tcW w:type="dxa" w:w="2592"/>
            <w:tcMar>
              <w:top w:w="70" w:type="dxa"/>
              <w:start w:w="90" w:type="dxa"/>
              <w:bottom w:w="70" w:type="dxa"/>
              <w:end w:w="90" w:type="dxa"/>
            </w:tcMar>
            <w:vAlign w:val="center"/>
          </w:tcPr>
          <w:p>
            <w:r>
              <w:rPr>
                <w:color w:val="16212B"/>
                <w:sz w:val="17"/>
              </w:rPr>
              <w:t>Local navigation</w:t>
            </w:r>
          </w:p>
        </w:tc>
        <w:tc>
          <w:tcPr>
            <w:tcW w:type="dxa" w:w="2448"/>
            <w:tcMar>
              <w:top w:w="70" w:type="dxa"/>
              <w:start w:w="90" w:type="dxa"/>
              <w:bottom w:w="70" w:type="dxa"/>
              <w:end w:w="90" w:type="dxa"/>
            </w:tcMar>
            <w:vAlign w:val="center"/>
          </w:tcPr>
          <w:p>
            <w:r>
              <w:rPr>
                <w:color w:val="16212B"/>
                <w:sz w:val="17"/>
              </w:rPr>
              <w:t>40–44 px</w:t>
            </w:r>
          </w:p>
        </w:tc>
        <w:tc>
          <w:tcPr>
            <w:tcW w:type="dxa" w:w="5472"/>
            <w:tcMar>
              <w:top w:w="70" w:type="dxa"/>
              <w:start w:w="90" w:type="dxa"/>
              <w:bottom w:w="70" w:type="dxa"/>
              <w:end w:w="90" w:type="dxa"/>
            </w:tcMar>
            <w:vAlign w:val="center"/>
          </w:tcPr>
          <w:p>
            <w:r>
              <w:rPr>
                <w:color w:val="16212B"/>
                <w:sz w:val="17"/>
              </w:rPr>
              <w:t>Tabs or subnav scoped to current canonical context.</w:t>
            </w:r>
          </w:p>
        </w:tc>
      </w:tr>
      <w:tr>
        <w:trPr>
          <w:cantSplit/>
        </w:trPr>
        <w:tc>
          <w:tcPr>
            <w:tcW w:type="dxa" w:w="2592"/>
            <w:tcMar>
              <w:top w:w="70" w:type="dxa"/>
              <w:start w:w="90" w:type="dxa"/>
              <w:bottom w:w="70" w:type="dxa"/>
              <w:end w:w="90" w:type="dxa"/>
            </w:tcMar>
            <w:vAlign w:val="center"/>
          </w:tcPr>
          <w:p>
            <w:r>
              <w:rPr>
                <w:color w:val="16212B"/>
                <w:sz w:val="17"/>
              </w:rPr>
              <w:t>Main content</w:t>
            </w:r>
          </w:p>
        </w:tc>
        <w:tc>
          <w:tcPr>
            <w:tcW w:type="dxa" w:w="2448"/>
            <w:tcMar>
              <w:top w:w="70" w:type="dxa"/>
              <w:start w:w="90" w:type="dxa"/>
              <w:bottom w:w="70" w:type="dxa"/>
              <w:end w:w="90" w:type="dxa"/>
            </w:tcMar>
            <w:vAlign w:val="center"/>
          </w:tcPr>
          <w:p>
            <w:r>
              <w:rPr>
                <w:color w:val="16212B"/>
                <w:sz w:val="17"/>
              </w:rPr>
              <w:t>Fluid</w:t>
            </w:r>
          </w:p>
        </w:tc>
        <w:tc>
          <w:tcPr>
            <w:tcW w:type="dxa" w:w="5472"/>
            <w:tcMar>
              <w:top w:w="70" w:type="dxa"/>
              <w:start w:w="90" w:type="dxa"/>
              <w:bottom w:w="70" w:type="dxa"/>
              <w:end w:w="90" w:type="dxa"/>
            </w:tcMar>
            <w:vAlign w:val="center"/>
          </w:tcPr>
          <w:p>
            <w:r>
              <w:rPr>
                <w:color w:val="16212B"/>
                <w:sz w:val="17"/>
              </w:rPr>
              <w:t>Maximum readable prose width; analytical canvas may use full remaining width.</w:t>
            </w:r>
          </w:p>
        </w:tc>
      </w:tr>
      <w:tr>
        <w:trPr>
          <w:cantSplit/>
        </w:trPr>
        <w:tc>
          <w:tcPr>
            <w:tcW w:type="dxa" w:w="2592"/>
            <w:tcMar>
              <w:top w:w="70" w:type="dxa"/>
              <w:start w:w="90" w:type="dxa"/>
              <w:bottom w:w="70" w:type="dxa"/>
              <w:end w:w="90" w:type="dxa"/>
            </w:tcMar>
            <w:vAlign w:val="center"/>
          </w:tcPr>
          <w:p>
            <w:r>
              <w:rPr>
                <w:color w:val="16212B"/>
                <w:sz w:val="17"/>
              </w:rPr>
              <w:t>Inspector rail</w:t>
            </w:r>
          </w:p>
        </w:tc>
        <w:tc>
          <w:tcPr>
            <w:tcW w:type="dxa" w:w="2448"/>
            <w:tcMar>
              <w:top w:w="70" w:type="dxa"/>
              <w:start w:w="90" w:type="dxa"/>
              <w:bottom w:w="70" w:type="dxa"/>
              <w:end w:w="90" w:type="dxa"/>
            </w:tcMar>
            <w:vAlign w:val="center"/>
          </w:tcPr>
          <w:p>
            <w:r>
              <w:rPr>
                <w:color w:val="16212B"/>
                <w:sz w:val="17"/>
              </w:rPr>
              <w:t>320–380 px</w:t>
            </w:r>
          </w:p>
        </w:tc>
        <w:tc>
          <w:tcPr>
            <w:tcW w:type="dxa" w:w="5472"/>
            <w:tcMar>
              <w:top w:w="70" w:type="dxa"/>
              <w:start w:w="90" w:type="dxa"/>
              <w:bottom w:w="70" w:type="dxa"/>
              <w:end w:w="90" w:type="dxa"/>
            </w:tcMar>
            <w:vAlign w:val="center"/>
          </w:tcPr>
          <w:p>
            <w:r>
              <w:rPr>
                <w:color w:val="16212B"/>
                <w:sz w:val="17"/>
              </w:rPr>
              <w:t>Evidence/provenance/object details; collapsible below wide desktop.</w:t>
            </w:r>
          </w:p>
        </w:tc>
      </w:tr>
      <w:tr>
        <w:trPr>
          <w:cantSplit/>
        </w:trPr>
        <w:tc>
          <w:tcPr>
            <w:tcW w:type="dxa" w:w="2592"/>
            <w:tcMar>
              <w:top w:w="70" w:type="dxa"/>
              <w:start w:w="90" w:type="dxa"/>
              <w:bottom w:w="70" w:type="dxa"/>
              <w:end w:w="90" w:type="dxa"/>
            </w:tcMar>
            <w:vAlign w:val="center"/>
          </w:tcPr>
          <w:p>
            <w:r>
              <w:rPr>
                <w:color w:val="16212B"/>
                <w:sz w:val="17"/>
              </w:rPr>
              <w:t>Page gutter</w:t>
            </w:r>
          </w:p>
        </w:tc>
        <w:tc>
          <w:tcPr>
            <w:tcW w:type="dxa" w:w="2448"/>
            <w:tcMar>
              <w:top w:w="70" w:type="dxa"/>
              <w:start w:w="90" w:type="dxa"/>
              <w:bottom w:w="70" w:type="dxa"/>
              <w:end w:w="90" w:type="dxa"/>
            </w:tcMar>
            <w:vAlign w:val="center"/>
          </w:tcPr>
          <w:p>
            <w:r>
              <w:rPr>
                <w:color w:val="16212B"/>
                <w:sz w:val="17"/>
              </w:rPr>
              <w:t>24–32 px</w:t>
            </w:r>
          </w:p>
        </w:tc>
        <w:tc>
          <w:tcPr>
            <w:tcW w:type="dxa" w:w="5472"/>
            <w:tcMar>
              <w:top w:w="70" w:type="dxa"/>
              <w:start w:w="90" w:type="dxa"/>
              <w:bottom w:w="70" w:type="dxa"/>
              <w:end w:w="90" w:type="dxa"/>
            </w:tcMar>
            <w:vAlign w:val="center"/>
          </w:tcPr>
          <w:p>
            <w:r>
              <w:rPr>
                <w:color w:val="16212B"/>
                <w:sz w:val="17"/>
              </w:rPr>
              <w:t>Minimum 20 px at 1280.</w:t>
            </w:r>
          </w:p>
        </w:tc>
      </w:tr>
      <w:tr>
        <w:trPr>
          <w:cantSplit/>
        </w:trPr>
        <w:tc>
          <w:tcPr>
            <w:tcW w:type="dxa" w:w="2592"/>
            <w:tcMar>
              <w:top w:w="70" w:type="dxa"/>
              <w:start w:w="90" w:type="dxa"/>
              <w:bottom w:w="70" w:type="dxa"/>
              <w:end w:w="90" w:type="dxa"/>
            </w:tcMar>
            <w:vAlign w:val="center"/>
          </w:tcPr>
          <w:p>
            <w:r>
              <w:rPr>
                <w:color w:val="16212B"/>
                <w:sz w:val="17"/>
              </w:rPr>
              <w:t>Dense table row</w:t>
            </w:r>
          </w:p>
        </w:tc>
        <w:tc>
          <w:tcPr>
            <w:tcW w:type="dxa" w:w="2448"/>
            <w:tcMar>
              <w:top w:w="70" w:type="dxa"/>
              <w:start w:w="90" w:type="dxa"/>
              <w:bottom w:w="70" w:type="dxa"/>
              <w:end w:w="90" w:type="dxa"/>
            </w:tcMar>
            <w:vAlign w:val="center"/>
          </w:tcPr>
          <w:p>
            <w:r>
              <w:rPr>
                <w:color w:val="16212B"/>
                <w:sz w:val="17"/>
              </w:rPr>
              <w:t>36–40 px</w:t>
            </w:r>
          </w:p>
        </w:tc>
        <w:tc>
          <w:tcPr>
            <w:tcW w:type="dxa" w:w="5472"/>
            <w:tcMar>
              <w:top w:w="70" w:type="dxa"/>
              <w:start w:w="90" w:type="dxa"/>
              <w:bottom w:w="70" w:type="dxa"/>
              <w:end w:w="90" w:type="dxa"/>
            </w:tcMar>
            <w:vAlign w:val="center"/>
          </w:tcPr>
          <w:p>
            <w:r>
              <w:rPr>
                <w:color w:val="16212B"/>
                <w:sz w:val="17"/>
              </w:rPr>
              <w:t>Default investigation register density.</w:t>
            </w:r>
          </w:p>
        </w:tc>
      </w:tr>
      <w:tr>
        <w:trPr>
          <w:cantSplit/>
        </w:trPr>
        <w:tc>
          <w:tcPr>
            <w:tcW w:type="dxa" w:w="2592"/>
            <w:tcMar>
              <w:top w:w="70" w:type="dxa"/>
              <w:start w:w="90" w:type="dxa"/>
              <w:bottom w:w="70" w:type="dxa"/>
              <w:end w:w="90" w:type="dxa"/>
            </w:tcMar>
            <w:vAlign w:val="center"/>
          </w:tcPr>
          <w:p>
            <w:r>
              <w:rPr>
                <w:color w:val="16212B"/>
                <w:sz w:val="17"/>
              </w:rPr>
              <w:t>Comfortable row</w:t>
            </w:r>
          </w:p>
        </w:tc>
        <w:tc>
          <w:tcPr>
            <w:tcW w:type="dxa" w:w="2448"/>
            <w:tcMar>
              <w:top w:w="70" w:type="dxa"/>
              <w:start w:w="90" w:type="dxa"/>
              <w:bottom w:w="70" w:type="dxa"/>
              <w:end w:w="90" w:type="dxa"/>
            </w:tcMar>
            <w:vAlign w:val="center"/>
          </w:tcPr>
          <w:p>
            <w:r>
              <w:rPr>
                <w:color w:val="16212B"/>
                <w:sz w:val="17"/>
              </w:rPr>
              <w:t>44–48 px</w:t>
            </w:r>
          </w:p>
        </w:tc>
        <w:tc>
          <w:tcPr>
            <w:tcW w:type="dxa" w:w="5472"/>
            <w:tcMar>
              <w:top w:w="70" w:type="dxa"/>
              <w:start w:w="90" w:type="dxa"/>
              <w:bottom w:w="70" w:type="dxa"/>
              <w:end w:w="90" w:type="dxa"/>
            </w:tcMar>
            <w:vAlign w:val="center"/>
          </w:tcPr>
          <w:p>
            <w:r>
              <w:rPr>
                <w:color w:val="16212B"/>
                <w:sz w:val="17"/>
              </w:rPr>
              <w:t>Forms, review lists, mixed content.</w:t>
            </w:r>
          </w:p>
        </w:tc>
      </w:tr>
      <w:tr>
        <w:trPr>
          <w:cantSplit/>
        </w:trPr>
        <w:tc>
          <w:tcPr>
            <w:tcW w:type="dxa" w:w="2592"/>
            <w:tcMar>
              <w:top w:w="70" w:type="dxa"/>
              <w:start w:w="90" w:type="dxa"/>
              <w:bottom w:w="70" w:type="dxa"/>
              <w:end w:w="90" w:type="dxa"/>
            </w:tcMar>
            <w:vAlign w:val="center"/>
          </w:tcPr>
          <w:p>
            <w:r>
              <w:rPr>
                <w:color w:val="16212B"/>
                <w:sz w:val="17"/>
              </w:rPr>
              <w:t>Primary action height</w:t>
            </w:r>
          </w:p>
        </w:tc>
        <w:tc>
          <w:tcPr>
            <w:tcW w:type="dxa" w:w="2448"/>
            <w:tcMar>
              <w:top w:w="70" w:type="dxa"/>
              <w:start w:w="90" w:type="dxa"/>
              <w:bottom w:w="70" w:type="dxa"/>
              <w:end w:w="90" w:type="dxa"/>
            </w:tcMar>
            <w:vAlign w:val="center"/>
          </w:tcPr>
          <w:p>
            <w:r>
              <w:rPr>
                <w:color w:val="16212B"/>
                <w:sz w:val="17"/>
              </w:rPr>
              <w:t>36–40 px</w:t>
            </w:r>
          </w:p>
        </w:tc>
        <w:tc>
          <w:tcPr>
            <w:tcW w:type="dxa" w:w="5472"/>
            <w:tcMar>
              <w:top w:w="70" w:type="dxa"/>
              <w:start w:w="90" w:type="dxa"/>
              <w:bottom w:w="70" w:type="dxa"/>
              <w:end w:w="90" w:type="dxa"/>
            </w:tcMar>
            <w:vAlign w:val="center"/>
          </w:tcPr>
          <w:p>
            <w:r>
              <w:rPr>
                <w:color w:val="16212B"/>
                <w:sz w:val="17"/>
              </w:rPr>
              <w:t>44 px target for touch contexts where relevant.</w:t>
            </w:r>
          </w:p>
        </w:tc>
      </w:tr>
    </w:tbl>
    <w:p>
      <w:pPr>
        <w:spacing w:after="40"/>
      </w:pP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30" w:type="dxa"/>
              <w:bottom w:w="110" w:type="dxa"/>
              <w:end w:w="130" w:type="dxa"/>
            </w:tcMar>
          </w:tcPr>
          <w:p>
            <w:r>
              <w:rPr>
                <w:b/>
                <w:color w:val="285C8E"/>
                <w:sz w:val="21"/>
              </w:rPr>
              <w:t>Shell composition</w:t>
              <w:br/>
            </w:r>
            <w:r>
              <w:rPr>
                <w:color w:val="16212B"/>
                <w:sz w:val="19"/>
              </w:rPr>
              <w:t>The global shell SHALL remain visually quieter than case/object content. Classification and workflow risk use semantic banners only when action is required; they are not persistent decorative chrome.</w:t>
            </w:r>
          </w:p>
        </w:tc>
      </w:tr>
    </w:tbl>
    <w:p>
      <w:pPr>
        <w:spacing w:after="40"/>
      </w:pPr>
    </w:p>
    <w:p>
      <w:pPr>
        <w:pStyle w:val="Heading1"/>
      </w:pPr>
      <w:r>
        <w:t>4. High-Fidelity Token Application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shd w:fill="17324D"/>
            <w:tcMar>
              <w:top w:w="70" w:type="dxa"/>
              <w:start w:w="90" w:type="dxa"/>
              <w:bottom w:w="70" w:type="dxa"/>
              <w:end w:w="90" w:type="dxa"/>
            </w:tcMar>
            <w:vAlign w:val="center"/>
          </w:tcPr>
          <w:p>
            <w:r>
              <w:rPr>
                <w:b/>
                <w:color w:val="FFFFFF"/>
                <w:sz w:val="17"/>
              </w:rPr>
              <w:t>Semantic role</w:t>
            </w:r>
          </w:p>
        </w:tc>
        <w:tc>
          <w:tcPr>
            <w:tcW w:type="dxa" w:w="2592"/>
            <w:shd w:fill="17324D"/>
            <w:tcMar>
              <w:top w:w="70" w:type="dxa"/>
              <w:start w:w="90" w:type="dxa"/>
              <w:bottom w:w="70" w:type="dxa"/>
              <w:end w:w="90" w:type="dxa"/>
            </w:tcMar>
            <w:vAlign w:val="center"/>
          </w:tcPr>
          <w:p>
            <w:r>
              <w:rPr>
                <w:b/>
                <w:color w:val="FFFFFF"/>
                <w:sz w:val="17"/>
              </w:rPr>
              <w:t>Reference treatment</w:t>
            </w:r>
          </w:p>
        </w:tc>
        <w:tc>
          <w:tcPr>
            <w:tcW w:type="dxa" w:w="5328"/>
            <w:shd w:fill="17324D"/>
            <w:tcMar>
              <w:top w:w="70" w:type="dxa"/>
              <w:start w:w="90" w:type="dxa"/>
              <w:bottom w:w="70" w:type="dxa"/>
              <w:end w:w="90" w:type="dxa"/>
            </w:tcMar>
            <w:vAlign w:val="center"/>
          </w:tcPr>
          <w:p>
            <w:r>
              <w:rPr>
                <w:b/>
                <w:color w:val="FFFFFF"/>
                <w:sz w:val="17"/>
              </w:rPr>
              <w:t>Usage constraint</w:t>
            </w:r>
          </w:p>
        </w:tc>
      </w:tr>
      <w:tr>
        <w:trPr>
          <w:cantSplit/>
        </w:trPr>
        <w:tc>
          <w:tcPr>
            <w:tcW w:type="dxa" w:w="2592"/>
            <w:tcMar>
              <w:top w:w="70" w:type="dxa"/>
              <w:start w:w="90" w:type="dxa"/>
              <w:bottom w:w="70" w:type="dxa"/>
              <w:end w:w="90" w:type="dxa"/>
            </w:tcMar>
            <w:vAlign w:val="center"/>
          </w:tcPr>
          <w:p>
            <w:r>
              <w:rPr>
                <w:color w:val="16212B"/>
                <w:sz w:val="17"/>
              </w:rPr>
              <w:t>Canvas</w:t>
            </w:r>
          </w:p>
        </w:tc>
        <w:tc>
          <w:tcPr>
            <w:tcW w:type="dxa" w:w="2592"/>
            <w:tcMar>
              <w:top w:w="70" w:type="dxa"/>
              <w:start w:w="90" w:type="dxa"/>
              <w:bottom w:w="70" w:type="dxa"/>
              <w:end w:w="90" w:type="dxa"/>
            </w:tcMar>
            <w:vAlign w:val="center"/>
          </w:tcPr>
          <w:p>
            <w:r>
              <w:rPr>
                <w:color w:val="16212B"/>
                <w:sz w:val="17"/>
              </w:rPr>
              <w:t>#F7F9FB</w:t>
            </w:r>
          </w:p>
        </w:tc>
        <w:tc>
          <w:tcPr>
            <w:tcW w:type="dxa" w:w="5328"/>
            <w:tcMar>
              <w:top w:w="70" w:type="dxa"/>
              <w:start w:w="90" w:type="dxa"/>
              <w:bottom w:w="70" w:type="dxa"/>
              <w:end w:w="90" w:type="dxa"/>
            </w:tcMar>
            <w:vAlign w:val="center"/>
          </w:tcPr>
          <w:p>
            <w:r>
              <w:rPr>
                <w:color w:val="16212B"/>
                <w:sz w:val="17"/>
              </w:rPr>
              <w:t>Main application background; not for cards needing hierarchy.</w:t>
            </w:r>
          </w:p>
        </w:tc>
      </w:tr>
      <w:tr>
        <w:trPr>
          <w:cantSplit/>
        </w:trPr>
        <w:tc>
          <w:tcPr>
            <w:tcW w:type="dxa" w:w="2592"/>
            <w:tcMar>
              <w:top w:w="70" w:type="dxa"/>
              <w:start w:w="90" w:type="dxa"/>
              <w:bottom w:w="70" w:type="dxa"/>
              <w:end w:w="90" w:type="dxa"/>
            </w:tcMar>
            <w:vAlign w:val="center"/>
          </w:tcPr>
          <w:p>
            <w:r>
              <w:rPr>
                <w:color w:val="16212B"/>
                <w:sz w:val="17"/>
              </w:rPr>
              <w:t>Primary text</w:t>
            </w:r>
          </w:p>
        </w:tc>
        <w:tc>
          <w:tcPr>
            <w:tcW w:type="dxa" w:w="2592"/>
            <w:tcMar>
              <w:top w:w="70" w:type="dxa"/>
              <w:start w:w="90" w:type="dxa"/>
              <w:bottom w:w="70" w:type="dxa"/>
              <w:end w:w="90" w:type="dxa"/>
            </w:tcMar>
            <w:vAlign w:val="center"/>
          </w:tcPr>
          <w:p>
            <w:r>
              <w:rPr>
                <w:color w:val="16212B"/>
                <w:sz w:val="17"/>
              </w:rPr>
              <w:t>#16212B</w:t>
            </w:r>
          </w:p>
        </w:tc>
        <w:tc>
          <w:tcPr>
            <w:tcW w:type="dxa" w:w="5328"/>
            <w:tcMar>
              <w:top w:w="70" w:type="dxa"/>
              <w:start w:w="90" w:type="dxa"/>
              <w:bottom w:w="70" w:type="dxa"/>
              <w:end w:w="90" w:type="dxa"/>
            </w:tcMar>
            <w:vAlign w:val="center"/>
          </w:tcPr>
          <w:p>
            <w:r>
              <w:rPr>
                <w:color w:val="16212B"/>
                <w:sz w:val="17"/>
              </w:rPr>
              <w:t>Default text and icons.</w:t>
            </w:r>
          </w:p>
        </w:tc>
      </w:tr>
      <w:tr>
        <w:trPr>
          <w:cantSplit/>
        </w:trPr>
        <w:tc>
          <w:tcPr>
            <w:tcW w:type="dxa" w:w="2592"/>
            <w:tcMar>
              <w:top w:w="70" w:type="dxa"/>
              <w:start w:w="90" w:type="dxa"/>
              <w:bottom w:w="70" w:type="dxa"/>
              <w:end w:w="90" w:type="dxa"/>
            </w:tcMar>
            <w:vAlign w:val="center"/>
          </w:tcPr>
          <w:p>
            <w:r>
              <w:rPr>
                <w:color w:val="16212B"/>
                <w:sz w:val="17"/>
              </w:rPr>
              <w:t>Primary action</w:t>
            </w:r>
          </w:p>
        </w:tc>
        <w:tc>
          <w:tcPr>
            <w:tcW w:type="dxa" w:w="2592"/>
            <w:tcMar>
              <w:top w:w="70" w:type="dxa"/>
              <w:start w:w="90" w:type="dxa"/>
              <w:bottom w:w="70" w:type="dxa"/>
              <w:end w:w="90" w:type="dxa"/>
            </w:tcMar>
            <w:vAlign w:val="center"/>
          </w:tcPr>
          <w:p>
            <w:r>
              <w:rPr>
                <w:color w:val="16212B"/>
                <w:sz w:val="17"/>
              </w:rPr>
              <w:t>#285C8E</w:t>
            </w:r>
          </w:p>
        </w:tc>
        <w:tc>
          <w:tcPr>
            <w:tcW w:type="dxa" w:w="5328"/>
            <w:tcMar>
              <w:top w:w="70" w:type="dxa"/>
              <w:start w:w="90" w:type="dxa"/>
              <w:bottom w:w="70" w:type="dxa"/>
              <w:end w:w="90" w:type="dxa"/>
            </w:tcMar>
            <w:vAlign w:val="center"/>
          </w:tcPr>
          <w:p>
            <w:r>
              <w:rPr>
                <w:color w:val="16212B"/>
                <w:sz w:val="17"/>
              </w:rPr>
              <w:t>Primary button/link emphasis; one dominant primary action per local task zone.</w:t>
            </w:r>
          </w:p>
        </w:tc>
      </w:tr>
      <w:tr>
        <w:trPr>
          <w:cantSplit/>
        </w:trPr>
        <w:tc>
          <w:tcPr>
            <w:tcW w:type="dxa" w:w="2592"/>
            <w:tcMar>
              <w:top w:w="70" w:type="dxa"/>
              <w:start w:w="90" w:type="dxa"/>
              <w:bottom w:w="70" w:type="dxa"/>
              <w:end w:w="90" w:type="dxa"/>
            </w:tcMar>
            <w:vAlign w:val="center"/>
          </w:tcPr>
          <w:p>
            <w:r>
              <w:rPr>
                <w:color w:val="16212B"/>
                <w:sz w:val="17"/>
              </w:rPr>
              <w:t>Success</w:t>
            </w:r>
          </w:p>
        </w:tc>
        <w:tc>
          <w:tcPr>
            <w:tcW w:type="dxa" w:w="2592"/>
            <w:tcMar>
              <w:top w:w="70" w:type="dxa"/>
              <w:start w:w="90" w:type="dxa"/>
              <w:bottom w:w="70" w:type="dxa"/>
              <w:end w:w="90" w:type="dxa"/>
            </w:tcMar>
            <w:vAlign w:val="center"/>
          </w:tcPr>
          <w:p>
            <w:r>
              <w:rPr>
                <w:color w:val="16212B"/>
                <w:sz w:val="17"/>
              </w:rPr>
              <w:t>#246B4A</w:t>
            </w:r>
          </w:p>
        </w:tc>
        <w:tc>
          <w:tcPr>
            <w:tcW w:type="dxa" w:w="5328"/>
            <w:tcMar>
              <w:top w:w="70" w:type="dxa"/>
              <w:start w:w="90" w:type="dxa"/>
              <w:bottom w:w="70" w:type="dxa"/>
              <w:end w:w="90" w:type="dxa"/>
            </w:tcMar>
            <w:vAlign w:val="center"/>
          </w:tcPr>
          <w:p>
            <w:r>
              <w:rPr>
                <w:color w:val="16212B"/>
                <w:sz w:val="17"/>
              </w:rPr>
              <w:t>Completed/approved state; never evidence of innocence.</w:t>
            </w:r>
          </w:p>
        </w:tc>
      </w:tr>
      <w:tr>
        <w:trPr>
          <w:cantSplit/>
        </w:trPr>
        <w:tc>
          <w:tcPr>
            <w:tcW w:type="dxa" w:w="2592"/>
            <w:tcMar>
              <w:top w:w="70" w:type="dxa"/>
              <w:start w:w="90" w:type="dxa"/>
              <w:bottom w:w="70" w:type="dxa"/>
              <w:end w:w="90" w:type="dxa"/>
            </w:tcMar>
            <w:vAlign w:val="center"/>
          </w:tcPr>
          <w:p>
            <w:r>
              <w:rPr>
                <w:color w:val="16212B"/>
                <w:sz w:val="17"/>
              </w:rPr>
              <w:t>Warning / review</w:t>
            </w:r>
          </w:p>
        </w:tc>
        <w:tc>
          <w:tcPr>
            <w:tcW w:type="dxa" w:w="2592"/>
            <w:tcMar>
              <w:top w:w="70" w:type="dxa"/>
              <w:start w:w="90" w:type="dxa"/>
              <w:bottom w:w="70" w:type="dxa"/>
              <w:end w:w="90" w:type="dxa"/>
            </w:tcMar>
            <w:vAlign w:val="center"/>
          </w:tcPr>
          <w:p>
            <w:r>
              <w:rPr>
                <w:color w:val="16212B"/>
                <w:sz w:val="17"/>
              </w:rPr>
              <w:t>#8A5A00</w:t>
            </w:r>
          </w:p>
        </w:tc>
        <w:tc>
          <w:tcPr>
            <w:tcW w:type="dxa" w:w="5328"/>
            <w:tcMar>
              <w:top w:w="70" w:type="dxa"/>
              <w:start w:w="90" w:type="dxa"/>
              <w:bottom w:w="70" w:type="dxa"/>
              <w:end w:w="90" w:type="dxa"/>
            </w:tcMar>
            <w:vAlign w:val="center"/>
          </w:tcPr>
          <w:p>
            <w:r>
              <w:rPr>
                <w:color w:val="16212B"/>
                <w:sz w:val="17"/>
              </w:rPr>
              <w:t>Review needed, caution, unresolved condition.</w:t>
            </w:r>
          </w:p>
        </w:tc>
      </w:tr>
      <w:tr>
        <w:trPr>
          <w:cantSplit/>
        </w:trPr>
        <w:tc>
          <w:tcPr>
            <w:tcW w:type="dxa" w:w="2592"/>
            <w:tcMar>
              <w:top w:w="70" w:type="dxa"/>
              <w:start w:w="90" w:type="dxa"/>
              <w:bottom w:w="70" w:type="dxa"/>
              <w:end w:w="90" w:type="dxa"/>
            </w:tcMar>
            <w:vAlign w:val="center"/>
          </w:tcPr>
          <w:p>
            <w:r>
              <w:rPr>
                <w:color w:val="16212B"/>
                <w:sz w:val="17"/>
              </w:rPr>
              <w:t>Destructive / error</w:t>
            </w:r>
          </w:p>
        </w:tc>
        <w:tc>
          <w:tcPr>
            <w:tcW w:type="dxa" w:w="2592"/>
            <w:tcMar>
              <w:top w:w="70" w:type="dxa"/>
              <w:start w:w="90" w:type="dxa"/>
              <w:bottom w:w="70" w:type="dxa"/>
              <w:end w:w="90" w:type="dxa"/>
            </w:tcMar>
            <w:vAlign w:val="center"/>
          </w:tcPr>
          <w:p>
            <w:r>
              <w:rPr>
                <w:color w:val="16212B"/>
                <w:sz w:val="17"/>
              </w:rPr>
              <w:t>#A13333</w:t>
            </w:r>
          </w:p>
        </w:tc>
        <w:tc>
          <w:tcPr>
            <w:tcW w:type="dxa" w:w="5328"/>
            <w:tcMar>
              <w:top w:w="70" w:type="dxa"/>
              <w:start w:w="90" w:type="dxa"/>
              <w:bottom w:w="70" w:type="dxa"/>
              <w:end w:w="90" w:type="dxa"/>
            </w:tcMar>
            <w:vAlign w:val="center"/>
          </w:tcPr>
          <w:p>
            <w:r>
              <w:rPr>
                <w:color w:val="16212B"/>
                <w:sz w:val="17"/>
              </w:rPr>
              <w:t>Technical error, destructive action, integrity failure—not investigated subject.</w:t>
            </w:r>
          </w:p>
        </w:tc>
      </w:tr>
      <w:tr>
        <w:trPr>
          <w:cantSplit/>
        </w:trPr>
        <w:tc>
          <w:tcPr>
            <w:tcW w:type="dxa" w:w="2592"/>
            <w:tcMar>
              <w:top w:w="70" w:type="dxa"/>
              <w:start w:w="90" w:type="dxa"/>
              <w:bottom w:w="70" w:type="dxa"/>
              <w:end w:w="90" w:type="dxa"/>
            </w:tcMar>
            <w:vAlign w:val="center"/>
          </w:tcPr>
          <w:p>
            <w:r>
              <w:rPr>
                <w:color w:val="16212B"/>
                <w:sz w:val="17"/>
              </w:rPr>
              <w:t>Analytical construct</w:t>
            </w:r>
          </w:p>
        </w:tc>
        <w:tc>
          <w:tcPr>
            <w:tcW w:type="dxa" w:w="2592"/>
            <w:tcMar>
              <w:top w:w="70" w:type="dxa"/>
              <w:start w:w="90" w:type="dxa"/>
              <w:bottom w:w="70" w:type="dxa"/>
              <w:end w:w="90" w:type="dxa"/>
            </w:tcMar>
            <w:vAlign w:val="center"/>
          </w:tcPr>
          <w:p>
            <w:r>
              <w:rPr>
                <w:color w:val="16212B"/>
                <w:sz w:val="17"/>
              </w:rPr>
              <w:t>#5B4B8A</w:t>
            </w:r>
          </w:p>
        </w:tc>
        <w:tc>
          <w:tcPr>
            <w:tcW w:type="dxa" w:w="5328"/>
            <w:tcMar>
              <w:top w:w="70" w:type="dxa"/>
              <w:start w:w="90" w:type="dxa"/>
              <w:bottom w:w="70" w:type="dxa"/>
              <w:end w:w="90" w:type="dxa"/>
            </w:tcMar>
            <w:vAlign w:val="center"/>
          </w:tcPr>
          <w:p>
            <w:r>
              <w:rPr>
                <w:color w:val="16212B"/>
                <w:sz w:val="17"/>
              </w:rPr>
              <w:t>Hypothesis/inference/derived analytical construct.</w:t>
            </w:r>
          </w:p>
        </w:tc>
      </w:tr>
      <w:tr>
        <w:trPr>
          <w:cantSplit/>
        </w:trPr>
        <w:tc>
          <w:tcPr>
            <w:tcW w:type="dxa" w:w="2592"/>
            <w:tcMar>
              <w:top w:w="70" w:type="dxa"/>
              <w:start w:w="90" w:type="dxa"/>
              <w:bottom w:w="70" w:type="dxa"/>
              <w:end w:w="90" w:type="dxa"/>
            </w:tcMar>
            <w:vAlign w:val="center"/>
          </w:tcPr>
          <w:p>
            <w:r>
              <w:rPr>
                <w:color w:val="16212B"/>
                <w:sz w:val="17"/>
              </w:rPr>
              <w:t>Documented state</w:t>
            </w:r>
          </w:p>
        </w:tc>
        <w:tc>
          <w:tcPr>
            <w:tcW w:type="dxa" w:w="2592"/>
            <w:tcMar>
              <w:top w:w="70" w:type="dxa"/>
              <w:start w:w="90" w:type="dxa"/>
              <w:bottom w:w="70" w:type="dxa"/>
              <w:end w:w="90" w:type="dxa"/>
            </w:tcMar>
            <w:vAlign w:val="center"/>
          </w:tcPr>
          <w:p>
            <w:r>
              <w:rPr>
                <w:color w:val="16212B"/>
                <w:sz w:val="17"/>
              </w:rPr>
              <w:t>#236A73</w:t>
            </w:r>
          </w:p>
        </w:tc>
        <w:tc>
          <w:tcPr>
            <w:tcW w:type="dxa" w:w="5328"/>
            <w:tcMar>
              <w:top w:w="70" w:type="dxa"/>
              <w:start w:w="90" w:type="dxa"/>
              <w:bottom w:w="70" w:type="dxa"/>
              <w:end w:w="90" w:type="dxa"/>
            </w:tcMar>
            <w:vAlign w:val="center"/>
          </w:tcPr>
          <w:p>
            <w:r>
              <w:rPr>
                <w:color w:val="16212B"/>
                <w:sz w:val="17"/>
              </w:rPr>
              <w:t>Documented analytical state where distinct from direct evidence.</w:t>
            </w:r>
          </w:p>
        </w:tc>
      </w:tr>
      <w:tr>
        <w:trPr>
          <w:cantSplit/>
        </w:trPr>
        <w:tc>
          <w:tcPr>
            <w:tcW w:type="dxa" w:w="2592"/>
            <w:tcMar>
              <w:top w:w="70" w:type="dxa"/>
              <w:start w:w="90" w:type="dxa"/>
              <w:bottom w:w="70" w:type="dxa"/>
              <w:end w:w="90" w:type="dxa"/>
            </w:tcMar>
            <w:vAlign w:val="center"/>
          </w:tcPr>
          <w:p>
            <w:r>
              <w:rPr>
                <w:color w:val="16212B"/>
                <w:sz w:val="17"/>
              </w:rPr>
              <w:t>Border</w:t>
            </w:r>
          </w:p>
        </w:tc>
        <w:tc>
          <w:tcPr>
            <w:tcW w:type="dxa" w:w="2592"/>
            <w:tcMar>
              <w:top w:w="70" w:type="dxa"/>
              <w:start w:w="90" w:type="dxa"/>
              <w:bottom w:w="70" w:type="dxa"/>
              <w:end w:w="90" w:type="dxa"/>
            </w:tcMar>
            <w:vAlign w:val="center"/>
          </w:tcPr>
          <w:p>
            <w:r>
              <w:rPr>
                <w:color w:val="16212B"/>
                <w:sz w:val="17"/>
              </w:rPr>
              <w:t>#CBD5DF</w:t>
            </w:r>
          </w:p>
        </w:tc>
        <w:tc>
          <w:tcPr>
            <w:tcW w:type="dxa" w:w="5328"/>
            <w:tcMar>
              <w:top w:w="70" w:type="dxa"/>
              <w:start w:w="90" w:type="dxa"/>
              <w:bottom w:w="70" w:type="dxa"/>
              <w:end w:w="90" w:type="dxa"/>
            </w:tcMar>
            <w:vAlign w:val="center"/>
          </w:tcPr>
          <w:p>
            <w:r>
              <w:rPr>
                <w:color w:val="16212B"/>
                <w:sz w:val="17"/>
              </w:rPr>
              <w:t>Default panels/tables; increase contrast only for focus/error/selected.</w:t>
            </w:r>
          </w:p>
        </w:tc>
      </w:tr>
      <w:tr>
        <w:trPr>
          <w:cantSplit/>
        </w:trPr>
        <w:tc>
          <w:tcPr>
            <w:tcW w:type="dxa" w:w="2592"/>
            <w:tcMar>
              <w:top w:w="70" w:type="dxa"/>
              <w:start w:w="90" w:type="dxa"/>
              <w:bottom w:w="70" w:type="dxa"/>
              <w:end w:w="90" w:type="dxa"/>
            </w:tcMar>
            <w:vAlign w:val="center"/>
          </w:tcPr>
          <w:p>
            <w:r>
              <w:rPr>
                <w:color w:val="16212B"/>
                <w:sz w:val="17"/>
              </w:rPr>
              <w:t>Muted surface</w:t>
            </w:r>
          </w:p>
        </w:tc>
        <w:tc>
          <w:tcPr>
            <w:tcW w:type="dxa" w:w="2592"/>
            <w:tcMar>
              <w:top w:w="70" w:type="dxa"/>
              <w:start w:w="90" w:type="dxa"/>
              <w:bottom w:w="70" w:type="dxa"/>
              <w:end w:w="90" w:type="dxa"/>
            </w:tcMar>
            <w:vAlign w:val="center"/>
          </w:tcPr>
          <w:p>
            <w:r>
              <w:rPr>
                <w:color w:val="16212B"/>
                <w:sz w:val="17"/>
              </w:rPr>
              <w:t>#F1F4F7</w:t>
            </w:r>
          </w:p>
        </w:tc>
        <w:tc>
          <w:tcPr>
            <w:tcW w:type="dxa" w:w="5328"/>
            <w:tcMar>
              <w:top w:w="70" w:type="dxa"/>
              <w:start w:w="90" w:type="dxa"/>
              <w:bottom w:w="70" w:type="dxa"/>
              <w:end w:w="90" w:type="dxa"/>
            </w:tcMar>
            <w:vAlign w:val="center"/>
          </w:tcPr>
          <w:p>
            <w:r>
              <w:rPr>
                <w:color w:val="16212B"/>
                <w:sz w:val="17"/>
              </w:rPr>
              <w:t>Secondary panels, metadata strips, readonly context.</w:t>
            </w:r>
          </w:p>
        </w:tc>
      </w:tr>
    </w:tbl>
    <w:p>
      <w:pPr>
        <w:spacing w:after="40"/>
      </w:pPr>
    </w:p>
    <w:p>
      <w:pPr>
        <w:pStyle w:val="Heading1"/>
      </w:pPr>
      <w:r>
        <w:t>5. Typography and Density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160"/>
            <w:shd w:fill="17324D"/>
            <w:tcMar>
              <w:top w:w="70" w:type="dxa"/>
              <w:start w:w="90" w:type="dxa"/>
              <w:bottom w:w="70" w:type="dxa"/>
              <w:end w:w="90" w:type="dxa"/>
            </w:tcMar>
            <w:vAlign w:val="center"/>
          </w:tcPr>
          <w:p>
            <w:r>
              <w:rPr>
                <w:b/>
                <w:color w:val="FFFFFF"/>
                <w:sz w:val="17"/>
              </w:rPr>
              <w:t>Role</w:t>
            </w:r>
          </w:p>
        </w:tc>
        <w:tc>
          <w:tcPr>
            <w:tcW w:type="dxa" w:w="2592"/>
            <w:shd w:fill="17324D"/>
            <w:tcMar>
              <w:top w:w="70" w:type="dxa"/>
              <w:start w:w="90" w:type="dxa"/>
              <w:bottom w:w="70" w:type="dxa"/>
              <w:end w:w="90" w:type="dxa"/>
            </w:tcMar>
            <w:vAlign w:val="center"/>
          </w:tcPr>
          <w:p>
            <w:r>
              <w:rPr>
                <w:b/>
                <w:color w:val="FFFFFF"/>
                <w:sz w:val="17"/>
              </w:rPr>
              <w:t>Reference</w:t>
            </w:r>
          </w:p>
        </w:tc>
        <w:tc>
          <w:tcPr>
            <w:tcW w:type="dxa" w:w="5760"/>
            <w:shd w:fill="17324D"/>
            <w:tcMar>
              <w:top w:w="70" w:type="dxa"/>
              <w:start w:w="90" w:type="dxa"/>
              <w:bottom w:w="70" w:type="dxa"/>
              <w:end w:w="90" w:type="dxa"/>
            </w:tcMar>
            <w:vAlign w:val="center"/>
          </w:tcPr>
          <w:p>
            <w:r>
              <w:rPr>
                <w:b/>
                <w:color w:val="FFFFFF"/>
                <w:sz w:val="17"/>
              </w:rPr>
              <w:t>Use</w:t>
            </w:r>
          </w:p>
        </w:tc>
      </w:tr>
      <w:tr>
        <w:trPr>
          <w:cantSplit/>
        </w:trPr>
        <w:tc>
          <w:tcPr>
            <w:tcW w:type="dxa" w:w="2160"/>
            <w:tcMar>
              <w:top w:w="70" w:type="dxa"/>
              <w:start w:w="90" w:type="dxa"/>
              <w:bottom w:w="70" w:type="dxa"/>
              <w:end w:w="90" w:type="dxa"/>
            </w:tcMar>
            <w:vAlign w:val="center"/>
          </w:tcPr>
          <w:p>
            <w:r>
              <w:rPr>
                <w:color w:val="16212B"/>
                <w:sz w:val="17"/>
              </w:rPr>
              <w:t>Page title</w:t>
            </w:r>
          </w:p>
        </w:tc>
        <w:tc>
          <w:tcPr>
            <w:tcW w:type="dxa" w:w="2592"/>
            <w:tcMar>
              <w:top w:w="70" w:type="dxa"/>
              <w:start w:w="90" w:type="dxa"/>
              <w:bottom w:w="70" w:type="dxa"/>
              <w:end w:w="90" w:type="dxa"/>
            </w:tcMar>
            <w:vAlign w:val="center"/>
          </w:tcPr>
          <w:p>
            <w:r>
              <w:rPr>
                <w:color w:val="16212B"/>
                <w:sz w:val="17"/>
              </w:rPr>
              <w:t>24–28 px / 650</w:t>
            </w:r>
          </w:p>
        </w:tc>
        <w:tc>
          <w:tcPr>
            <w:tcW w:type="dxa" w:w="5760"/>
            <w:tcMar>
              <w:top w:w="70" w:type="dxa"/>
              <w:start w:w="90" w:type="dxa"/>
              <w:bottom w:w="70" w:type="dxa"/>
              <w:end w:w="90" w:type="dxa"/>
            </w:tcMar>
            <w:vAlign w:val="center"/>
          </w:tcPr>
          <w:p>
            <w:r>
              <w:rPr>
                <w:color w:val="16212B"/>
                <w:sz w:val="17"/>
              </w:rPr>
              <w:t>Screen/canonical object title.</w:t>
            </w:r>
          </w:p>
        </w:tc>
      </w:tr>
      <w:tr>
        <w:trPr>
          <w:cantSplit/>
        </w:trPr>
        <w:tc>
          <w:tcPr>
            <w:tcW w:type="dxa" w:w="2160"/>
            <w:tcMar>
              <w:top w:w="70" w:type="dxa"/>
              <w:start w:w="90" w:type="dxa"/>
              <w:bottom w:w="70" w:type="dxa"/>
              <w:end w:w="90" w:type="dxa"/>
            </w:tcMar>
            <w:vAlign w:val="center"/>
          </w:tcPr>
          <w:p>
            <w:r>
              <w:rPr>
                <w:color w:val="16212B"/>
                <w:sz w:val="17"/>
              </w:rPr>
              <w:t>Section heading</w:t>
            </w:r>
          </w:p>
        </w:tc>
        <w:tc>
          <w:tcPr>
            <w:tcW w:type="dxa" w:w="2592"/>
            <w:tcMar>
              <w:top w:w="70" w:type="dxa"/>
              <w:start w:w="90" w:type="dxa"/>
              <w:bottom w:w="70" w:type="dxa"/>
              <w:end w:w="90" w:type="dxa"/>
            </w:tcMar>
            <w:vAlign w:val="center"/>
          </w:tcPr>
          <w:p>
            <w:r>
              <w:rPr>
                <w:color w:val="16212B"/>
                <w:sz w:val="17"/>
              </w:rPr>
              <w:t>18–20 px / 650</w:t>
            </w:r>
          </w:p>
        </w:tc>
        <w:tc>
          <w:tcPr>
            <w:tcW w:type="dxa" w:w="5760"/>
            <w:tcMar>
              <w:top w:w="70" w:type="dxa"/>
              <w:start w:w="90" w:type="dxa"/>
              <w:bottom w:w="70" w:type="dxa"/>
              <w:end w:w="90" w:type="dxa"/>
            </w:tcMar>
            <w:vAlign w:val="center"/>
          </w:tcPr>
          <w:p>
            <w:r>
              <w:rPr>
                <w:color w:val="16212B"/>
                <w:sz w:val="17"/>
              </w:rPr>
              <w:t>Major screen region.</w:t>
            </w:r>
          </w:p>
        </w:tc>
      </w:tr>
      <w:tr>
        <w:trPr>
          <w:cantSplit/>
        </w:trPr>
        <w:tc>
          <w:tcPr>
            <w:tcW w:type="dxa" w:w="2160"/>
            <w:tcMar>
              <w:top w:w="70" w:type="dxa"/>
              <w:start w:w="90" w:type="dxa"/>
              <w:bottom w:w="70" w:type="dxa"/>
              <w:end w:w="90" w:type="dxa"/>
            </w:tcMar>
            <w:vAlign w:val="center"/>
          </w:tcPr>
          <w:p>
            <w:r>
              <w:rPr>
                <w:color w:val="16212B"/>
                <w:sz w:val="17"/>
              </w:rPr>
              <w:t>Subsection</w:t>
            </w:r>
          </w:p>
        </w:tc>
        <w:tc>
          <w:tcPr>
            <w:tcW w:type="dxa" w:w="2592"/>
            <w:tcMar>
              <w:top w:w="70" w:type="dxa"/>
              <w:start w:w="90" w:type="dxa"/>
              <w:bottom w:w="70" w:type="dxa"/>
              <w:end w:w="90" w:type="dxa"/>
            </w:tcMar>
            <w:vAlign w:val="center"/>
          </w:tcPr>
          <w:p>
            <w:r>
              <w:rPr>
                <w:color w:val="16212B"/>
                <w:sz w:val="17"/>
              </w:rPr>
              <w:t>14–16 px / 600</w:t>
            </w:r>
          </w:p>
        </w:tc>
        <w:tc>
          <w:tcPr>
            <w:tcW w:type="dxa" w:w="5760"/>
            <w:tcMar>
              <w:top w:w="70" w:type="dxa"/>
              <w:start w:w="90" w:type="dxa"/>
              <w:bottom w:w="70" w:type="dxa"/>
              <w:end w:w="90" w:type="dxa"/>
            </w:tcMar>
            <w:vAlign w:val="center"/>
          </w:tcPr>
          <w:p>
            <w:r>
              <w:rPr>
                <w:color w:val="16212B"/>
                <w:sz w:val="17"/>
              </w:rPr>
              <w:t>Panel or grouped controls.</w:t>
            </w:r>
          </w:p>
        </w:tc>
      </w:tr>
      <w:tr>
        <w:trPr>
          <w:cantSplit/>
        </w:trPr>
        <w:tc>
          <w:tcPr>
            <w:tcW w:type="dxa" w:w="2160"/>
            <w:tcMar>
              <w:top w:w="70" w:type="dxa"/>
              <w:start w:w="90" w:type="dxa"/>
              <w:bottom w:w="70" w:type="dxa"/>
              <w:end w:w="90" w:type="dxa"/>
            </w:tcMar>
            <w:vAlign w:val="center"/>
          </w:tcPr>
          <w:p>
            <w:r>
              <w:rPr>
                <w:color w:val="16212B"/>
                <w:sz w:val="17"/>
              </w:rPr>
              <w:t>Body</w:t>
            </w:r>
          </w:p>
        </w:tc>
        <w:tc>
          <w:tcPr>
            <w:tcW w:type="dxa" w:w="2592"/>
            <w:tcMar>
              <w:top w:w="70" w:type="dxa"/>
              <w:start w:w="90" w:type="dxa"/>
              <w:bottom w:w="70" w:type="dxa"/>
              <w:end w:w="90" w:type="dxa"/>
            </w:tcMar>
            <w:vAlign w:val="center"/>
          </w:tcPr>
          <w:p>
            <w:r>
              <w:rPr>
                <w:color w:val="16212B"/>
                <w:sz w:val="17"/>
              </w:rPr>
              <w:t>14–15 px / 400</w:t>
            </w:r>
          </w:p>
        </w:tc>
        <w:tc>
          <w:tcPr>
            <w:tcW w:type="dxa" w:w="5760"/>
            <w:tcMar>
              <w:top w:w="70" w:type="dxa"/>
              <w:start w:w="90" w:type="dxa"/>
              <w:bottom w:w="70" w:type="dxa"/>
              <w:end w:w="90" w:type="dxa"/>
            </w:tcMar>
            <w:vAlign w:val="center"/>
          </w:tcPr>
          <w:p>
            <w:r>
              <w:rPr>
                <w:color w:val="16212B"/>
                <w:sz w:val="17"/>
              </w:rPr>
              <w:t>Primary reading.</w:t>
            </w:r>
          </w:p>
        </w:tc>
      </w:tr>
      <w:tr>
        <w:trPr>
          <w:cantSplit/>
        </w:trPr>
        <w:tc>
          <w:tcPr>
            <w:tcW w:type="dxa" w:w="2160"/>
            <w:tcMar>
              <w:top w:w="70" w:type="dxa"/>
              <w:start w:w="90" w:type="dxa"/>
              <w:bottom w:w="70" w:type="dxa"/>
              <w:end w:w="90" w:type="dxa"/>
            </w:tcMar>
            <w:vAlign w:val="center"/>
          </w:tcPr>
          <w:p>
            <w:r>
              <w:rPr>
                <w:color w:val="16212B"/>
                <w:sz w:val="17"/>
              </w:rPr>
              <w:t>Dense table</w:t>
            </w:r>
          </w:p>
        </w:tc>
        <w:tc>
          <w:tcPr>
            <w:tcW w:type="dxa" w:w="2592"/>
            <w:tcMar>
              <w:top w:w="70" w:type="dxa"/>
              <w:start w:w="90" w:type="dxa"/>
              <w:bottom w:w="70" w:type="dxa"/>
              <w:end w:w="90" w:type="dxa"/>
            </w:tcMar>
            <w:vAlign w:val="center"/>
          </w:tcPr>
          <w:p>
            <w:r>
              <w:rPr>
                <w:color w:val="16212B"/>
                <w:sz w:val="17"/>
              </w:rPr>
              <w:t>13–14 px / 400</w:t>
            </w:r>
          </w:p>
        </w:tc>
        <w:tc>
          <w:tcPr>
            <w:tcW w:type="dxa" w:w="5760"/>
            <w:tcMar>
              <w:top w:w="70" w:type="dxa"/>
              <w:start w:w="90" w:type="dxa"/>
              <w:bottom w:w="70" w:type="dxa"/>
              <w:end w:w="90" w:type="dxa"/>
            </w:tcMar>
            <w:vAlign w:val="center"/>
          </w:tcPr>
          <w:p>
            <w:r>
              <w:rPr>
                <w:color w:val="16212B"/>
                <w:sz w:val="17"/>
              </w:rPr>
              <w:t>Registers and audit views.</w:t>
            </w:r>
          </w:p>
        </w:tc>
      </w:tr>
      <w:tr>
        <w:trPr>
          <w:cantSplit/>
        </w:trPr>
        <w:tc>
          <w:tcPr>
            <w:tcW w:type="dxa" w:w="2160"/>
            <w:tcMar>
              <w:top w:w="70" w:type="dxa"/>
              <w:start w:w="90" w:type="dxa"/>
              <w:bottom w:w="70" w:type="dxa"/>
              <w:end w:w="90" w:type="dxa"/>
            </w:tcMar>
            <w:vAlign w:val="center"/>
          </w:tcPr>
          <w:p>
            <w:r>
              <w:rPr>
                <w:color w:val="16212B"/>
                <w:sz w:val="17"/>
              </w:rPr>
              <w:t>Metadata</w:t>
            </w:r>
          </w:p>
        </w:tc>
        <w:tc>
          <w:tcPr>
            <w:tcW w:type="dxa" w:w="2592"/>
            <w:tcMar>
              <w:top w:w="70" w:type="dxa"/>
              <w:start w:w="90" w:type="dxa"/>
              <w:bottom w:w="70" w:type="dxa"/>
              <w:end w:w="90" w:type="dxa"/>
            </w:tcMar>
            <w:vAlign w:val="center"/>
          </w:tcPr>
          <w:p>
            <w:r>
              <w:rPr>
                <w:color w:val="16212B"/>
                <w:sz w:val="17"/>
              </w:rPr>
              <w:t>12–13 px / 400</w:t>
            </w:r>
          </w:p>
        </w:tc>
        <w:tc>
          <w:tcPr>
            <w:tcW w:type="dxa" w:w="5760"/>
            <w:tcMar>
              <w:top w:w="70" w:type="dxa"/>
              <w:start w:w="90" w:type="dxa"/>
              <w:bottom w:w="70" w:type="dxa"/>
              <w:end w:w="90" w:type="dxa"/>
            </w:tcMar>
            <w:vAlign w:val="center"/>
          </w:tcPr>
          <w:p>
            <w:r>
              <w:rPr>
                <w:color w:val="16212B"/>
                <w:sz w:val="17"/>
              </w:rPr>
              <w:t>IDs, timestamps, provenance details.</w:t>
            </w:r>
          </w:p>
        </w:tc>
      </w:tr>
      <w:tr>
        <w:trPr>
          <w:cantSplit/>
        </w:trPr>
        <w:tc>
          <w:tcPr>
            <w:tcW w:type="dxa" w:w="2160"/>
            <w:tcMar>
              <w:top w:w="70" w:type="dxa"/>
              <w:start w:w="90" w:type="dxa"/>
              <w:bottom w:w="70" w:type="dxa"/>
              <w:end w:w="90" w:type="dxa"/>
            </w:tcMar>
            <w:vAlign w:val="center"/>
          </w:tcPr>
          <w:p>
            <w:r>
              <w:rPr>
                <w:color w:val="16212B"/>
                <w:sz w:val="17"/>
              </w:rPr>
              <w:t>Badge/chip</w:t>
            </w:r>
          </w:p>
        </w:tc>
        <w:tc>
          <w:tcPr>
            <w:tcW w:type="dxa" w:w="2592"/>
            <w:tcMar>
              <w:top w:w="70" w:type="dxa"/>
              <w:start w:w="90" w:type="dxa"/>
              <w:bottom w:w="70" w:type="dxa"/>
              <w:end w:w="90" w:type="dxa"/>
            </w:tcMar>
            <w:vAlign w:val="center"/>
          </w:tcPr>
          <w:p>
            <w:r>
              <w:rPr>
                <w:color w:val="16212B"/>
                <w:sz w:val="17"/>
              </w:rPr>
              <w:t>12–13 px / 600</w:t>
            </w:r>
          </w:p>
        </w:tc>
        <w:tc>
          <w:tcPr>
            <w:tcW w:type="dxa" w:w="5760"/>
            <w:tcMar>
              <w:top w:w="70" w:type="dxa"/>
              <w:start w:w="90" w:type="dxa"/>
              <w:bottom w:w="70" w:type="dxa"/>
              <w:end w:w="90" w:type="dxa"/>
            </w:tcMar>
            <w:vAlign w:val="center"/>
          </w:tcPr>
          <w:p>
            <w:r>
              <w:rPr>
                <w:color w:val="16212B"/>
                <w:sz w:val="17"/>
              </w:rPr>
              <w:t>Short semantic state only.</w:t>
            </w:r>
          </w:p>
        </w:tc>
      </w:tr>
      <w:tr>
        <w:trPr>
          <w:cantSplit/>
        </w:trPr>
        <w:tc>
          <w:tcPr>
            <w:tcW w:type="dxa" w:w="2160"/>
            <w:tcMar>
              <w:top w:w="70" w:type="dxa"/>
              <w:start w:w="90" w:type="dxa"/>
              <w:bottom w:w="70" w:type="dxa"/>
              <w:end w:w="90" w:type="dxa"/>
            </w:tcMar>
            <w:vAlign w:val="center"/>
          </w:tcPr>
          <w:p>
            <w:r>
              <w:rPr>
                <w:color w:val="16212B"/>
                <w:sz w:val="17"/>
              </w:rPr>
              <w:t>Monospace</w:t>
            </w:r>
          </w:p>
        </w:tc>
        <w:tc>
          <w:tcPr>
            <w:tcW w:type="dxa" w:w="2592"/>
            <w:tcMar>
              <w:top w:w="70" w:type="dxa"/>
              <w:start w:w="90" w:type="dxa"/>
              <w:bottom w:w="70" w:type="dxa"/>
              <w:end w:w="90" w:type="dxa"/>
            </w:tcMar>
            <w:vAlign w:val="center"/>
          </w:tcPr>
          <w:p>
            <w:r>
              <w:rPr>
                <w:color w:val="16212B"/>
                <w:sz w:val="17"/>
              </w:rPr>
              <w:t>12–13 px</w:t>
            </w:r>
          </w:p>
        </w:tc>
        <w:tc>
          <w:tcPr>
            <w:tcW w:type="dxa" w:w="5760"/>
            <w:tcMar>
              <w:top w:w="70" w:type="dxa"/>
              <w:start w:w="90" w:type="dxa"/>
              <w:bottom w:w="70" w:type="dxa"/>
              <w:end w:w="90" w:type="dxa"/>
            </w:tcMar>
            <w:vAlign w:val="center"/>
          </w:tcPr>
          <w:p>
            <w:r>
              <w:rPr>
                <w:color w:val="16212B"/>
                <w:sz w:val="17"/>
              </w:rPr>
              <w:t>Hashes, stable IDs, technical identifiers.</w:t>
            </w:r>
          </w:p>
        </w:tc>
      </w:tr>
    </w:tbl>
    <w:p>
      <w:pPr>
        <w:spacing w:after="40"/>
      </w:pPr>
    </w:p>
    <w:tbl>
      <w:tblPr>
        <w:tblStyle w:val="TableGrid"/>
        <w:tblW w:type="auto" w:w="0"/>
        <w:jc w:val="center"/>
        <w:tblLook w:firstColumn="1" w:firstRow="1" w:lastColumn="0" w:lastRow="0" w:noHBand="0" w:noVBand="1" w:val="04A0"/>
      </w:tblPr>
      <w:tblGrid>
        <w:gridCol w:w="10166"/>
      </w:tblGrid>
      <w:tr>
        <w:trPr>
          <w:cantSplit/>
        </w:trPr>
        <w:tc>
          <w:tcPr>
            <w:tcW w:type="dxa" w:w="10166"/>
            <w:shd w:fill="F1F4F7"/>
            <w:tcMar>
              <w:top w:w="110" w:type="dxa"/>
              <w:start w:w="130" w:type="dxa"/>
              <w:bottom w:w="110" w:type="dxa"/>
              <w:end w:w="130" w:type="dxa"/>
            </w:tcMar>
          </w:tcPr>
          <w:p>
            <w:r>
              <w:rPr>
                <w:b/>
                <w:color w:val="3E556A"/>
                <w:sz w:val="21"/>
              </w:rPr>
              <w:t>Density rule</w:t>
              <w:br/>
            </w:r>
            <w:r>
              <w:rPr>
                <w:color w:val="16212B"/>
                <w:sz w:val="19"/>
              </w:rPr>
              <w:t>The UI MAY be dense, but text SHALL NOT be reduced merely to fit more data. Prefer progressive disclosure, column selection, inspectors, and expandable rows before shrinking type.</w:t>
            </w:r>
          </w:p>
        </w:tc>
      </w:tr>
    </w:tbl>
    <w:p>
      <w:pPr>
        <w:spacing w:after="40"/>
      </w:pPr>
    </w:p>
    <w:p>
      <w:pPr>
        <w:pStyle w:val="Heading1"/>
      </w:pPr>
      <w:r>
        <w:t>6. Canonical Visual Building Blocks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448"/>
            <w:shd w:fill="17324D"/>
            <w:tcMar>
              <w:top w:w="70" w:type="dxa"/>
              <w:start w:w="90" w:type="dxa"/>
              <w:bottom w:w="70" w:type="dxa"/>
              <w:end w:w="90" w:type="dxa"/>
            </w:tcMar>
            <w:vAlign w:val="center"/>
          </w:tcPr>
          <w:p>
            <w:r>
              <w:rPr>
                <w:b/>
                <w:color w:val="FFFFFF"/>
                <w:sz w:val="16"/>
              </w:rPr>
              <w:t>Block</w:t>
            </w:r>
          </w:p>
        </w:tc>
        <w:tc>
          <w:tcPr>
            <w:tcW w:type="dxa" w:w="3744"/>
            <w:shd w:fill="17324D"/>
            <w:tcMar>
              <w:top w:w="70" w:type="dxa"/>
              <w:start w:w="90" w:type="dxa"/>
              <w:bottom w:w="70" w:type="dxa"/>
              <w:end w:w="90" w:type="dxa"/>
            </w:tcMar>
            <w:vAlign w:val="center"/>
          </w:tcPr>
          <w:p>
            <w:r>
              <w:rPr>
                <w:b/>
                <w:color w:val="FFFFFF"/>
                <w:sz w:val="16"/>
              </w:rPr>
              <w:t>Composition</w:t>
            </w:r>
          </w:p>
        </w:tc>
        <w:tc>
          <w:tcPr>
            <w:tcW w:type="dxa" w:w="4320"/>
            <w:shd w:fill="17324D"/>
            <w:tcMar>
              <w:top w:w="70" w:type="dxa"/>
              <w:start w:w="90" w:type="dxa"/>
              <w:bottom w:w="70" w:type="dxa"/>
              <w:end w:w="90" w:type="dxa"/>
            </w:tcMar>
            <w:vAlign w:val="center"/>
          </w:tcPr>
          <w:p>
            <w:r>
              <w:rPr>
                <w:b/>
                <w:color w:val="FFFFFF"/>
                <w:sz w:val="16"/>
              </w:rPr>
              <w:t>Mandatory semantics</w:t>
            </w:r>
          </w:p>
        </w:tc>
      </w:tr>
      <w:tr>
        <w:trPr>
          <w:cantSplit/>
        </w:trPr>
        <w:tc>
          <w:tcPr>
            <w:tcW w:type="dxa" w:w="2448"/>
            <w:tcMar>
              <w:top w:w="70" w:type="dxa"/>
              <w:start w:w="90" w:type="dxa"/>
              <w:bottom w:w="70" w:type="dxa"/>
              <w:end w:w="90" w:type="dxa"/>
            </w:tcMar>
            <w:vAlign w:val="center"/>
          </w:tcPr>
          <w:p>
            <w:r>
              <w:rPr>
                <w:color w:val="16212B"/>
                <w:sz w:val="16"/>
              </w:rPr>
              <w:t>Object identity block</w:t>
            </w:r>
          </w:p>
        </w:tc>
        <w:tc>
          <w:tcPr>
            <w:tcW w:type="dxa" w:w="3744"/>
            <w:tcMar>
              <w:top w:w="70" w:type="dxa"/>
              <w:start w:w="90" w:type="dxa"/>
              <w:bottom w:w="70" w:type="dxa"/>
              <w:end w:w="90" w:type="dxa"/>
            </w:tcMar>
            <w:vAlign w:val="center"/>
          </w:tcPr>
          <w:p>
            <w:r>
              <w:rPr>
                <w:color w:val="16212B"/>
                <w:sz w:val="16"/>
              </w:rPr>
              <w:t>Type icon + canonical name + stable ID + state badges</w:t>
            </w:r>
          </w:p>
        </w:tc>
        <w:tc>
          <w:tcPr>
            <w:tcW w:type="dxa" w:w="4320"/>
            <w:tcMar>
              <w:top w:w="70" w:type="dxa"/>
              <w:start w:w="90" w:type="dxa"/>
              <w:bottom w:w="70" w:type="dxa"/>
              <w:end w:w="90" w:type="dxa"/>
            </w:tcMar>
            <w:vAlign w:val="center"/>
          </w:tcPr>
          <w:p>
            <w:r>
              <w:rPr>
                <w:color w:val="16212B"/>
                <w:sz w:val="16"/>
              </w:rPr>
              <w:t>No allegation language; aliases secondary.</w:t>
            </w:r>
          </w:p>
        </w:tc>
      </w:tr>
      <w:tr>
        <w:trPr>
          <w:cantSplit/>
        </w:trPr>
        <w:tc>
          <w:tcPr>
            <w:tcW w:type="dxa" w:w="2448"/>
            <w:tcMar>
              <w:top w:w="70" w:type="dxa"/>
              <w:start w:w="90" w:type="dxa"/>
              <w:bottom w:w="70" w:type="dxa"/>
              <w:end w:w="90" w:type="dxa"/>
            </w:tcMar>
            <w:vAlign w:val="center"/>
          </w:tcPr>
          <w:p>
            <w:r>
              <w:rPr>
                <w:color w:val="16212B"/>
                <w:sz w:val="16"/>
              </w:rPr>
              <w:t>Case context block</w:t>
            </w:r>
          </w:p>
        </w:tc>
        <w:tc>
          <w:tcPr>
            <w:tcW w:type="dxa" w:w="3744"/>
            <w:tcMar>
              <w:top w:w="70" w:type="dxa"/>
              <w:start w:w="90" w:type="dxa"/>
              <w:bottom w:w="70" w:type="dxa"/>
              <w:end w:w="90" w:type="dxa"/>
            </w:tcMar>
            <w:vAlign w:val="center"/>
          </w:tcPr>
          <w:p>
            <w:r>
              <w:rPr>
                <w:color w:val="16212B"/>
                <w:sz w:val="16"/>
              </w:rPr>
              <w:t>Case title + case ID + classification + owner/status</w:t>
            </w:r>
          </w:p>
        </w:tc>
        <w:tc>
          <w:tcPr>
            <w:tcW w:type="dxa" w:w="4320"/>
            <w:tcMar>
              <w:top w:w="70" w:type="dxa"/>
              <w:start w:w="90" w:type="dxa"/>
              <w:bottom w:w="70" w:type="dxa"/>
              <w:end w:w="90" w:type="dxa"/>
            </w:tcMar>
            <w:vAlign w:val="center"/>
          </w:tcPr>
          <w:p>
            <w:r>
              <w:rPr>
                <w:color w:val="16212B"/>
                <w:sz w:val="16"/>
              </w:rPr>
              <w:t>Case is context, not container identity for canonical object.</w:t>
            </w:r>
          </w:p>
        </w:tc>
      </w:tr>
      <w:tr>
        <w:trPr>
          <w:cantSplit/>
        </w:trPr>
        <w:tc>
          <w:tcPr>
            <w:tcW w:type="dxa" w:w="2448"/>
            <w:tcMar>
              <w:top w:w="70" w:type="dxa"/>
              <w:start w:w="90" w:type="dxa"/>
              <w:bottom w:w="70" w:type="dxa"/>
              <w:end w:w="90" w:type="dxa"/>
            </w:tcMar>
            <w:vAlign w:val="center"/>
          </w:tcPr>
          <w:p>
            <w:r>
              <w:rPr>
                <w:color w:val="16212B"/>
                <w:sz w:val="16"/>
              </w:rPr>
              <w:t>Provenance strip</w:t>
            </w:r>
          </w:p>
        </w:tc>
        <w:tc>
          <w:tcPr>
            <w:tcW w:type="dxa" w:w="3744"/>
            <w:tcMar>
              <w:top w:w="70" w:type="dxa"/>
              <w:start w:w="90" w:type="dxa"/>
              <w:bottom w:w="70" w:type="dxa"/>
              <w:end w:w="90" w:type="dxa"/>
            </w:tcMar>
            <w:vAlign w:val="center"/>
          </w:tcPr>
          <w:p>
            <w:r>
              <w:rPr>
                <w:color w:val="16212B"/>
                <w:sz w:val="16"/>
              </w:rPr>
              <w:t>Source/Evidence ID + citation location + reliability/credibility + open action</w:t>
            </w:r>
          </w:p>
        </w:tc>
        <w:tc>
          <w:tcPr>
            <w:tcW w:type="dxa" w:w="4320"/>
            <w:tcMar>
              <w:top w:w="70" w:type="dxa"/>
              <w:start w:w="90" w:type="dxa"/>
              <w:bottom w:w="70" w:type="dxa"/>
              <w:end w:w="90" w:type="dxa"/>
            </w:tcMar>
            <w:vAlign w:val="center"/>
          </w:tcPr>
          <w:p>
            <w:r>
              <w:rPr>
                <w:color w:val="16212B"/>
                <w:sz w:val="16"/>
              </w:rPr>
              <w:t>Direct route to underlying evidence where authorized.</w:t>
            </w:r>
          </w:p>
        </w:tc>
      </w:tr>
      <w:tr>
        <w:trPr>
          <w:cantSplit/>
        </w:trPr>
        <w:tc>
          <w:tcPr>
            <w:tcW w:type="dxa" w:w="2448"/>
            <w:tcMar>
              <w:top w:w="70" w:type="dxa"/>
              <w:start w:w="90" w:type="dxa"/>
              <w:bottom w:w="70" w:type="dxa"/>
              <w:end w:w="90" w:type="dxa"/>
            </w:tcMar>
            <w:vAlign w:val="center"/>
          </w:tcPr>
          <w:p>
            <w:r>
              <w:rPr>
                <w:color w:val="16212B"/>
                <w:sz w:val="16"/>
              </w:rPr>
              <w:t>Analytical-state badge</w:t>
            </w:r>
          </w:p>
        </w:tc>
        <w:tc>
          <w:tcPr>
            <w:tcW w:type="dxa" w:w="3744"/>
            <w:tcMar>
              <w:top w:w="70" w:type="dxa"/>
              <w:start w:w="90" w:type="dxa"/>
              <w:bottom w:w="70" w:type="dxa"/>
              <w:end w:w="90" w:type="dxa"/>
            </w:tcMar>
            <w:vAlign w:val="center"/>
          </w:tcPr>
          <w:p>
            <w:r>
              <w:rPr>
                <w:color w:val="16212B"/>
                <w:sz w:val="16"/>
              </w:rPr>
              <w:t>Label + icon/pattern</w:t>
            </w:r>
          </w:p>
        </w:tc>
        <w:tc>
          <w:tcPr>
            <w:tcW w:type="dxa" w:w="4320"/>
            <w:tcMar>
              <w:top w:w="70" w:type="dxa"/>
              <w:start w:w="90" w:type="dxa"/>
              <w:bottom w:w="70" w:type="dxa"/>
              <w:end w:w="90" w:type="dxa"/>
            </w:tcMar>
            <w:vAlign w:val="center"/>
          </w:tcPr>
          <w:p>
            <w:r>
              <w:rPr>
                <w:color w:val="16212B"/>
                <w:sz w:val="16"/>
              </w:rPr>
              <w:t>Claim, Fact, Inference, Candidate, Disputed, Unknown distinct.</w:t>
            </w:r>
          </w:p>
        </w:tc>
      </w:tr>
      <w:tr>
        <w:trPr>
          <w:cantSplit/>
        </w:trPr>
        <w:tc>
          <w:tcPr>
            <w:tcW w:type="dxa" w:w="2448"/>
            <w:tcMar>
              <w:top w:w="70" w:type="dxa"/>
              <w:start w:w="90" w:type="dxa"/>
              <w:bottom w:w="70" w:type="dxa"/>
              <w:end w:w="90" w:type="dxa"/>
            </w:tcMar>
            <w:vAlign w:val="center"/>
          </w:tcPr>
          <w:p>
            <w:r>
              <w:rPr>
                <w:color w:val="16212B"/>
                <w:sz w:val="16"/>
              </w:rPr>
              <w:t>Flow-class legend</w:t>
            </w:r>
          </w:p>
        </w:tc>
        <w:tc>
          <w:tcPr>
            <w:tcW w:type="dxa" w:w="3744"/>
            <w:tcMar>
              <w:top w:w="70" w:type="dxa"/>
              <w:start w:w="90" w:type="dxa"/>
              <w:bottom w:w="70" w:type="dxa"/>
              <w:end w:w="90" w:type="dxa"/>
            </w:tcMar>
            <w:vAlign w:val="center"/>
          </w:tcPr>
          <w:p>
            <w:r>
              <w:rPr>
                <w:color w:val="16212B"/>
                <w:sz w:val="16"/>
              </w:rPr>
              <w:t>Line sample + label</w:t>
            </w:r>
          </w:p>
        </w:tc>
        <w:tc>
          <w:tcPr>
            <w:tcW w:type="dxa" w:w="4320"/>
            <w:tcMar>
              <w:top w:w="70" w:type="dxa"/>
              <w:start w:w="90" w:type="dxa"/>
              <w:bottom w:w="70" w:type="dxa"/>
              <w:end w:w="90" w:type="dxa"/>
            </w:tcMar>
            <w:vAlign w:val="center"/>
          </w:tcPr>
          <w:p>
            <w:r>
              <w:rPr>
                <w:color w:val="16212B"/>
                <w:sz w:val="16"/>
              </w:rPr>
              <w:t>DIRECT, DOCUMENTED, RECONSTRUCTED, HYPOTHETICAL always explicit.</w:t>
            </w:r>
          </w:p>
        </w:tc>
      </w:tr>
      <w:tr>
        <w:trPr>
          <w:cantSplit/>
        </w:trPr>
        <w:tc>
          <w:tcPr>
            <w:tcW w:type="dxa" w:w="2448"/>
            <w:tcMar>
              <w:top w:w="70" w:type="dxa"/>
              <w:start w:w="90" w:type="dxa"/>
              <w:bottom w:w="70" w:type="dxa"/>
              <w:end w:w="90" w:type="dxa"/>
            </w:tcMar>
            <w:vAlign w:val="center"/>
          </w:tcPr>
          <w:p>
            <w:r>
              <w:rPr>
                <w:color w:val="16212B"/>
                <w:sz w:val="16"/>
              </w:rPr>
              <w:t>Review block</w:t>
            </w:r>
          </w:p>
        </w:tc>
        <w:tc>
          <w:tcPr>
            <w:tcW w:type="dxa" w:w="3744"/>
            <w:tcMar>
              <w:top w:w="70" w:type="dxa"/>
              <w:start w:w="90" w:type="dxa"/>
              <w:bottom w:w="70" w:type="dxa"/>
              <w:end w:w="90" w:type="dxa"/>
            </w:tcMar>
            <w:vAlign w:val="center"/>
          </w:tcPr>
          <w:p>
            <w:r>
              <w:rPr>
                <w:color w:val="16212B"/>
                <w:sz w:val="16"/>
              </w:rPr>
              <w:t>Reviewer, version, status, issues, approval action</w:t>
            </w:r>
          </w:p>
        </w:tc>
        <w:tc>
          <w:tcPr>
            <w:tcW w:type="dxa" w:w="4320"/>
            <w:tcMar>
              <w:top w:w="70" w:type="dxa"/>
              <w:start w:w="90" w:type="dxa"/>
              <w:bottom w:w="70" w:type="dxa"/>
              <w:end w:w="90" w:type="dxa"/>
            </w:tcMar>
            <w:vAlign w:val="center"/>
          </w:tcPr>
          <w:p>
            <w:r>
              <w:rPr>
                <w:color w:val="16212B"/>
                <w:sz w:val="16"/>
              </w:rPr>
              <w:t>Author and reviewer identity separate.</w:t>
            </w:r>
          </w:p>
        </w:tc>
      </w:tr>
      <w:tr>
        <w:trPr>
          <w:cantSplit/>
        </w:trPr>
        <w:tc>
          <w:tcPr>
            <w:tcW w:type="dxa" w:w="2448"/>
            <w:tcMar>
              <w:top w:w="70" w:type="dxa"/>
              <w:start w:w="90" w:type="dxa"/>
              <w:bottom w:w="70" w:type="dxa"/>
              <w:end w:w="90" w:type="dxa"/>
            </w:tcMar>
            <w:vAlign w:val="center"/>
          </w:tcPr>
          <w:p>
            <w:r>
              <w:rPr>
                <w:color w:val="16212B"/>
                <w:sz w:val="16"/>
              </w:rPr>
              <w:t>Classification banner</w:t>
            </w:r>
          </w:p>
        </w:tc>
        <w:tc>
          <w:tcPr>
            <w:tcW w:type="dxa" w:w="3744"/>
            <w:tcMar>
              <w:top w:w="70" w:type="dxa"/>
              <w:start w:w="90" w:type="dxa"/>
              <w:bottom w:w="70" w:type="dxa"/>
              <w:end w:w="90" w:type="dxa"/>
            </w:tcMar>
            <w:vAlign w:val="center"/>
          </w:tcPr>
          <w:p>
            <w:r>
              <w:rPr>
                <w:color w:val="16212B"/>
                <w:sz w:val="16"/>
              </w:rPr>
              <w:t>Classification + handling note</w:t>
            </w:r>
          </w:p>
        </w:tc>
        <w:tc>
          <w:tcPr>
            <w:tcW w:type="dxa" w:w="4320"/>
            <w:tcMar>
              <w:top w:w="70" w:type="dxa"/>
              <w:start w:w="90" w:type="dxa"/>
              <w:bottom w:w="70" w:type="dxa"/>
              <w:end w:w="90" w:type="dxa"/>
            </w:tcMar>
            <w:vAlign w:val="center"/>
          </w:tcPr>
          <w:p>
            <w:r>
              <w:rPr>
                <w:color w:val="16212B"/>
                <w:sz w:val="16"/>
              </w:rPr>
              <w:t>Only when materially useful; source identity never leaked.</w:t>
            </w:r>
          </w:p>
        </w:tc>
      </w:tr>
      <w:tr>
        <w:trPr>
          <w:cantSplit/>
        </w:trPr>
        <w:tc>
          <w:tcPr>
            <w:tcW w:type="dxa" w:w="2448"/>
            <w:tcMar>
              <w:top w:w="70" w:type="dxa"/>
              <w:start w:w="90" w:type="dxa"/>
              <w:bottom w:w="70" w:type="dxa"/>
              <w:end w:w="90" w:type="dxa"/>
            </w:tcMar>
            <w:vAlign w:val="center"/>
          </w:tcPr>
          <w:p>
            <w:r>
              <w:rPr>
                <w:color w:val="16212B"/>
                <w:sz w:val="16"/>
              </w:rPr>
              <w:t>Integrity warning</w:t>
            </w:r>
          </w:p>
        </w:tc>
        <w:tc>
          <w:tcPr>
            <w:tcW w:type="dxa" w:w="3744"/>
            <w:tcMar>
              <w:top w:w="70" w:type="dxa"/>
              <w:start w:w="90" w:type="dxa"/>
              <w:bottom w:w="70" w:type="dxa"/>
              <w:end w:w="90" w:type="dxa"/>
            </w:tcMar>
            <w:vAlign w:val="center"/>
          </w:tcPr>
          <w:p>
            <w:r>
              <w:rPr>
                <w:color w:val="16212B"/>
                <w:sz w:val="16"/>
              </w:rPr>
              <w:t>Prominent error surface + object ID + next action</w:t>
            </w:r>
          </w:p>
        </w:tc>
        <w:tc>
          <w:tcPr>
            <w:tcW w:type="dxa" w:w="4320"/>
            <w:tcMar>
              <w:top w:w="70" w:type="dxa"/>
              <w:start w:w="90" w:type="dxa"/>
              <w:bottom w:w="70" w:type="dxa"/>
              <w:end w:w="90" w:type="dxa"/>
            </w:tcMar>
            <w:vAlign w:val="center"/>
          </w:tcPr>
          <w:p>
            <w:r>
              <w:rPr>
                <w:color w:val="16212B"/>
                <w:sz w:val="16"/>
              </w:rPr>
              <w:t>Reserved for hash/version/integrity failures.</w:t>
            </w:r>
          </w:p>
        </w:tc>
      </w:tr>
      <w:tr>
        <w:trPr>
          <w:cantSplit/>
        </w:trPr>
        <w:tc>
          <w:tcPr>
            <w:tcW w:type="dxa" w:w="2448"/>
            <w:tcMar>
              <w:top w:w="70" w:type="dxa"/>
              <w:start w:w="90" w:type="dxa"/>
              <w:bottom w:w="70" w:type="dxa"/>
              <w:end w:w="90" w:type="dxa"/>
            </w:tcMar>
            <w:vAlign w:val="center"/>
          </w:tcPr>
          <w:p>
            <w:r>
              <w:rPr>
                <w:color w:val="16212B"/>
                <w:sz w:val="16"/>
              </w:rPr>
              <w:t>Version chip</w:t>
            </w:r>
          </w:p>
        </w:tc>
        <w:tc>
          <w:tcPr>
            <w:tcW w:type="dxa" w:w="3744"/>
            <w:tcMar>
              <w:top w:w="70" w:type="dxa"/>
              <w:start w:w="90" w:type="dxa"/>
              <w:bottom w:w="70" w:type="dxa"/>
              <w:end w:w="90" w:type="dxa"/>
            </w:tcMar>
            <w:vAlign w:val="center"/>
          </w:tcPr>
          <w:p>
            <w:r>
              <w:rPr>
                <w:color w:val="16212B"/>
                <w:sz w:val="16"/>
              </w:rPr>
              <w:t>Version number + status + supersession</w:t>
            </w:r>
          </w:p>
        </w:tc>
        <w:tc>
          <w:tcPr>
            <w:tcW w:type="dxa" w:w="4320"/>
            <w:tcMar>
              <w:top w:w="70" w:type="dxa"/>
              <w:start w:w="90" w:type="dxa"/>
              <w:bottom w:w="70" w:type="dxa"/>
              <w:end w:w="90" w:type="dxa"/>
            </w:tcMar>
            <w:vAlign w:val="center"/>
          </w:tcPr>
          <w:p>
            <w:r>
              <w:rPr>
                <w:color w:val="16212B"/>
                <w:sz w:val="16"/>
              </w:rPr>
              <w:t>Current/superseded/retracted clear without relying on color.</w:t>
            </w:r>
          </w:p>
        </w:tc>
      </w:tr>
    </w:tbl>
    <w:p>
      <w:pPr>
        <w:spacing w:after="40"/>
      </w:pPr>
    </w:p>
    <w:p>
      <w:pPr>
        <w:pStyle w:val="Heading1"/>
      </w:pPr>
      <w:r>
        <w:t>7. Critical Screen Specifications</w:t>
      </w:r>
    </w:p>
    <w:p>
      <w:pPr>
        <w:pStyle w:val="Heading2"/>
      </w:pPr>
      <w:r>
        <w:t>SCR-HOME-001 — Home / Work Queue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Give each user a calm operational landing page showing assigned work, reviews, recent cases and actionable exceptions.</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WF-PAT-01</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Two-column responsive dashboard: main work queue (≈70%) + contextual summary rail (≈30%).</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WorkQueueTable; CaseSummaryCard; ReviewQueueCard; AlertBanner; SavedFilter; EmptyState</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Loading; empty; overdue; review-needed; permission-filtered</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At &lt;1100 px summary rail moves below queue; queue remains primary.</w:t>
            </w:r>
          </w:p>
        </w:tc>
      </w:tr>
    </w:tbl>
    <w:p>
      <w:pPr>
        <w:spacing w:after="40"/>
      </w:pPr>
    </w:p>
    <w:p>
      <w:r>
        <w:rPr>
          <w:b/>
          <w:color w:val="285C8E"/>
        </w:rPr>
        <w:t>Engineering acceptance</w:t>
      </w:r>
    </w:p>
    <w:p>
      <w:pPr>
        <w:pStyle w:val="ListBullet"/>
        <w:spacing w:after="40"/>
      </w:pPr>
      <w:r>
        <w:t>No global guilt/risk ranking.</w:t>
      </w:r>
    </w:p>
    <w:p>
      <w:pPr>
        <w:pStyle w:val="ListBullet"/>
        <w:spacing w:after="40"/>
      </w:pPr>
      <w:r>
        <w:t>Counts exclude unauthorized objects without revealing their existence.</w:t>
      </w:r>
    </w:p>
    <w:p>
      <w:pPr>
        <w:pStyle w:val="ListBullet"/>
        <w:spacing w:after="40"/>
      </w:pPr>
      <w:r>
        <w:t>Urgency styling is based on workflow due date/status only.</w:t>
      </w:r>
    </w:p>
    <w:p>
      <w:pPr>
        <w:pStyle w:val="Heading2"/>
      </w:pPr>
      <w:r>
        <w:t>SCR-CASE-001 — Case Register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Find and enter authorized cases efficiently.</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WF-PAT-01</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Header + compact filter bar + dense table + optional saved views.</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DataGrid; FilterBar; SearchField; ClassificationBadge; StatusBadge; OwnerAvatar</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Loading; empty; no-results; permission-filtered</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At narrow desktop nonessential columns collapse behind column chooser.</w:t>
            </w:r>
          </w:p>
        </w:tc>
      </w:tr>
    </w:tbl>
    <w:p>
      <w:pPr>
        <w:spacing w:after="40"/>
      </w:pPr>
    </w:p>
    <w:p>
      <w:r>
        <w:rPr>
          <w:b/>
          <w:color w:val="285C8E"/>
        </w:rPr>
        <w:t>Engineering acceptance</w:t>
      </w:r>
    </w:p>
    <w:p>
      <w:pPr>
        <w:pStyle w:val="ListBullet"/>
        <w:spacing w:after="40"/>
      </w:pPr>
      <w:r>
        <w:t>Case title and stable ID are always visible.</w:t>
      </w:r>
    </w:p>
    <w:p>
      <w:pPr>
        <w:pStyle w:val="ListBullet"/>
        <w:spacing w:after="40"/>
      </w:pPr>
      <w:r>
        <w:t>No case card uses red merely for sensitivity or allegation.</w:t>
      </w:r>
    </w:p>
    <w:p>
      <w:pPr>
        <w:pStyle w:val="ListBullet"/>
        <w:spacing w:after="40"/>
      </w:pPr>
      <w:r>
        <w:t>Table row click and explicit open action both supported.</w:t>
      </w:r>
    </w:p>
    <w:p>
      <w:pPr>
        <w:pStyle w:val="Heading2"/>
      </w:pPr>
      <w:r>
        <w:t>SCR-CASE-003 — Case Overview</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Summarize case purpose, scope, work state and analytical progress without flattening uncertainty.</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WF-PAT-02</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Context header + local tabs; 8/4 grid: main summary and key work on left, gates/metadata on right.</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CaseIdentityHeader; ScopeSummary; GateStatusPanel; TaskSummary; RecentActivity; LinkedObjectSummary</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Active; draft; blocked gate; archived/closed; permission-limited</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Right rail stacks below main at &lt;1150 px.</w:t>
            </w:r>
          </w:p>
        </w:tc>
      </w:tr>
    </w:tbl>
    <w:p>
      <w:pPr>
        <w:spacing w:after="40"/>
      </w:pPr>
    </w:p>
    <w:p>
      <w:r>
        <w:rPr>
          <w:b/>
          <w:color w:val="285C8E"/>
        </w:rPr>
        <w:t>Engineering acceptance</w:t>
      </w:r>
    </w:p>
    <w:p>
      <w:pPr>
        <w:pStyle w:val="ListBullet"/>
        <w:spacing w:after="40"/>
      </w:pPr>
      <w:r>
        <w:t>Investigation question appears above analytical summary.</w:t>
      </w:r>
    </w:p>
    <w:p>
      <w:pPr>
        <w:pStyle w:val="ListBullet"/>
        <w:spacing w:after="40"/>
      </w:pPr>
      <w:r>
        <w:t>Gate blockers are visible before downstream action buttons.</w:t>
      </w:r>
    </w:p>
    <w:p>
      <w:pPr>
        <w:pStyle w:val="ListBullet"/>
        <w:spacing w:after="40"/>
      </w:pPr>
      <w:r>
        <w:t>Analytical progress is descriptive, not a guilt score.</w:t>
      </w:r>
    </w:p>
    <w:p>
      <w:pPr>
        <w:pStyle w:val="Heading2"/>
      </w:pPr>
      <w:r>
        <w:t>SCR-EVD-003 — Evidence Detail / Reader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Read original evidence while retaining provenance, integrity and citation context.</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WF-PAT-02</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Three-region desktop: document canvas 58–65%, citation/provenance rail 28–34%, compact header/tool strip.</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DocumentViewer; EvidenceIdentity; HashStatus; CitationCreator; ProvenancePanel; DerivativeBadge; ClassificationBadge</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Loading; unsupported preview; integrity mismatch; derivative; permission-limited</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At &lt;1200 px provenance rail becomes slide-over inspector; reader remains full width.</w:t>
            </w:r>
          </w:p>
        </w:tc>
      </w:tr>
    </w:tbl>
    <w:p>
      <w:pPr>
        <w:spacing w:after="40"/>
      </w:pPr>
    </w:p>
    <w:p>
      <w:r>
        <w:rPr>
          <w:b/>
          <w:color w:val="285C8E"/>
        </w:rPr>
        <w:t>Engineering acceptance</w:t>
      </w:r>
    </w:p>
    <w:p>
      <w:pPr>
        <w:pStyle w:val="ListBullet"/>
        <w:spacing w:after="40"/>
      </w:pPr>
      <w:r>
        <w:t>Original/derivative state visible near document title.</w:t>
      </w:r>
    </w:p>
    <w:p>
      <w:pPr>
        <w:pStyle w:val="ListBullet"/>
        <w:spacing w:after="40"/>
      </w:pPr>
      <w:r>
        <w:t>Integrity mismatch uses destructive/error semantic treatment.</w:t>
      </w:r>
    </w:p>
    <w:p>
      <w:pPr>
        <w:pStyle w:val="ListBullet"/>
        <w:spacing w:after="40"/>
      </w:pPr>
      <w:r>
        <w:t>Citation creation never mutates original evidence.</w:t>
      </w:r>
    </w:p>
    <w:p>
      <w:pPr>
        <w:pStyle w:val="ListBullet"/>
        <w:spacing w:after="40"/>
      </w:pPr>
      <w:r>
        <w:t>Protected-source identity omitted unless explicitly authorized.</w:t>
      </w:r>
    </w:p>
    <w:p>
      <w:pPr>
        <w:pStyle w:val="Heading2"/>
      </w:pPr>
      <w:r>
        <w:t>SCR-ENT-003 — Entity Detail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Present a reusable canonical entity with aliases, identifiers, relationships, assets, case links and provenance.</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WF-PAT-02</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Object header + summary band + tabbed sections; 8/4 grid where right rail holds resolution/provenance state.</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EntityIdentityBlock; IdentifierTable; AliasList; RelationshipSummary; AssetSummary; CaseBacklinks; ResolutionState</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Confirmed; probable; candidate; disputed; unresolved; merged/superseded</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Rail stacks at &lt;1100 px; tables remain horizontally scrollable only as last resort.</w:t>
            </w:r>
          </w:p>
        </w:tc>
      </w:tr>
    </w:tbl>
    <w:p>
      <w:pPr>
        <w:spacing w:after="40"/>
      </w:pPr>
    </w:p>
    <w:p>
      <w:r>
        <w:rPr>
          <w:b/>
          <w:color w:val="285C8E"/>
        </w:rPr>
        <w:t>Engineering acceptance</w:t>
      </w:r>
    </w:p>
    <w:p>
      <w:pPr>
        <w:pStyle w:val="ListBullet"/>
        <w:spacing w:after="40"/>
      </w:pPr>
      <w:r>
        <w:t>Canonical identity and resolution state visually separate.</w:t>
      </w:r>
    </w:p>
    <w:p>
      <w:pPr>
        <w:pStyle w:val="ListBullet"/>
        <w:spacing w:after="40"/>
      </w:pPr>
      <w:r>
        <w:t>Case associations do not duplicate entity identity.</w:t>
      </w:r>
    </w:p>
    <w:p>
      <w:pPr>
        <w:pStyle w:val="ListBullet"/>
        <w:spacing w:after="40"/>
      </w:pPr>
      <w:r>
        <w:t>No centrality/risk indicator on entity header.</w:t>
      </w:r>
    </w:p>
    <w:p>
      <w:pPr>
        <w:pStyle w:val="Heading2"/>
      </w:pPr>
      <w:r>
        <w:t>SCR-ENT-005 — Entity Match Compare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Support reversible, evidence-based merge decisions.</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WF-PAT-05</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Symmetrical A/B comparison with central decision rail; matching/conflicting attributes grouped by type.</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CompareColumn; MatchSignal; ConflictSignal; ProvenanceLink; MergeDecisionPanel; RationaleField</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Candidate; insufficient evidence; conflict; merge-ready; decision recorded</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At &lt;1200 px columns remain side-by-side with horizontal containment; below tablet not primary supported workflow.</w:t>
            </w:r>
          </w:p>
        </w:tc>
      </w:tr>
    </w:tbl>
    <w:p>
      <w:pPr>
        <w:spacing w:after="40"/>
      </w:pPr>
    </w:p>
    <w:p>
      <w:r>
        <w:rPr>
          <w:b/>
          <w:color w:val="285C8E"/>
        </w:rPr>
        <w:t>Engineering acceptance</w:t>
      </w:r>
    </w:p>
    <w:p>
      <w:pPr>
        <w:pStyle w:val="ListBullet"/>
        <w:spacing w:after="40"/>
      </w:pPr>
      <w:r>
        <w:t>No auto-merge action is visually dominant over review.</w:t>
      </w:r>
    </w:p>
    <w:p>
      <w:pPr>
        <w:pStyle w:val="ListBullet"/>
        <w:spacing w:after="40"/>
      </w:pPr>
      <w:r>
        <w:t>Conflicting attributes receive equal visual prominence to matching attributes.</w:t>
      </w:r>
    </w:p>
    <w:p>
      <w:pPr>
        <w:pStyle w:val="ListBullet"/>
        <w:spacing w:after="40"/>
      </w:pPr>
      <w:r>
        <w:t>Merge requires rationale and evidence.</w:t>
      </w:r>
    </w:p>
    <w:p>
      <w:pPr>
        <w:pStyle w:val="ListBullet"/>
        <w:spacing w:after="40"/>
      </w:pPr>
      <w:r>
        <w:t>Unmerge consequences are previewed where available.</w:t>
      </w:r>
    </w:p>
    <w:p>
      <w:pPr>
        <w:pStyle w:val="Heading2"/>
      </w:pPr>
      <w:r>
        <w:t>SCR-TIM-001 — Timeline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Show chronology while preserving date precision and evidence attribution.</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WF-PAT-04</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Filter/tool strip + timeline canvas + optional event inspector + accessible list below/side.</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TimelineAxis; EventMarker; DatePrecisionLabel; FilterBar; EventInspector; AccessibleEventList</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Empty; filtered-empty; dense cluster; approximate dates; permission-limited</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At &lt;1150 px inspector becomes drawer; accessible list remains available.</w:t>
            </w:r>
          </w:p>
        </w:tc>
      </w:tr>
    </w:tbl>
    <w:p>
      <w:pPr>
        <w:spacing w:after="40"/>
      </w:pPr>
    </w:p>
    <w:p>
      <w:r>
        <w:rPr>
          <w:b/>
          <w:color w:val="285C8E"/>
        </w:rPr>
        <w:t>Engineering acceptance</w:t>
      </w:r>
    </w:p>
    <w:p>
      <w:pPr>
        <w:pStyle w:val="ListBullet"/>
        <w:spacing w:after="40"/>
      </w:pPr>
      <w:r>
        <w:t>Approximate dates visibly differ from exact dates.</w:t>
      </w:r>
    </w:p>
    <w:p>
      <w:pPr>
        <w:pStyle w:val="ListBullet"/>
        <w:spacing w:after="40"/>
      </w:pPr>
      <w:r>
        <w:t>Event size does not imply importance unless user-selected filter explicitly says so.</w:t>
      </w:r>
    </w:p>
    <w:p>
      <w:pPr>
        <w:pStyle w:val="ListBullet"/>
        <w:spacing w:after="40"/>
      </w:pPr>
      <w:r>
        <w:t>Every material event links to evidence.</w:t>
      </w:r>
    </w:p>
    <w:p>
      <w:pPr>
        <w:pStyle w:val="Heading2"/>
      </w:pPr>
      <w:r>
        <w:t>SCR-VAL-001 — Value Flow Workspace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Explore movement of value and reconstruct multi-leg chains without conflating evidence classes.</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WF-PAT-04</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Wide analytical canvas ≈70–75% + inspector ≈25–30%; persistent legend; filter bar above.</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ValueFlowCanvas; FlowLegend; FlowNode; FlowEdge; InspectorRail; EvidenceCitation; FlowClassBadge; AccessibleFlowTable</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Mixed flow classes; unknown values; range values; no-data; permission-limited</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Inspector collapses below 1200 px; canvas never removes legend; list/table alternative available.</w:t>
            </w:r>
          </w:p>
        </w:tc>
      </w:tr>
    </w:tbl>
    <w:p>
      <w:pPr>
        <w:spacing w:after="40"/>
      </w:pPr>
    </w:p>
    <w:p>
      <w:r>
        <w:rPr>
          <w:b/>
          <w:color w:val="285C8E"/>
        </w:rPr>
        <w:t>Engineering acceptance</w:t>
      </w:r>
    </w:p>
    <w:p>
      <w:pPr>
        <w:pStyle w:val="ListBullet"/>
        <w:spacing w:after="40"/>
      </w:pPr>
      <w:r>
        <w:t>Line semantics and labels distinguish all four classes without color.</w:t>
      </w:r>
    </w:p>
    <w:p>
      <w:pPr>
        <w:pStyle w:val="ListBullet"/>
        <w:spacing w:after="40"/>
      </w:pPr>
      <w:r>
        <w:t>Unknown value displays “Unknown”, not 0.</w:t>
      </w:r>
    </w:p>
    <w:p>
      <w:pPr>
        <w:pStyle w:val="ListBullet"/>
        <w:spacing w:after="40"/>
      </w:pPr>
      <w:r>
        <w:t>Reconstructed/hypothetical flows cannot use direct-flow styling.</w:t>
      </w:r>
    </w:p>
    <w:p>
      <w:pPr>
        <w:pStyle w:val="ListBullet"/>
        <w:spacing w:after="40"/>
      </w:pPr>
      <w:r>
        <w:t>Selected edge reveals evidence/class/confidence in inspector.</w:t>
      </w:r>
    </w:p>
    <w:tbl>
      <w:tblPr>
        <w:tblStyle w:val="TableGrid"/>
        <w:tblW w:type="auto" w:w="0"/>
        <w:jc w:val="center"/>
        <w:tblLook w:firstColumn="1" w:firstRow="1" w:lastColumn="0" w:lastRow="0" w:noHBand="0" w:noVBand="1" w:val="04A0"/>
      </w:tblPr>
      <w:tblGrid>
        <w:gridCol w:w="10166"/>
      </w:tblGrid>
      <w:tr>
        <w:trPr>
          <w:cantSplit/>
        </w:trPr>
        <w:tc>
          <w:tcPr>
            <w:tcW w:type="dxa" w:w="10166"/>
            <w:shd w:fill="F1F4F7"/>
            <w:tcMar>
              <w:top w:w="110" w:type="dxa"/>
              <w:start w:w="130" w:type="dxa"/>
              <w:bottom w:w="110" w:type="dxa"/>
              <w:end w:w="130" w:type="dxa"/>
            </w:tcMar>
          </w:tcPr>
          <w:p>
            <w:r>
              <w:rPr>
                <w:b/>
                <w:color w:val="3E556A"/>
                <w:sz w:val="21"/>
              </w:rPr>
              <w:t>High-fidelity note</w:t>
              <w:br/>
            </w:r>
            <w:r>
              <w:rPr>
                <w:color w:val="16212B"/>
                <w:sz w:val="19"/>
              </w:rPr>
              <w:t>Reference line semantics: DIRECT solid + “DIRECT”; DOCUMENTED distinct solid + “DOCUMENTED”; RECONSTRUCTED dashed + “RECONSTRUCTED”; HYPOTHETICAL dotted + “HYPOTHETICAL”.</w:t>
            </w:r>
          </w:p>
        </w:tc>
      </w:tr>
    </w:tbl>
    <w:p>
      <w:pPr>
        <w:spacing w:after="40"/>
      </w:pPr>
    </w:p>
    <w:p>
      <w:pPr>
        <w:pStyle w:val="Heading2"/>
      </w:pPr>
      <w:r>
        <w:t>SCR-TYP-002 — Typology Match Worksheet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Compare observed patterns to catalogue typology with explicit counter-indicators and alternative explanations.</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WF-PAT-04</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Left typology reference panel + central worksheet + right rationale/status inspector.</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TypologyHeader; IndicatorRow; CounterIndicatorRow; EvidenceCitation; ConsistencySelector; AlternativeExplanationPanel</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No basis; weak; plausible; strong; compelling; incomplete</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Three columns collapse to stacked sections below 1180 px.</w:t>
            </w:r>
          </w:p>
        </w:tc>
      </w:tr>
    </w:tbl>
    <w:p>
      <w:pPr>
        <w:spacing w:after="40"/>
      </w:pPr>
    </w:p>
    <w:p>
      <w:r>
        <w:rPr>
          <w:b/>
          <w:color w:val="285C8E"/>
        </w:rPr>
        <w:t>Engineering acceptance</w:t>
      </w:r>
    </w:p>
    <w:p>
      <w:pPr>
        <w:pStyle w:val="ListBullet"/>
        <w:spacing w:after="40"/>
      </w:pPr>
      <w:r>
        <w:t>Consistency is text-labelled; no percentage “risk meter”.</w:t>
      </w:r>
    </w:p>
    <w:p>
      <w:pPr>
        <w:pStyle w:val="ListBullet"/>
        <w:spacing w:after="40"/>
      </w:pPr>
      <w:r>
        <w:t>Counter-indicators are not visually de-emphasized.</w:t>
      </w:r>
    </w:p>
    <w:p>
      <w:pPr>
        <w:pStyle w:val="ListBullet"/>
        <w:spacing w:after="40"/>
      </w:pPr>
      <w:r>
        <w:t>Catalogue version is visible.</w:t>
      </w:r>
    </w:p>
    <w:p>
      <w:pPr>
        <w:pStyle w:val="ListBullet"/>
        <w:spacing w:after="40"/>
      </w:pPr>
      <w:r>
        <w:t>Single weak indicator never renders a strong visual match automatically.</w:t>
      </w:r>
    </w:p>
    <w:p>
      <w:pPr>
        <w:pStyle w:val="Heading2"/>
      </w:pPr>
      <w:r>
        <w:t>SCR-HYP-001 — Hypothesis Workspace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Maintain competing explanations and evidence balance.</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WF-PAT-04</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Hypothesis cards/list on left; support/contradiction matrix center; gaps/notes inspector right.</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HypothesisCard; EvidenceMatrix; GapPanel; AssumptionList; ConfidenceLabel; StatusBadge</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Open; supported; weakened; rejected; inconclusive; no alternatives</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At &lt;1200 px inspector drawers; hypothesis selector remains sticky.</w:t>
            </w:r>
          </w:p>
        </w:tc>
      </w:tr>
    </w:tbl>
    <w:p>
      <w:pPr>
        <w:spacing w:after="40"/>
      </w:pPr>
    </w:p>
    <w:p>
      <w:r>
        <w:rPr>
          <w:b/>
          <w:color w:val="285C8E"/>
        </w:rPr>
        <w:t>Engineering acceptance</w:t>
      </w:r>
    </w:p>
    <w:p>
      <w:pPr>
        <w:pStyle w:val="ListBullet"/>
        <w:spacing w:after="40"/>
      </w:pPr>
      <w:r>
        <w:t>Legitimate/less-adverse alternatives receive equal card treatment.</w:t>
      </w:r>
    </w:p>
    <w:p>
      <w:pPr>
        <w:pStyle w:val="ListBullet"/>
        <w:spacing w:after="40"/>
      </w:pPr>
      <w:r>
        <w:t>Rejected hypotheses remain visible in history.</w:t>
      </w:r>
    </w:p>
    <w:p>
      <w:pPr>
        <w:pStyle w:val="ListBullet"/>
        <w:spacing w:after="40"/>
      </w:pPr>
      <w:r>
        <w:t>Supporting and contradicting evidence use symmetric visual weight.</w:t>
      </w:r>
    </w:p>
    <w:p>
      <w:pPr>
        <w:pStyle w:val="Heading2"/>
      </w:pPr>
      <w:r>
        <w:t>SCR-ASM-001 — Assessment Draft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Compose a judgement with confidence, basis, alternatives and intelligence gaps.</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WF-PAT-03</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Document editor center + evidence/provenance rail right + metadata/status strip top.</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AssessmentEditor; ConfidenceSelector; EvidenceCitationList; AlternativeExplanationList; GapList; VersionState</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Draft; incomplete; ready for review; returned; superseded</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Rail becomes slide-over below 1150 px.</w:t>
            </w:r>
          </w:p>
        </w:tc>
      </w:tr>
    </w:tbl>
    <w:p>
      <w:pPr>
        <w:spacing w:after="40"/>
      </w:pPr>
    </w:p>
    <w:p>
      <w:r>
        <w:rPr>
          <w:b/>
          <w:color w:val="285C8E"/>
        </w:rPr>
        <w:t>Engineering acceptance</w:t>
      </w:r>
    </w:p>
    <w:p>
      <w:pPr>
        <w:pStyle w:val="ListBullet"/>
        <w:spacing w:after="40"/>
      </w:pPr>
      <w:r>
        <w:t>Confidence is a controlled label with rationale, not numeric guilt meter.</w:t>
      </w:r>
    </w:p>
    <w:p>
      <w:pPr>
        <w:pStyle w:val="ListBullet"/>
        <w:spacing w:after="40"/>
      </w:pPr>
      <w:r>
        <w:t>Missing alternatives/gaps produce review warning, not hidden validation.</w:t>
      </w:r>
    </w:p>
    <w:p>
      <w:pPr>
        <w:pStyle w:val="ListBullet"/>
        <w:spacing w:after="40"/>
      </w:pPr>
      <w:r>
        <w:t>Material judgement must retain linked evidence.</w:t>
      </w:r>
    </w:p>
    <w:p>
      <w:pPr>
        <w:pStyle w:val="Heading2"/>
      </w:pPr>
      <w:r>
        <w:t>SCR-GRF-001 — Investigation Graph</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Explore evidence-backed relationships while avoiding visual implication of culpability.</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WF-PAT-04</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Full analytical canvas + compact filter bar + 320–360 px provenance inspector + legend.</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GraphCanvas; Node; Edge; Legend; FilterBar; InspectorRail; AccessibleGraphTable</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Empty; sparse; dense; permission-filtered; selected node/edge</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Inspector collapsible; list/table alternative; mobile not target for full graph editing.</w:t>
            </w:r>
          </w:p>
        </w:tc>
      </w:tr>
    </w:tbl>
    <w:p>
      <w:pPr>
        <w:spacing w:after="40"/>
      </w:pPr>
    </w:p>
    <w:p>
      <w:r>
        <w:rPr>
          <w:b/>
          <w:color w:val="285C8E"/>
        </w:rPr>
        <w:t>Engineering acceptance</w:t>
      </w:r>
    </w:p>
    <w:p>
      <w:pPr>
        <w:pStyle w:val="ListBullet"/>
        <w:spacing w:after="40"/>
      </w:pPr>
      <w:r>
        <w:t>Node color encodes entity type/state only where semantically approved.</w:t>
      </w:r>
    </w:p>
    <w:p>
      <w:pPr>
        <w:pStyle w:val="ListBullet"/>
        <w:spacing w:after="40"/>
      </w:pPr>
      <w:r>
        <w:t>Node size SHALL NOT encode guilt/risk by default.</w:t>
      </w:r>
    </w:p>
    <w:p>
      <w:pPr>
        <w:pStyle w:val="ListBullet"/>
        <w:spacing w:after="40"/>
      </w:pPr>
      <w:r>
        <w:t>Centrality/path ranking is not shown as risk.</w:t>
      </w:r>
    </w:p>
    <w:p>
      <w:pPr>
        <w:pStyle w:val="ListBullet"/>
        <w:spacing w:after="40"/>
      </w:pPr>
      <w:r>
        <w:t>Every material edge opens its canonical Relationship record.</w:t>
      </w:r>
    </w:p>
    <w:p>
      <w:pPr>
        <w:pStyle w:val="Heading2"/>
      </w:pPr>
      <w:r>
        <w:t>SCR-PRD-003 — Product Editor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Create a structured intelligence product while retaining traceability and handling controls.</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WF-PAT-03</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Structured report editor 65–70% + evidence/review rail 30–35%; top version/classification strip.</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ProductSectionEditor; EvidenceIndexPanel; ClassificationBanner; VersionChip; SaveState; ValidationPanel</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Draft; incomplete; ready for review; approved-readonly; superseded</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Rail collapses to drawer below 1150 px.</w:t>
            </w:r>
          </w:p>
        </w:tc>
      </w:tr>
    </w:tbl>
    <w:p>
      <w:pPr>
        <w:spacing w:after="40"/>
      </w:pPr>
    </w:p>
    <w:p>
      <w:r>
        <w:rPr>
          <w:b/>
          <w:color w:val="285C8E"/>
        </w:rPr>
        <w:t>Engineering acceptance</w:t>
      </w:r>
    </w:p>
    <w:p>
      <w:pPr>
        <w:pStyle w:val="ListBullet"/>
        <w:spacing w:after="40"/>
      </w:pPr>
      <w:r>
        <w:t>Key findings support direct evidence navigation.</w:t>
      </w:r>
    </w:p>
    <w:p>
      <w:pPr>
        <w:pStyle w:val="ListBullet"/>
        <w:spacing w:after="40"/>
      </w:pPr>
      <w:r>
        <w:t>Fact/analysis/gap sections use explicit labels.</w:t>
      </w:r>
    </w:p>
    <w:p>
      <w:pPr>
        <w:pStyle w:val="ListBullet"/>
        <w:spacing w:after="40"/>
      </w:pPr>
      <w:r>
        <w:t>Approved version is readonly; edits create new version.</w:t>
      </w:r>
    </w:p>
    <w:p>
      <w:pPr>
        <w:pStyle w:val="Heading2"/>
      </w:pPr>
      <w:r>
        <w:t>SCR-REV-002 — Peer Review Workspace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Allow independent review of evidence basis, alternatives, confidence, identity and harm before approval.</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WF-PAT-06</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Product/assessment content left ≈65%; review panel right ≈35%; sticky review decision footer/rail.</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ReviewChecklist; InlineComment; EvidenceJump; IssueList; DecisionControls; ReviewerIdentity</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Not-started; in-review; changes-requested; approved; rejected</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Review panel becomes drawer below 1150 px; decision controls remain reachable.</w:t>
            </w:r>
          </w:p>
        </w:tc>
      </w:tr>
    </w:tbl>
    <w:p>
      <w:pPr>
        <w:spacing w:after="40"/>
      </w:pPr>
    </w:p>
    <w:p>
      <w:r>
        <w:rPr>
          <w:b/>
          <w:color w:val="285C8E"/>
        </w:rPr>
        <w:t>Engineering acceptance</w:t>
      </w:r>
    </w:p>
    <w:p>
      <w:pPr>
        <w:pStyle w:val="ListBullet"/>
        <w:spacing w:after="40"/>
      </w:pPr>
      <w:r>
        <w:t>Reviewer identity and product version are fixed in context header.</w:t>
      </w:r>
    </w:p>
    <w:p>
      <w:pPr>
        <w:pStyle w:val="ListBullet"/>
        <w:spacing w:after="40"/>
      </w:pPr>
      <w:r>
        <w:t>Approve action is not available to author when policy forbids self-approval.</w:t>
      </w:r>
    </w:p>
    <w:p>
      <w:pPr>
        <w:pStyle w:val="ListBullet"/>
        <w:spacing w:after="40"/>
      </w:pPr>
      <w:r>
        <w:t>Disconfirming-search requirement visibly blocks high-impact approval when unmet.</w:t>
      </w:r>
    </w:p>
    <w:p>
      <w:pPr>
        <w:pStyle w:val="Heading2"/>
      </w:pPr>
      <w:r>
        <w:t>SCR-DIS-001 — Dissemination Approval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Control external sharing based on recipient, purpose, classification, minimization and approval.</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WF-PAT-06</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Approval summary + package manifest + restrictions + final action zone.</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RecipientSummary; PurposeField; ClassificationBanner; ManifestTable; RestrictionList; ApprovalControls</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Draft; blocked; ready; approved; expired/revoked</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Single-column on smaller desktop; manifest remains table with selectable columns.</w:t>
            </w:r>
          </w:p>
        </w:tc>
      </w:tr>
    </w:tbl>
    <w:p>
      <w:pPr>
        <w:spacing w:after="40"/>
      </w:pPr>
    </w:p>
    <w:p>
      <w:r>
        <w:rPr>
          <w:b/>
          <w:color w:val="285C8E"/>
        </w:rPr>
        <w:t>Engineering acceptance</w:t>
      </w:r>
    </w:p>
    <w:p>
      <w:pPr>
        <w:pStyle w:val="ListBullet"/>
        <w:spacing w:after="40"/>
      </w:pPr>
      <w:r>
        <w:t>External sharing action disabled until required approval exists.</w:t>
      </w:r>
    </w:p>
    <w:p>
      <w:pPr>
        <w:pStyle w:val="ListBullet"/>
        <w:spacing w:after="40"/>
      </w:pPr>
      <w:r>
        <w:t>Protected-source identity is not listed in ordinary package manifest.</w:t>
      </w:r>
    </w:p>
    <w:p>
      <w:pPr>
        <w:pStyle w:val="ListBullet"/>
        <w:spacing w:after="40"/>
      </w:pPr>
      <w:r>
        <w:t>Included/excluded objects are explicit before approval.</w:t>
      </w:r>
    </w:p>
    <w:p>
      <w:pPr>
        <w:pStyle w:val="Heading2"/>
      </w:pPr>
      <w:r>
        <w:t>SCR-DIS-002 — Export Package Builder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Select and preview an approved export while preserving handling, minimization and audit.</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WF-PAT-04</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Object selection left 35–40%; package preview/manifest center 40–45%; handling inspector 20–25%.</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ObjectSelector; RedactionToggle; ManifestTable; HandlingPanel; PreviewPanel; ExportAction</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Draft; validation warning; blocked restricted object; ready; exported</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At &lt;1200 px inspector becomes drawer; object selection and manifest stack.</w:t>
            </w:r>
          </w:p>
        </w:tc>
      </w:tr>
    </w:tbl>
    <w:p>
      <w:pPr>
        <w:spacing w:after="40"/>
      </w:pPr>
    </w:p>
    <w:p>
      <w:r>
        <w:rPr>
          <w:b/>
          <w:color w:val="285C8E"/>
        </w:rPr>
        <w:t>Engineering acceptance</w:t>
      </w:r>
    </w:p>
    <w:p>
      <w:pPr>
        <w:pStyle w:val="ListBullet"/>
        <w:spacing w:after="40"/>
      </w:pPr>
      <w:r>
        <w:t>Export clearly separates included vs excluded objects.</w:t>
      </w:r>
    </w:p>
    <w:p>
      <w:pPr>
        <w:pStyle w:val="ListBullet"/>
        <w:spacing w:after="40"/>
      </w:pPr>
      <w:r>
        <w:t>Unauthorized restricted objects cannot be selected even by URL manipulation.</w:t>
      </w:r>
    </w:p>
    <w:p>
      <w:pPr>
        <w:pStyle w:val="ListBullet"/>
        <w:spacing w:after="40"/>
      </w:pPr>
      <w:r>
        <w:t>Export creates immutable audit event and package/version manifest.</w:t>
      </w:r>
    </w:p>
    <w:p>
      <w:pPr>
        <w:pStyle w:val="Heading2"/>
      </w:pPr>
      <w:r>
        <w:t>SCR-AUD-001 — Audit Explorer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24D"/>
            <w:tcMar>
              <w:top w:w="70" w:type="dxa"/>
              <w:start w:w="90" w:type="dxa"/>
              <w:bottom w:w="70" w:type="dxa"/>
              <w:end w:w="90" w:type="dxa"/>
            </w:tcMar>
            <w:vAlign w:val="center"/>
          </w:tcPr>
          <w:p>
            <w:r>
              <w:rPr>
                <w:b/>
                <w:color w:val="FFFFFF"/>
                <w:sz w:val="18"/>
              </w:rPr>
              <w:t>Field</w:t>
            </w:r>
          </w:p>
        </w:tc>
        <w:tc>
          <w:tcPr>
            <w:tcW w:type="dxa" w:w="8208"/>
            <w:shd w:fill="17324D"/>
            <w:tcMar>
              <w:top w:w="70" w:type="dxa"/>
              <w:start w:w="90" w:type="dxa"/>
              <w:bottom w:w="70" w:type="dxa"/>
              <w:end w:w="90" w:type="dxa"/>
            </w:tcMar>
            <w:vAlign w:val="center"/>
          </w:tcPr>
          <w:p>
            <w:r>
              <w:rPr>
                <w:b/>
                <w:color w:val="FFFFFF"/>
                <w:sz w:val="18"/>
              </w:rPr>
              <w:t>Specification</w:t>
            </w:r>
          </w:p>
        </w:tc>
      </w:tr>
      <w:tr>
        <w:trPr>
          <w:cantSplit/>
        </w:trPr>
        <w:tc>
          <w:tcPr>
            <w:tcW w:type="dxa" w:w="2304"/>
            <w:tcMar>
              <w:top w:w="70" w:type="dxa"/>
              <w:start w:w="90" w:type="dxa"/>
              <w:bottom w:w="70" w:type="dxa"/>
              <w:end w:w="90" w:type="dxa"/>
            </w:tcMar>
            <w:vAlign w:val="center"/>
          </w:tcPr>
          <w:p>
            <w:r>
              <w:rPr>
                <w:color w:val="16212B"/>
                <w:sz w:val="18"/>
              </w:rPr>
              <w:t>Purpose</w:t>
            </w:r>
          </w:p>
        </w:tc>
        <w:tc>
          <w:tcPr>
            <w:tcW w:type="dxa" w:w="8208"/>
            <w:tcMar>
              <w:top w:w="70" w:type="dxa"/>
              <w:start w:w="90" w:type="dxa"/>
              <w:bottom w:w="70" w:type="dxa"/>
              <w:end w:w="90" w:type="dxa"/>
            </w:tcMar>
            <w:vAlign w:val="center"/>
          </w:tcPr>
          <w:p>
            <w:r>
              <w:rPr>
                <w:color w:val="16212B"/>
                <w:sz w:val="18"/>
              </w:rPr>
              <w:t>Inspect immutable material actions without exposing unnecessary evidence content.</w:t>
            </w:r>
          </w:p>
        </w:tc>
      </w:tr>
      <w:tr>
        <w:trPr>
          <w:cantSplit/>
        </w:trPr>
        <w:tc>
          <w:tcPr>
            <w:tcW w:type="dxa" w:w="2304"/>
            <w:tcMar>
              <w:top w:w="70" w:type="dxa"/>
              <w:start w:w="90" w:type="dxa"/>
              <w:bottom w:w="70" w:type="dxa"/>
              <w:end w:w="90" w:type="dxa"/>
            </w:tcMar>
            <w:vAlign w:val="center"/>
          </w:tcPr>
          <w:p>
            <w:r>
              <w:rPr>
                <w:color w:val="16212B"/>
                <w:sz w:val="18"/>
              </w:rPr>
              <w:t>Wireframe pattern</w:t>
            </w:r>
          </w:p>
        </w:tc>
        <w:tc>
          <w:tcPr>
            <w:tcW w:type="dxa" w:w="8208"/>
            <w:tcMar>
              <w:top w:w="70" w:type="dxa"/>
              <w:start w:w="90" w:type="dxa"/>
              <w:bottom w:w="70" w:type="dxa"/>
              <w:end w:w="90" w:type="dxa"/>
            </w:tcMar>
            <w:vAlign w:val="center"/>
          </w:tcPr>
          <w:p>
            <w:r>
              <w:rPr>
                <w:color w:val="16212B"/>
                <w:sz w:val="18"/>
              </w:rPr>
              <w:t>WF-PAT-01</w:t>
            </w:r>
          </w:p>
        </w:tc>
      </w:tr>
      <w:tr>
        <w:trPr>
          <w:cantSplit/>
        </w:trPr>
        <w:tc>
          <w:tcPr>
            <w:tcW w:type="dxa" w:w="2304"/>
            <w:tcMar>
              <w:top w:w="70" w:type="dxa"/>
              <w:start w:w="90" w:type="dxa"/>
              <w:bottom w:w="70" w:type="dxa"/>
              <w:end w:w="90" w:type="dxa"/>
            </w:tcMar>
            <w:vAlign w:val="center"/>
          </w:tcPr>
          <w:p>
            <w:r>
              <w:rPr>
                <w:color w:val="16212B"/>
                <w:sz w:val="18"/>
              </w:rPr>
              <w:t>Primary composition</w:t>
            </w:r>
          </w:p>
        </w:tc>
        <w:tc>
          <w:tcPr>
            <w:tcW w:type="dxa" w:w="8208"/>
            <w:tcMar>
              <w:top w:w="70" w:type="dxa"/>
              <w:start w:w="90" w:type="dxa"/>
              <w:bottom w:w="70" w:type="dxa"/>
              <w:end w:w="90" w:type="dxa"/>
            </w:tcMar>
            <w:vAlign w:val="center"/>
          </w:tcPr>
          <w:p>
            <w:r>
              <w:rPr>
                <w:color w:val="16212B"/>
                <w:sz w:val="18"/>
              </w:rPr>
              <w:t>Dense filterable event table + optional event detail drawer.</w:t>
            </w:r>
          </w:p>
        </w:tc>
      </w:tr>
      <w:tr>
        <w:trPr>
          <w:cantSplit/>
        </w:trPr>
        <w:tc>
          <w:tcPr>
            <w:tcW w:type="dxa" w:w="2304"/>
            <w:tcMar>
              <w:top w:w="70" w:type="dxa"/>
              <w:start w:w="90" w:type="dxa"/>
              <w:bottom w:w="70" w:type="dxa"/>
              <w:end w:w="90" w:type="dxa"/>
            </w:tcMar>
            <w:vAlign w:val="center"/>
          </w:tcPr>
          <w:p>
            <w:r>
              <w:rPr>
                <w:color w:val="16212B"/>
                <w:sz w:val="18"/>
              </w:rPr>
              <w:t>Primary components</w:t>
            </w:r>
          </w:p>
        </w:tc>
        <w:tc>
          <w:tcPr>
            <w:tcW w:type="dxa" w:w="8208"/>
            <w:tcMar>
              <w:top w:w="70" w:type="dxa"/>
              <w:start w:w="90" w:type="dxa"/>
              <w:bottom w:w="70" w:type="dxa"/>
              <w:end w:w="90" w:type="dxa"/>
            </w:tcMar>
            <w:vAlign w:val="center"/>
          </w:tcPr>
          <w:p>
            <w:r>
              <w:rPr>
                <w:color w:val="16212B"/>
                <w:sz w:val="18"/>
              </w:rPr>
              <w:t>AuditTable; FilterBar; ActorChip; ObjectLink; EventDetailDrawer</w:t>
            </w:r>
          </w:p>
        </w:tc>
      </w:tr>
      <w:tr>
        <w:trPr>
          <w:cantSplit/>
        </w:trPr>
        <w:tc>
          <w:tcPr>
            <w:tcW w:type="dxa" w:w="2304"/>
            <w:tcMar>
              <w:top w:w="70" w:type="dxa"/>
              <w:start w:w="90" w:type="dxa"/>
              <w:bottom w:w="70" w:type="dxa"/>
              <w:end w:w="90" w:type="dxa"/>
            </w:tcMar>
            <w:vAlign w:val="center"/>
          </w:tcPr>
          <w:p>
            <w:r>
              <w:rPr>
                <w:color w:val="16212B"/>
                <w:sz w:val="18"/>
              </w:rPr>
              <w:t>Required states</w:t>
            </w:r>
          </w:p>
        </w:tc>
        <w:tc>
          <w:tcPr>
            <w:tcW w:type="dxa" w:w="8208"/>
            <w:tcMar>
              <w:top w:w="70" w:type="dxa"/>
              <w:start w:w="90" w:type="dxa"/>
              <w:bottom w:w="70" w:type="dxa"/>
              <w:end w:w="90" w:type="dxa"/>
            </w:tcMar>
            <w:vAlign w:val="center"/>
          </w:tcPr>
          <w:p>
            <w:r>
              <w:rPr>
                <w:color w:val="16212B"/>
                <w:sz w:val="18"/>
              </w:rPr>
              <w:t>Loading; no results; filtered; permission-limited</w:t>
            </w:r>
          </w:p>
        </w:tc>
      </w:tr>
      <w:tr>
        <w:trPr>
          <w:cantSplit/>
        </w:trPr>
        <w:tc>
          <w:tcPr>
            <w:tcW w:type="dxa" w:w="2304"/>
            <w:tcMar>
              <w:top w:w="70" w:type="dxa"/>
              <w:start w:w="90" w:type="dxa"/>
              <w:bottom w:w="70" w:type="dxa"/>
              <w:end w:w="90" w:type="dxa"/>
            </w:tcMar>
            <w:vAlign w:val="center"/>
          </w:tcPr>
          <w:p>
            <w:r>
              <w:rPr>
                <w:color w:val="16212B"/>
                <w:sz w:val="18"/>
              </w:rPr>
              <w:t>Responsive rule</w:t>
            </w:r>
          </w:p>
        </w:tc>
        <w:tc>
          <w:tcPr>
            <w:tcW w:type="dxa" w:w="8208"/>
            <w:tcMar>
              <w:top w:w="70" w:type="dxa"/>
              <w:start w:w="90" w:type="dxa"/>
              <w:bottom w:w="70" w:type="dxa"/>
              <w:end w:w="90" w:type="dxa"/>
            </w:tcMar>
            <w:vAlign w:val="center"/>
          </w:tcPr>
          <w:p>
            <w:r>
              <w:rPr>
                <w:color w:val="16212B"/>
                <w:sz w:val="18"/>
              </w:rPr>
              <w:t>Table optimized for desktop; drawer becomes full-screen panel below 1000 px.</w:t>
            </w:r>
          </w:p>
        </w:tc>
      </w:tr>
    </w:tbl>
    <w:p>
      <w:pPr>
        <w:spacing w:after="40"/>
      </w:pPr>
    </w:p>
    <w:p>
      <w:r>
        <w:rPr>
          <w:b/>
          <w:color w:val="285C8E"/>
        </w:rPr>
        <w:t>Engineering acceptance</w:t>
      </w:r>
    </w:p>
    <w:p>
      <w:pPr>
        <w:pStyle w:val="ListBullet"/>
        <w:spacing w:after="40"/>
      </w:pPr>
      <w:r>
        <w:t>Ordinary users cannot edit audit events.</w:t>
      </w:r>
    </w:p>
    <w:p>
      <w:pPr>
        <w:pStyle w:val="ListBullet"/>
        <w:spacing w:after="40"/>
      </w:pPr>
      <w:r>
        <w:t>Routine audit text avoids sensitive evidence payloads.</w:t>
      </w:r>
    </w:p>
    <w:p>
      <w:pPr>
        <w:pStyle w:val="ListBullet"/>
        <w:spacing w:after="40"/>
      </w:pPr>
      <w:r>
        <w:t>Every event shows actor/action/object/time/correlation where available.</w:t>
      </w:r>
    </w:p>
    <w:p>
      <w:pPr>
        <w:pStyle w:val="Heading1"/>
      </w:pPr>
      <w:r>
        <w:t>8. Secondary Screen Family Standards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160"/>
            <w:shd w:fill="17324D"/>
            <w:tcMar>
              <w:top w:w="70" w:type="dxa"/>
              <w:start w:w="90" w:type="dxa"/>
              <w:bottom w:w="70" w:type="dxa"/>
              <w:end w:w="90" w:type="dxa"/>
            </w:tcMar>
            <w:vAlign w:val="center"/>
          </w:tcPr>
          <w:p>
            <w:r>
              <w:rPr>
                <w:b/>
                <w:color w:val="FFFFFF"/>
                <w:sz w:val="16"/>
              </w:rPr>
              <w:t>Family</w:t>
            </w:r>
          </w:p>
        </w:tc>
        <w:tc>
          <w:tcPr>
            <w:tcW w:type="dxa" w:w="3888"/>
            <w:shd w:fill="17324D"/>
            <w:tcMar>
              <w:top w:w="70" w:type="dxa"/>
              <w:start w:w="90" w:type="dxa"/>
              <w:bottom w:w="70" w:type="dxa"/>
              <w:end w:w="90" w:type="dxa"/>
            </w:tcMar>
            <w:vAlign w:val="center"/>
          </w:tcPr>
          <w:p>
            <w:r>
              <w:rPr>
                <w:b/>
                <w:color w:val="FFFFFF"/>
                <w:sz w:val="16"/>
              </w:rPr>
              <w:t>Screens</w:t>
            </w:r>
          </w:p>
        </w:tc>
        <w:tc>
          <w:tcPr>
            <w:tcW w:type="dxa" w:w="5184"/>
            <w:shd w:fill="17324D"/>
            <w:tcMar>
              <w:top w:w="70" w:type="dxa"/>
              <w:start w:w="90" w:type="dxa"/>
              <w:bottom w:w="70" w:type="dxa"/>
              <w:end w:w="90" w:type="dxa"/>
            </w:tcMar>
            <w:vAlign w:val="center"/>
          </w:tcPr>
          <w:p>
            <w:r>
              <w:rPr>
                <w:b/>
                <w:color w:val="FFFFFF"/>
                <w:sz w:val="16"/>
              </w:rPr>
              <w:t>High-fidelity rule</w:t>
            </w:r>
          </w:p>
        </w:tc>
      </w:tr>
      <w:tr>
        <w:trPr>
          <w:cantSplit/>
        </w:trPr>
        <w:tc>
          <w:tcPr>
            <w:tcW w:type="dxa" w:w="2160"/>
            <w:tcMar>
              <w:top w:w="70" w:type="dxa"/>
              <w:start w:w="90" w:type="dxa"/>
              <w:bottom w:w="70" w:type="dxa"/>
              <w:end w:w="90" w:type="dxa"/>
            </w:tcMar>
            <w:vAlign w:val="center"/>
          </w:tcPr>
          <w:p>
            <w:r>
              <w:rPr>
                <w:color w:val="16212B"/>
                <w:sz w:val="16"/>
              </w:rPr>
              <w:t>Create/Edit forms</w:t>
            </w:r>
          </w:p>
        </w:tc>
        <w:tc>
          <w:tcPr>
            <w:tcW w:type="dxa" w:w="3888"/>
            <w:tcMar>
              <w:top w:w="70" w:type="dxa"/>
              <w:start w:w="90" w:type="dxa"/>
              <w:bottom w:w="70" w:type="dxa"/>
              <w:end w:w="90" w:type="dxa"/>
            </w:tcMar>
            <w:vAlign w:val="center"/>
          </w:tcPr>
          <w:p>
            <w:r>
              <w:rPr>
                <w:color w:val="16212B"/>
                <w:sz w:val="16"/>
              </w:rPr>
              <w:t>SCR-CASE-002, SCR-CASE-004, SCR-EVD-002, SCR-EVD-004, SCR-ENT-002, SCR-REL-001, SCR-TIM-002</w:t>
            </w:r>
          </w:p>
        </w:tc>
        <w:tc>
          <w:tcPr>
            <w:tcW w:type="dxa" w:w="5184"/>
            <w:tcMar>
              <w:top w:w="70" w:type="dxa"/>
              <w:start w:w="90" w:type="dxa"/>
              <w:bottom w:w="70" w:type="dxa"/>
              <w:end w:w="90" w:type="dxa"/>
            </w:tcMar>
            <w:vAlign w:val="center"/>
          </w:tcPr>
          <w:p>
            <w:r>
              <w:rPr>
                <w:color w:val="16212B"/>
                <w:sz w:val="16"/>
              </w:rPr>
              <w:t>Use 640–820 px reading column for normal forms; two-column only for strongly related fields. Required/legal/security fields group visibly.</w:t>
            </w:r>
          </w:p>
        </w:tc>
      </w:tr>
      <w:tr>
        <w:trPr>
          <w:cantSplit/>
        </w:trPr>
        <w:tc>
          <w:tcPr>
            <w:tcW w:type="dxa" w:w="2160"/>
            <w:tcMar>
              <w:top w:w="70" w:type="dxa"/>
              <w:start w:w="90" w:type="dxa"/>
              <w:bottom w:w="70" w:type="dxa"/>
              <w:end w:w="90" w:type="dxa"/>
            </w:tcMar>
            <w:vAlign w:val="center"/>
          </w:tcPr>
          <w:p>
            <w:r>
              <w:rPr>
                <w:color w:val="16212B"/>
                <w:sz w:val="16"/>
              </w:rPr>
              <w:t>Registers</w:t>
            </w:r>
          </w:p>
        </w:tc>
        <w:tc>
          <w:tcPr>
            <w:tcW w:type="dxa" w:w="3888"/>
            <w:tcMar>
              <w:top w:w="70" w:type="dxa"/>
              <w:start w:w="90" w:type="dxa"/>
              <w:bottom w:w="70" w:type="dxa"/>
              <w:end w:w="90" w:type="dxa"/>
            </w:tcMar>
            <w:vAlign w:val="center"/>
          </w:tcPr>
          <w:p>
            <w:r>
              <w:rPr>
                <w:color w:val="16212B"/>
                <w:sz w:val="16"/>
              </w:rPr>
              <w:t>SCR-SRC-001, SCR-EVD-001, SCR-ENT-001, SCR-AST-001, SCR-PRD-001, SCR-REV-001, SCR-DIS-003</w:t>
            </w:r>
          </w:p>
        </w:tc>
        <w:tc>
          <w:tcPr>
            <w:tcW w:type="dxa" w:w="5184"/>
            <w:tcMar>
              <w:top w:w="70" w:type="dxa"/>
              <w:start w:w="90" w:type="dxa"/>
              <w:bottom w:w="70" w:type="dxa"/>
              <w:end w:w="90" w:type="dxa"/>
            </w:tcMar>
            <w:vAlign w:val="center"/>
          </w:tcPr>
          <w:p>
            <w:r>
              <w:rPr>
                <w:color w:val="16212B"/>
                <w:sz w:val="16"/>
              </w:rPr>
              <w:t>Filter/search first; dense grid second; primary action top-right; no decorative card grids for large datasets.</w:t>
            </w:r>
          </w:p>
        </w:tc>
      </w:tr>
      <w:tr>
        <w:trPr>
          <w:cantSplit/>
        </w:trPr>
        <w:tc>
          <w:tcPr>
            <w:tcW w:type="dxa" w:w="2160"/>
            <w:tcMar>
              <w:top w:w="70" w:type="dxa"/>
              <w:start w:w="90" w:type="dxa"/>
              <w:bottom w:w="70" w:type="dxa"/>
              <w:end w:w="90" w:type="dxa"/>
            </w:tcMar>
            <w:vAlign w:val="center"/>
          </w:tcPr>
          <w:p>
            <w:r>
              <w:rPr>
                <w:color w:val="16212B"/>
                <w:sz w:val="16"/>
              </w:rPr>
              <w:t>Object detail</w:t>
            </w:r>
          </w:p>
        </w:tc>
        <w:tc>
          <w:tcPr>
            <w:tcW w:type="dxa" w:w="3888"/>
            <w:tcMar>
              <w:top w:w="70" w:type="dxa"/>
              <w:start w:w="90" w:type="dxa"/>
              <w:bottom w:w="70" w:type="dxa"/>
              <w:end w:w="90" w:type="dxa"/>
            </w:tcMar>
            <w:vAlign w:val="center"/>
          </w:tcPr>
          <w:p>
            <w:r>
              <w:rPr>
                <w:color w:val="16212B"/>
                <w:sz w:val="16"/>
              </w:rPr>
              <w:t>SCR-SRC-002, SCR-EVD-005, SCR-AST-002, SCR-ASM-002, SCR-PRD-004</w:t>
            </w:r>
          </w:p>
        </w:tc>
        <w:tc>
          <w:tcPr>
            <w:tcW w:type="dxa" w:w="5184"/>
            <w:tcMar>
              <w:top w:w="70" w:type="dxa"/>
              <w:start w:w="90" w:type="dxa"/>
              <w:bottom w:w="70" w:type="dxa"/>
              <w:end w:w="90" w:type="dxa"/>
            </w:tcMar>
            <w:vAlign w:val="center"/>
          </w:tcPr>
          <w:p>
            <w:r>
              <w:rPr>
                <w:color w:val="16212B"/>
                <w:sz w:val="16"/>
              </w:rPr>
              <w:t>Canonical identity header + tabs/sections + provenance/history; readonly state visually distinct but not greyed into illegibility.</w:t>
            </w:r>
          </w:p>
        </w:tc>
      </w:tr>
      <w:tr>
        <w:trPr>
          <w:cantSplit/>
        </w:trPr>
        <w:tc>
          <w:tcPr>
            <w:tcW w:type="dxa" w:w="2160"/>
            <w:tcMar>
              <w:top w:w="70" w:type="dxa"/>
              <w:start w:w="90" w:type="dxa"/>
              <w:bottom w:w="70" w:type="dxa"/>
              <w:end w:w="90" w:type="dxa"/>
            </w:tcMar>
            <w:vAlign w:val="center"/>
          </w:tcPr>
          <w:p>
            <w:r>
              <w:rPr>
                <w:color w:val="16212B"/>
                <w:sz w:val="16"/>
              </w:rPr>
              <w:t>Governance/admin</w:t>
            </w:r>
          </w:p>
        </w:tc>
        <w:tc>
          <w:tcPr>
            <w:tcW w:type="dxa" w:w="3888"/>
            <w:tcMar>
              <w:top w:w="70" w:type="dxa"/>
              <w:start w:w="90" w:type="dxa"/>
              <w:bottom w:w="70" w:type="dxa"/>
              <w:end w:w="90" w:type="dxa"/>
            </w:tcMar>
            <w:vAlign w:val="center"/>
          </w:tcPr>
          <w:p>
            <w:r>
              <w:rPr>
                <w:color w:val="16212B"/>
                <w:sz w:val="16"/>
              </w:rPr>
              <w:t>SCR-ADM-001..004</w:t>
            </w:r>
          </w:p>
        </w:tc>
        <w:tc>
          <w:tcPr>
            <w:tcW w:type="dxa" w:w="5184"/>
            <w:tcMar>
              <w:top w:w="70" w:type="dxa"/>
              <w:start w:w="90" w:type="dxa"/>
              <w:bottom w:w="70" w:type="dxa"/>
              <w:end w:w="90" w:type="dxa"/>
            </w:tcMar>
            <w:vAlign w:val="center"/>
          </w:tcPr>
          <w:p>
            <w:r>
              <w:rPr>
                <w:color w:val="16212B"/>
                <w:sz w:val="16"/>
              </w:rPr>
              <w:t>Conservative admin surfaces; destructive actions separated; policy/version metadata always visible.</w:t>
            </w:r>
          </w:p>
        </w:tc>
      </w:tr>
      <w:tr>
        <w:trPr>
          <w:cantSplit/>
        </w:trPr>
        <w:tc>
          <w:tcPr>
            <w:tcW w:type="dxa" w:w="2160"/>
            <w:tcMar>
              <w:top w:w="70" w:type="dxa"/>
              <w:start w:w="90" w:type="dxa"/>
              <w:bottom w:w="70" w:type="dxa"/>
              <w:end w:w="90" w:type="dxa"/>
            </w:tcMar>
            <w:vAlign w:val="center"/>
          </w:tcPr>
          <w:p>
            <w:r>
              <w:rPr>
                <w:color w:val="16212B"/>
                <w:sz w:val="16"/>
              </w:rPr>
              <w:t>System states</w:t>
            </w:r>
          </w:p>
        </w:tc>
        <w:tc>
          <w:tcPr>
            <w:tcW w:type="dxa" w:w="3888"/>
            <w:tcMar>
              <w:top w:w="70" w:type="dxa"/>
              <w:start w:w="90" w:type="dxa"/>
              <w:bottom w:w="70" w:type="dxa"/>
              <w:end w:w="90" w:type="dxa"/>
            </w:tcMar>
            <w:vAlign w:val="center"/>
          </w:tcPr>
          <w:p>
            <w:r>
              <w:rPr>
                <w:color w:val="16212B"/>
                <w:sz w:val="16"/>
              </w:rPr>
              <w:t>SCR-SYS-001..003</w:t>
            </w:r>
          </w:p>
        </w:tc>
        <w:tc>
          <w:tcPr>
            <w:tcW w:type="dxa" w:w="5184"/>
            <w:tcMar>
              <w:top w:w="70" w:type="dxa"/>
              <w:start w:w="90" w:type="dxa"/>
              <w:bottom w:w="70" w:type="dxa"/>
              <w:end w:w="90" w:type="dxa"/>
            </w:tcMar>
            <w:vAlign w:val="center"/>
          </w:tcPr>
          <w:p>
            <w:r>
              <w:rPr>
                <w:color w:val="16212B"/>
                <w:sz w:val="16"/>
              </w:rPr>
              <w:t>Centered or contextual state panel with plain-language reason, object/context ID when safe, and next action. Never reveal restricted-object existence when policy forbids it.</w:t>
            </w:r>
          </w:p>
        </w:tc>
      </w:tr>
    </w:tbl>
    <w:p>
      <w:pPr>
        <w:spacing w:after="40"/>
      </w:pPr>
    </w:p>
    <w:p>
      <w:pPr>
        <w:pStyle w:val="Heading1"/>
      </w:pPr>
      <w:r>
        <w:t>9. Responsive and Viewport Behaviour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7324D"/>
            <w:tcMar>
              <w:top w:w="70" w:type="dxa"/>
              <w:start w:w="90" w:type="dxa"/>
              <w:bottom w:w="70" w:type="dxa"/>
              <w:end w:w="90" w:type="dxa"/>
            </w:tcMar>
            <w:vAlign w:val="center"/>
          </w:tcPr>
          <w:p>
            <w:r>
              <w:rPr>
                <w:b/>
                <w:color w:val="FFFFFF"/>
                <w:sz w:val="18"/>
              </w:rPr>
              <w:t>Range</w:t>
            </w:r>
          </w:p>
        </w:tc>
        <w:tc>
          <w:tcPr>
            <w:tcW w:type="dxa" w:w="7920"/>
            <w:shd w:fill="17324D"/>
            <w:tcMar>
              <w:top w:w="70" w:type="dxa"/>
              <w:start w:w="90" w:type="dxa"/>
              <w:bottom w:w="70" w:type="dxa"/>
              <w:end w:w="90" w:type="dxa"/>
            </w:tcMar>
            <w:vAlign w:val="center"/>
          </w:tcPr>
          <w:p>
            <w:r>
              <w:rPr>
                <w:b/>
                <w:color w:val="FFFFFF"/>
                <w:sz w:val="18"/>
              </w:rPr>
              <w:t>Expectation</w:t>
            </w:r>
          </w:p>
        </w:tc>
      </w:tr>
      <w:tr>
        <w:trPr>
          <w:cantSplit/>
        </w:trPr>
        <w:tc>
          <w:tcPr>
            <w:tcW w:type="dxa" w:w="2592"/>
            <w:tcMar>
              <w:top w:w="70" w:type="dxa"/>
              <w:start w:w="90" w:type="dxa"/>
              <w:bottom w:w="70" w:type="dxa"/>
              <w:end w:w="90" w:type="dxa"/>
            </w:tcMar>
            <w:vAlign w:val="center"/>
          </w:tcPr>
          <w:p>
            <w:r>
              <w:rPr>
                <w:color w:val="16212B"/>
                <w:sz w:val="18"/>
              </w:rPr>
              <w:t>≥1440 px</w:t>
            </w:r>
          </w:p>
        </w:tc>
        <w:tc>
          <w:tcPr>
            <w:tcW w:type="dxa" w:w="7920"/>
            <w:tcMar>
              <w:top w:w="70" w:type="dxa"/>
              <w:start w:w="90" w:type="dxa"/>
              <w:bottom w:w="70" w:type="dxa"/>
              <w:end w:w="90" w:type="dxa"/>
            </w:tcMar>
            <w:vAlign w:val="center"/>
          </w:tcPr>
          <w:p>
            <w:r>
              <w:rPr>
                <w:color w:val="16212B"/>
                <w:sz w:val="18"/>
              </w:rPr>
              <w:t>Full reference composition; inspector rails persistent where useful.</w:t>
            </w:r>
          </w:p>
        </w:tc>
      </w:tr>
      <w:tr>
        <w:trPr>
          <w:cantSplit/>
        </w:trPr>
        <w:tc>
          <w:tcPr>
            <w:tcW w:type="dxa" w:w="2592"/>
            <w:tcMar>
              <w:top w:w="70" w:type="dxa"/>
              <w:start w:w="90" w:type="dxa"/>
              <w:bottom w:w="70" w:type="dxa"/>
              <w:end w:w="90" w:type="dxa"/>
            </w:tcMar>
            <w:vAlign w:val="center"/>
          </w:tcPr>
          <w:p>
            <w:r>
              <w:rPr>
                <w:color w:val="16212B"/>
                <w:sz w:val="18"/>
              </w:rPr>
              <w:t>1280–1439 px</w:t>
            </w:r>
          </w:p>
        </w:tc>
        <w:tc>
          <w:tcPr>
            <w:tcW w:type="dxa" w:w="7920"/>
            <w:tcMar>
              <w:top w:w="70" w:type="dxa"/>
              <w:start w:w="90" w:type="dxa"/>
              <w:bottom w:w="70" w:type="dxa"/>
              <w:end w:w="90" w:type="dxa"/>
            </w:tcMar>
            <w:vAlign w:val="center"/>
          </w:tcPr>
          <w:p>
            <w:r>
              <w:rPr>
                <w:color w:val="16212B"/>
                <w:sz w:val="18"/>
              </w:rPr>
              <w:t>Full desktop; some metadata columns may collapse; no loss of primary task controls.</w:t>
            </w:r>
          </w:p>
        </w:tc>
      </w:tr>
      <w:tr>
        <w:trPr>
          <w:cantSplit/>
        </w:trPr>
        <w:tc>
          <w:tcPr>
            <w:tcW w:type="dxa" w:w="2592"/>
            <w:tcMar>
              <w:top w:w="70" w:type="dxa"/>
              <w:start w:w="90" w:type="dxa"/>
              <w:bottom w:w="70" w:type="dxa"/>
              <w:end w:w="90" w:type="dxa"/>
            </w:tcMar>
            <w:vAlign w:val="center"/>
          </w:tcPr>
          <w:p>
            <w:r>
              <w:rPr>
                <w:color w:val="16212B"/>
                <w:sz w:val="18"/>
              </w:rPr>
              <w:t>1100–1279 px</w:t>
            </w:r>
          </w:p>
        </w:tc>
        <w:tc>
          <w:tcPr>
            <w:tcW w:type="dxa" w:w="7920"/>
            <w:tcMar>
              <w:top w:w="70" w:type="dxa"/>
              <w:start w:w="90" w:type="dxa"/>
              <w:bottom w:w="70" w:type="dxa"/>
              <w:end w:w="90" w:type="dxa"/>
            </w:tcMar>
            <w:vAlign w:val="center"/>
          </w:tcPr>
          <w:p>
            <w:r>
              <w:rPr>
                <w:color w:val="16212B"/>
                <w:sz w:val="18"/>
              </w:rPr>
              <w:t>Inspector rails SHOULD become collapsible/drawers; analytical canvas retains priority.</w:t>
            </w:r>
          </w:p>
        </w:tc>
      </w:tr>
      <w:tr>
        <w:trPr>
          <w:cantSplit/>
        </w:trPr>
        <w:tc>
          <w:tcPr>
            <w:tcW w:type="dxa" w:w="2592"/>
            <w:tcMar>
              <w:top w:w="70" w:type="dxa"/>
              <w:start w:w="90" w:type="dxa"/>
              <w:bottom w:w="70" w:type="dxa"/>
              <w:end w:w="90" w:type="dxa"/>
            </w:tcMar>
            <w:vAlign w:val="center"/>
          </w:tcPr>
          <w:p>
            <w:r>
              <w:rPr>
                <w:color w:val="16212B"/>
                <w:sz w:val="18"/>
              </w:rPr>
              <w:t>900–1099 px</w:t>
            </w:r>
          </w:p>
        </w:tc>
        <w:tc>
          <w:tcPr>
            <w:tcW w:type="dxa" w:w="7920"/>
            <w:tcMar>
              <w:top w:w="70" w:type="dxa"/>
              <w:start w:w="90" w:type="dxa"/>
              <w:bottom w:w="70" w:type="dxa"/>
              <w:end w:w="90" w:type="dxa"/>
            </w:tcMar>
            <w:vAlign w:val="center"/>
          </w:tcPr>
          <w:p>
            <w:r>
              <w:rPr>
                <w:color w:val="16212B"/>
                <w:sz w:val="18"/>
              </w:rPr>
              <w:t>Tablet/compact desktop: registers/forms supported; complex graph/value-flow editing reduced but not semantically altered.</w:t>
            </w:r>
          </w:p>
        </w:tc>
      </w:tr>
      <w:tr>
        <w:trPr>
          <w:cantSplit/>
        </w:trPr>
        <w:tc>
          <w:tcPr>
            <w:tcW w:type="dxa" w:w="2592"/>
            <w:tcMar>
              <w:top w:w="70" w:type="dxa"/>
              <w:start w:w="90" w:type="dxa"/>
              <w:bottom w:w="70" w:type="dxa"/>
              <w:end w:w="90" w:type="dxa"/>
            </w:tcMar>
            <w:vAlign w:val="center"/>
          </w:tcPr>
          <w:p>
            <w:r>
              <w:rPr>
                <w:color w:val="16212B"/>
                <w:sz w:val="18"/>
              </w:rPr>
              <w:t>&lt;900 px</w:t>
            </w:r>
          </w:p>
        </w:tc>
        <w:tc>
          <w:tcPr>
            <w:tcW w:type="dxa" w:w="7920"/>
            <w:tcMar>
              <w:top w:w="70" w:type="dxa"/>
              <w:start w:w="90" w:type="dxa"/>
              <w:bottom w:w="70" w:type="dxa"/>
              <w:end w:w="90" w:type="dxa"/>
            </w:tcMar>
            <w:vAlign w:val="center"/>
          </w:tcPr>
          <w:p>
            <w:r>
              <w:rPr>
                <w:color w:val="16212B"/>
                <w:sz w:val="18"/>
              </w:rPr>
              <w:t>Not a primary MVP authoring target. Read/review MAY be supported; system SHALL not pretend complex graph/flow authoring is equivalent if usability is inadequate.</w:t>
            </w:r>
          </w:p>
        </w:tc>
      </w:tr>
    </w:tbl>
    <w:p>
      <w:pPr>
        <w:spacing w:after="40"/>
      </w:pPr>
    </w:p>
    <w:p>
      <w:pPr>
        <w:pStyle w:val="Heading1"/>
      </w:pPr>
      <w:r>
        <w:t>10. High-Fidelity State Treatment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04"/>
            <w:shd w:fill="17324D"/>
            <w:tcMar>
              <w:top w:w="70" w:type="dxa"/>
              <w:start w:w="90" w:type="dxa"/>
              <w:bottom w:w="70" w:type="dxa"/>
              <w:end w:w="90" w:type="dxa"/>
            </w:tcMar>
            <w:vAlign w:val="center"/>
          </w:tcPr>
          <w:p>
            <w:r>
              <w:rPr>
                <w:b/>
                <w:color w:val="FFFFFF"/>
                <w:sz w:val="17"/>
              </w:rPr>
              <w:t>State</w:t>
            </w:r>
          </w:p>
        </w:tc>
        <w:tc>
          <w:tcPr>
            <w:tcW w:type="dxa" w:w="3744"/>
            <w:shd w:fill="17324D"/>
            <w:tcMar>
              <w:top w:w="70" w:type="dxa"/>
              <w:start w:w="90" w:type="dxa"/>
              <w:bottom w:w="70" w:type="dxa"/>
              <w:end w:w="90" w:type="dxa"/>
            </w:tcMar>
            <w:vAlign w:val="center"/>
          </w:tcPr>
          <w:p>
            <w:r>
              <w:rPr>
                <w:b/>
                <w:color w:val="FFFFFF"/>
                <w:sz w:val="17"/>
              </w:rPr>
              <w:t>Visual treatment</w:t>
            </w:r>
          </w:p>
        </w:tc>
        <w:tc>
          <w:tcPr>
            <w:tcW w:type="dxa" w:w="5184"/>
            <w:shd w:fill="17324D"/>
            <w:tcMar>
              <w:top w:w="70" w:type="dxa"/>
              <w:start w:w="90" w:type="dxa"/>
              <w:bottom w:w="70" w:type="dxa"/>
              <w:end w:w="90" w:type="dxa"/>
            </w:tcMar>
            <w:vAlign w:val="center"/>
          </w:tcPr>
          <w:p>
            <w:r>
              <w:rPr>
                <w:b/>
                <w:color w:val="FFFFFF"/>
                <w:sz w:val="17"/>
              </w:rPr>
              <w:t>Rule</w:t>
            </w:r>
          </w:p>
        </w:tc>
      </w:tr>
      <w:tr>
        <w:trPr>
          <w:cantSplit/>
        </w:trPr>
        <w:tc>
          <w:tcPr>
            <w:tcW w:type="dxa" w:w="2304"/>
            <w:tcMar>
              <w:top w:w="70" w:type="dxa"/>
              <w:start w:w="90" w:type="dxa"/>
              <w:bottom w:w="70" w:type="dxa"/>
              <w:end w:w="90" w:type="dxa"/>
            </w:tcMar>
            <w:vAlign w:val="center"/>
          </w:tcPr>
          <w:p>
            <w:r>
              <w:rPr>
                <w:color w:val="16212B"/>
                <w:sz w:val="17"/>
              </w:rPr>
              <w:t>Loading</w:t>
            </w:r>
          </w:p>
        </w:tc>
        <w:tc>
          <w:tcPr>
            <w:tcW w:type="dxa" w:w="3744"/>
            <w:tcMar>
              <w:top w:w="70" w:type="dxa"/>
              <w:start w:w="90" w:type="dxa"/>
              <w:bottom w:w="70" w:type="dxa"/>
              <w:end w:w="90" w:type="dxa"/>
            </w:tcMar>
            <w:vAlign w:val="center"/>
          </w:tcPr>
          <w:p>
            <w:r>
              <w:rPr>
                <w:color w:val="16212B"/>
                <w:sz w:val="17"/>
              </w:rPr>
              <w:t>Skeleton or progress in local region</w:t>
            </w:r>
          </w:p>
        </w:tc>
        <w:tc>
          <w:tcPr>
            <w:tcW w:type="dxa" w:w="5184"/>
            <w:tcMar>
              <w:top w:w="70" w:type="dxa"/>
              <w:start w:w="90" w:type="dxa"/>
              <w:bottom w:w="70" w:type="dxa"/>
              <w:end w:w="90" w:type="dxa"/>
            </w:tcMar>
            <w:vAlign w:val="center"/>
          </w:tcPr>
          <w:p>
            <w:r>
              <w:rPr>
                <w:color w:val="16212B"/>
                <w:sz w:val="17"/>
              </w:rPr>
              <w:t>Avoid page-blocking spinners where partial content can render safely.</w:t>
            </w:r>
          </w:p>
        </w:tc>
      </w:tr>
      <w:tr>
        <w:trPr>
          <w:cantSplit/>
        </w:trPr>
        <w:tc>
          <w:tcPr>
            <w:tcW w:type="dxa" w:w="2304"/>
            <w:tcMar>
              <w:top w:w="70" w:type="dxa"/>
              <w:start w:w="90" w:type="dxa"/>
              <w:bottom w:w="70" w:type="dxa"/>
              <w:end w:w="90" w:type="dxa"/>
            </w:tcMar>
            <w:vAlign w:val="center"/>
          </w:tcPr>
          <w:p>
            <w:r>
              <w:rPr>
                <w:color w:val="16212B"/>
                <w:sz w:val="17"/>
              </w:rPr>
              <w:t>Empty</w:t>
            </w:r>
          </w:p>
        </w:tc>
        <w:tc>
          <w:tcPr>
            <w:tcW w:type="dxa" w:w="3744"/>
            <w:tcMar>
              <w:top w:w="70" w:type="dxa"/>
              <w:start w:w="90" w:type="dxa"/>
              <w:bottom w:w="70" w:type="dxa"/>
              <w:end w:w="90" w:type="dxa"/>
            </w:tcMar>
            <w:vAlign w:val="center"/>
          </w:tcPr>
          <w:p>
            <w:r>
              <w:rPr>
                <w:color w:val="16212B"/>
                <w:sz w:val="17"/>
              </w:rPr>
              <w:t>Neutral empty panel + primary next action</w:t>
            </w:r>
          </w:p>
        </w:tc>
        <w:tc>
          <w:tcPr>
            <w:tcW w:type="dxa" w:w="5184"/>
            <w:tcMar>
              <w:top w:w="70" w:type="dxa"/>
              <w:start w:w="90" w:type="dxa"/>
              <w:bottom w:w="70" w:type="dxa"/>
              <w:end w:w="90" w:type="dxa"/>
            </w:tcMar>
            <w:vAlign w:val="center"/>
          </w:tcPr>
          <w:p>
            <w:r>
              <w:rPr>
                <w:color w:val="16212B"/>
                <w:sz w:val="17"/>
              </w:rPr>
              <w:t>Empty is not error.</w:t>
            </w:r>
          </w:p>
        </w:tc>
      </w:tr>
      <w:tr>
        <w:trPr>
          <w:cantSplit/>
        </w:trPr>
        <w:tc>
          <w:tcPr>
            <w:tcW w:type="dxa" w:w="2304"/>
            <w:tcMar>
              <w:top w:w="70" w:type="dxa"/>
              <w:start w:w="90" w:type="dxa"/>
              <w:bottom w:w="70" w:type="dxa"/>
              <w:end w:w="90" w:type="dxa"/>
            </w:tcMar>
            <w:vAlign w:val="center"/>
          </w:tcPr>
          <w:p>
            <w:r>
              <w:rPr>
                <w:color w:val="16212B"/>
                <w:sz w:val="17"/>
              </w:rPr>
              <w:t>No results</w:t>
            </w:r>
          </w:p>
        </w:tc>
        <w:tc>
          <w:tcPr>
            <w:tcW w:type="dxa" w:w="3744"/>
            <w:tcMar>
              <w:top w:w="70" w:type="dxa"/>
              <w:start w:w="90" w:type="dxa"/>
              <w:bottom w:w="70" w:type="dxa"/>
              <w:end w:w="90" w:type="dxa"/>
            </w:tcMar>
            <w:vAlign w:val="center"/>
          </w:tcPr>
          <w:p>
            <w:r>
              <w:rPr>
                <w:color w:val="16212B"/>
                <w:sz w:val="17"/>
              </w:rPr>
              <w:t>Query/filter summary + clear reset</w:t>
            </w:r>
          </w:p>
        </w:tc>
        <w:tc>
          <w:tcPr>
            <w:tcW w:type="dxa" w:w="5184"/>
            <w:tcMar>
              <w:top w:w="70" w:type="dxa"/>
              <w:start w:w="90" w:type="dxa"/>
              <w:bottom w:w="70" w:type="dxa"/>
              <w:end w:w="90" w:type="dxa"/>
            </w:tcMar>
            <w:vAlign w:val="center"/>
          </w:tcPr>
          <w:p>
            <w:r>
              <w:rPr>
                <w:color w:val="16212B"/>
                <w:sz w:val="17"/>
              </w:rPr>
              <w:t>Do not imply database is empty.</w:t>
            </w:r>
          </w:p>
        </w:tc>
      </w:tr>
      <w:tr>
        <w:trPr>
          <w:cantSplit/>
        </w:trPr>
        <w:tc>
          <w:tcPr>
            <w:tcW w:type="dxa" w:w="2304"/>
            <w:tcMar>
              <w:top w:w="70" w:type="dxa"/>
              <w:start w:w="90" w:type="dxa"/>
              <w:bottom w:w="70" w:type="dxa"/>
              <w:end w:w="90" w:type="dxa"/>
            </w:tcMar>
            <w:vAlign w:val="center"/>
          </w:tcPr>
          <w:p>
            <w:r>
              <w:rPr>
                <w:color w:val="16212B"/>
                <w:sz w:val="17"/>
              </w:rPr>
              <w:t>Permission denied</w:t>
            </w:r>
          </w:p>
        </w:tc>
        <w:tc>
          <w:tcPr>
            <w:tcW w:type="dxa" w:w="3744"/>
            <w:tcMar>
              <w:top w:w="70" w:type="dxa"/>
              <w:start w:w="90" w:type="dxa"/>
              <w:bottom w:w="70" w:type="dxa"/>
              <w:end w:w="90" w:type="dxa"/>
            </w:tcMar>
            <w:vAlign w:val="center"/>
          </w:tcPr>
          <w:p>
            <w:r>
              <w:rPr>
                <w:color w:val="16212B"/>
                <w:sz w:val="17"/>
              </w:rPr>
              <w:t>Neutral security state + request/access path if supported</w:t>
            </w:r>
          </w:p>
        </w:tc>
        <w:tc>
          <w:tcPr>
            <w:tcW w:type="dxa" w:w="5184"/>
            <w:tcMar>
              <w:top w:w="70" w:type="dxa"/>
              <w:start w:w="90" w:type="dxa"/>
              <w:bottom w:w="70" w:type="dxa"/>
              <w:end w:w="90" w:type="dxa"/>
            </w:tcMar>
            <w:vAlign w:val="center"/>
          </w:tcPr>
          <w:p>
            <w:r>
              <w:rPr>
                <w:color w:val="16212B"/>
                <w:sz w:val="17"/>
              </w:rPr>
              <w:t>Do not leak hidden object metadata.</w:t>
            </w:r>
          </w:p>
        </w:tc>
      </w:tr>
      <w:tr>
        <w:trPr>
          <w:cantSplit/>
        </w:trPr>
        <w:tc>
          <w:tcPr>
            <w:tcW w:type="dxa" w:w="2304"/>
            <w:tcMar>
              <w:top w:w="70" w:type="dxa"/>
              <w:start w:w="90" w:type="dxa"/>
              <w:bottom w:w="70" w:type="dxa"/>
              <w:end w:w="90" w:type="dxa"/>
            </w:tcMar>
            <w:vAlign w:val="center"/>
          </w:tcPr>
          <w:p>
            <w:r>
              <w:rPr>
                <w:color w:val="16212B"/>
                <w:sz w:val="17"/>
              </w:rPr>
              <w:t>Integrity failure</w:t>
            </w:r>
          </w:p>
        </w:tc>
        <w:tc>
          <w:tcPr>
            <w:tcW w:type="dxa" w:w="3744"/>
            <w:tcMar>
              <w:top w:w="70" w:type="dxa"/>
              <w:start w:w="90" w:type="dxa"/>
              <w:bottom w:w="70" w:type="dxa"/>
              <w:end w:w="90" w:type="dxa"/>
            </w:tcMar>
            <w:vAlign w:val="center"/>
          </w:tcPr>
          <w:p>
            <w:r>
              <w:rPr>
                <w:color w:val="16212B"/>
                <w:sz w:val="17"/>
              </w:rPr>
              <w:t>Error/destructive surface with checksum/object context</w:t>
            </w:r>
          </w:p>
        </w:tc>
        <w:tc>
          <w:tcPr>
            <w:tcW w:type="dxa" w:w="5184"/>
            <w:tcMar>
              <w:top w:w="70" w:type="dxa"/>
              <w:start w:w="90" w:type="dxa"/>
              <w:bottom w:w="70" w:type="dxa"/>
              <w:end w:w="90" w:type="dxa"/>
            </w:tcMar>
            <w:vAlign w:val="center"/>
          </w:tcPr>
          <w:p>
            <w:r>
              <w:rPr>
                <w:color w:val="16212B"/>
                <w:sz w:val="17"/>
              </w:rPr>
              <w:t>Must be visually stronger than ordinary validation warning.</w:t>
            </w:r>
          </w:p>
        </w:tc>
      </w:tr>
      <w:tr>
        <w:trPr>
          <w:cantSplit/>
        </w:trPr>
        <w:tc>
          <w:tcPr>
            <w:tcW w:type="dxa" w:w="2304"/>
            <w:tcMar>
              <w:top w:w="70" w:type="dxa"/>
              <w:start w:w="90" w:type="dxa"/>
              <w:bottom w:w="70" w:type="dxa"/>
              <w:end w:w="90" w:type="dxa"/>
            </w:tcMar>
            <w:vAlign w:val="center"/>
          </w:tcPr>
          <w:p>
            <w:r>
              <w:rPr>
                <w:color w:val="16212B"/>
                <w:sz w:val="17"/>
              </w:rPr>
              <w:t>Stale version</w:t>
            </w:r>
          </w:p>
        </w:tc>
        <w:tc>
          <w:tcPr>
            <w:tcW w:type="dxa" w:w="3744"/>
            <w:tcMar>
              <w:top w:w="70" w:type="dxa"/>
              <w:start w:w="90" w:type="dxa"/>
              <w:bottom w:w="70" w:type="dxa"/>
              <w:end w:w="90" w:type="dxa"/>
            </w:tcMar>
            <w:vAlign w:val="center"/>
          </w:tcPr>
          <w:p>
            <w:r>
              <w:rPr>
                <w:color w:val="16212B"/>
                <w:sz w:val="17"/>
              </w:rPr>
              <w:t>Warning surface + compare/reload/resolve actions</w:t>
            </w:r>
          </w:p>
        </w:tc>
        <w:tc>
          <w:tcPr>
            <w:tcW w:type="dxa" w:w="5184"/>
            <w:tcMar>
              <w:top w:w="70" w:type="dxa"/>
              <w:start w:w="90" w:type="dxa"/>
              <w:bottom w:w="70" w:type="dxa"/>
              <w:end w:w="90" w:type="dxa"/>
            </w:tcMar>
            <w:vAlign w:val="center"/>
          </w:tcPr>
          <w:p>
            <w:r>
              <w:rPr>
                <w:color w:val="16212B"/>
                <w:sz w:val="17"/>
              </w:rPr>
              <w:t>Never silently overwrite newer work.</w:t>
            </w:r>
          </w:p>
        </w:tc>
      </w:tr>
      <w:tr>
        <w:trPr>
          <w:cantSplit/>
        </w:trPr>
        <w:tc>
          <w:tcPr>
            <w:tcW w:type="dxa" w:w="2304"/>
            <w:tcMar>
              <w:top w:w="70" w:type="dxa"/>
              <w:start w:w="90" w:type="dxa"/>
              <w:bottom w:w="70" w:type="dxa"/>
              <w:end w:w="90" w:type="dxa"/>
            </w:tcMar>
            <w:vAlign w:val="center"/>
          </w:tcPr>
          <w:p>
            <w:r>
              <w:rPr>
                <w:color w:val="16212B"/>
                <w:sz w:val="17"/>
              </w:rPr>
              <w:t>Readonly approved</w:t>
            </w:r>
          </w:p>
        </w:tc>
        <w:tc>
          <w:tcPr>
            <w:tcW w:type="dxa" w:w="3744"/>
            <w:tcMar>
              <w:top w:w="70" w:type="dxa"/>
              <w:start w:w="90" w:type="dxa"/>
              <w:bottom w:w="70" w:type="dxa"/>
              <w:end w:w="90" w:type="dxa"/>
            </w:tcMar>
            <w:vAlign w:val="center"/>
          </w:tcPr>
          <w:p>
            <w:r>
              <w:rPr>
                <w:color w:val="16212B"/>
                <w:sz w:val="17"/>
              </w:rPr>
              <w:t>Normal legibility + readonly badge/version state</w:t>
            </w:r>
          </w:p>
        </w:tc>
        <w:tc>
          <w:tcPr>
            <w:tcW w:type="dxa" w:w="5184"/>
            <w:tcMar>
              <w:top w:w="70" w:type="dxa"/>
              <w:start w:w="90" w:type="dxa"/>
              <w:bottom w:w="70" w:type="dxa"/>
              <w:end w:w="90" w:type="dxa"/>
            </w:tcMar>
            <w:vAlign w:val="center"/>
          </w:tcPr>
          <w:p>
            <w:r>
              <w:rPr>
                <w:color w:val="16212B"/>
                <w:sz w:val="17"/>
              </w:rPr>
              <w:t>Do not disable all text contrast.</w:t>
            </w:r>
          </w:p>
        </w:tc>
      </w:tr>
      <w:tr>
        <w:trPr>
          <w:cantSplit/>
        </w:trPr>
        <w:tc>
          <w:tcPr>
            <w:tcW w:type="dxa" w:w="2304"/>
            <w:tcMar>
              <w:top w:w="70" w:type="dxa"/>
              <w:start w:w="90" w:type="dxa"/>
              <w:bottom w:w="70" w:type="dxa"/>
              <w:end w:w="90" w:type="dxa"/>
            </w:tcMar>
            <w:vAlign w:val="center"/>
          </w:tcPr>
          <w:p>
            <w:r>
              <w:rPr>
                <w:color w:val="16212B"/>
                <w:sz w:val="17"/>
              </w:rPr>
              <w:t>Superseded</w:t>
            </w:r>
          </w:p>
        </w:tc>
        <w:tc>
          <w:tcPr>
            <w:tcW w:type="dxa" w:w="3744"/>
            <w:tcMar>
              <w:top w:w="70" w:type="dxa"/>
              <w:start w:w="90" w:type="dxa"/>
              <w:bottom w:w="70" w:type="dxa"/>
              <w:end w:w="90" w:type="dxa"/>
            </w:tcMar>
            <w:vAlign w:val="center"/>
          </w:tcPr>
          <w:p>
            <w:r>
              <w:rPr>
                <w:color w:val="16212B"/>
                <w:sz w:val="17"/>
              </w:rPr>
              <w:t>Version banner + current version link</w:t>
            </w:r>
          </w:p>
        </w:tc>
        <w:tc>
          <w:tcPr>
            <w:tcW w:type="dxa" w:w="5184"/>
            <w:tcMar>
              <w:top w:w="70" w:type="dxa"/>
              <w:start w:w="90" w:type="dxa"/>
              <w:bottom w:w="70" w:type="dxa"/>
              <w:end w:w="90" w:type="dxa"/>
            </w:tcMar>
            <w:vAlign w:val="center"/>
          </w:tcPr>
          <w:p>
            <w:r>
              <w:rPr>
                <w:color w:val="16212B"/>
                <w:sz w:val="17"/>
              </w:rPr>
              <w:t>Historical content remains readable/auditable.</w:t>
            </w:r>
          </w:p>
        </w:tc>
      </w:tr>
      <w:tr>
        <w:trPr>
          <w:cantSplit/>
        </w:trPr>
        <w:tc>
          <w:tcPr>
            <w:tcW w:type="dxa" w:w="2304"/>
            <w:tcMar>
              <w:top w:w="70" w:type="dxa"/>
              <w:start w:w="90" w:type="dxa"/>
              <w:bottom w:w="70" w:type="dxa"/>
              <w:end w:w="90" w:type="dxa"/>
            </w:tcMar>
            <w:vAlign w:val="center"/>
          </w:tcPr>
          <w:p>
            <w:r>
              <w:rPr>
                <w:color w:val="16212B"/>
                <w:sz w:val="17"/>
              </w:rPr>
              <w:t>Disputed / unknown</w:t>
            </w:r>
          </w:p>
        </w:tc>
        <w:tc>
          <w:tcPr>
            <w:tcW w:type="dxa" w:w="3744"/>
            <w:tcMar>
              <w:top w:w="70" w:type="dxa"/>
              <w:start w:w="90" w:type="dxa"/>
              <w:bottom w:w="70" w:type="dxa"/>
              <w:end w:w="90" w:type="dxa"/>
            </w:tcMar>
            <w:vAlign w:val="center"/>
          </w:tcPr>
          <w:p>
            <w:r>
              <w:rPr>
                <w:color w:val="16212B"/>
                <w:sz w:val="17"/>
              </w:rPr>
              <w:t>Analytical-state badge + explicit text</w:t>
            </w:r>
          </w:p>
        </w:tc>
        <w:tc>
          <w:tcPr>
            <w:tcW w:type="dxa" w:w="5184"/>
            <w:tcMar>
              <w:top w:w="70" w:type="dxa"/>
              <w:start w:w="90" w:type="dxa"/>
              <w:bottom w:w="70" w:type="dxa"/>
              <w:end w:w="90" w:type="dxa"/>
            </w:tcMar>
            <w:vAlign w:val="center"/>
          </w:tcPr>
          <w:p>
            <w:r>
              <w:rPr>
                <w:color w:val="16212B"/>
                <w:sz w:val="17"/>
              </w:rPr>
              <w:t>Do not map to destructive/error color by default.</w:t>
            </w:r>
          </w:p>
        </w:tc>
      </w:tr>
      <w:tr>
        <w:trPr>
          <w:cantSplit/>
        </w:trPr>
        <w:tc>
          <w:tcPr>
            <w:tcW w:type="dxa" w:w="2304"/>
            <w:tcMar>
              <w:top w:w="70" w:type="dxa"/>
              <w:start w:w="90" w:type="dxa"/>
              <w:bottom w:w="70" w:type="dxa"/>
              <w:end w:w="90" w:type="dxa"/>
            </w:tcMar>
            <w:vAlign w:val="center"/>
          </w:tcPr>
          <w:p>
            <w:r>
              <w:rPr>
                <w:color w:val="16212B"/>
                <w:sz w:val="17"/>
              </w:rPr>
              <w:t>Candidate match</w:t>
            </w:r>
          </w:p>
        </w:tc>
        <w:tc>
          <w:tcPr>
            <w:tcW w:type="dxa" w:w="3744"/>
            <w:tcMar>
              <w:top w:w="70" w:type="dxa"/>
              <w:start w:w="90" w:type="dxa"/>
              <w:bottom w:w="70" w:type="dxa"/>
              <w:end w:w="90" w:type="dxa"/>
            </w:tcMar>
            <w:vAlign w:val="center"/>
          </w:tcPr>
          <w:p>
            <w:r>
              <w:rPr>
                <w:color w:val="16212B"/>
                <w:sz w:val="17"/>
              </w:rPr>
              <w:t>Candidate semantic treatment + evidence comparison</w:t>
            </w:r>
          </w:p>
        </w:tc>
        <w:tc>
          <w:tcPr>
            <w:tcW w:type="dxa" w:w="5184"/>
            <w:tcMar>
              <w:top w:w="70" w:type="dxa"/>
              <w:start w:w="90" w:type="dxa"/>
              <w:bottom w:w="70" w:type="dxa"/>
              <w:end w:w="90" w:type="dxa"/>
            </w:tcMar>
            <w:vAlign w:val="center"/>
          </w:tcPr>
          <w:p>
            <w:r>
              <w:rPr>
                <w:color w:val="16212B"/>
                <w:sz w:val="17"/>
              </w:rPr>
              <w:t>Never style as confirmed identity.</w:t>
            </w:r>
          </w:p>
        </w:tc>
      </w:tr>
    </w:tbl>
    <w:p>
      <w:pPr>
        <w:spacing w:after="40"/>
      </w:pPr>
    </w:p>
    <w:p>
      <w:pPr>
        <w:pStyle w:val="Heading1"/>
      </w:pPr>
      <w:r>
        <w:t>11. Language and Microcopy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17324D"/>
            <w:tcMar>
              <w:top w:w="70" w:type="dxa"/>
              <w:start w:w="90" w:type="dxa"/>
              <w:bottom w:w="70" w:type="dxa"/>
              <w:end w:w="90" w:type="dxa"/>
            </w:tcMar>
            <w:vAlign w:val="center"/>
          </w:tcPr>
          <w:p>
            <w:r>
              <w:rPr>
                <w:b/>
                <w:color w:val="FFFFFF"/>
                <w:sz w:val="18"/>
              </w:rPr>
              <w:t>Avoid</w:t>
            </w:r>
          </w:p>
        </w:tc>
        <w:tc>
          <w:tcPr>
            <w:tcW w:type="dxa" w:w="7344"/>
            <w:shd w:fill="17324D"/>
            <w:tcMar>
              <w:top w:w="70" w:type="dxa"/>
              <w:start w:w="90" w:type="dxa"/>
              <w:bottom w:w="70" w:type="dxa"/>
              <w:end w:w="90" w:type="dxa"/>
            </w:tcMar>
            <w:vAlign w:val="center"/>
          </w:tcPr>
          <w:p>
            <w:r>
              <w:rPr>
                <w:b/>
                <w:color w:val="FFFFFF"/>
                <w:sz w:val="18"/>
              </w:rPr>
              <w:t>Preferred</w:t>
            </w:r>
          </w:p>
        </w:tc>
      </w:tr>
      <w:tr>
        <w:trPr>
          <w:cantSplit/>
        </w:trPr>
        <w:tc>
          <w:tcPr>
            <w:tcW w:type="dxa" w:w="3168"/>
            <w:tcMar>
              <w:top w:w="70" w:type="dxa"/>
              <w:start w:w="90" w:type="dxa"/>
              <w:bottom w:w="70" w:type="dxa"/>
              <w:end w:w="90" w:type="dxa"/>
            </w:tcMar>
            <w:vAlign w:val="center"/>
          </w:tcPr>
          <w:p>
            <w:r>
              <w:rPr>
                <w:color w:val="16212B"/>
                <w:sz w:val="18"/>
              </w:rPr>
              <w:t>“Suspicious person”</w:t>
            </w:r>
          </w:p>
        </w:tc>
        <w:tc>
          <w:tcPr>
            <w:tcW w:type="dxa" w:w="7344"/>
            <w:tcMar>
              <w:top w:w="70" w:type="dxa"/>
              <w:start w:w="90" w:type="dxa"/>
              <w:bottom w:w="70" w:type="dxa"/>
              <w:end w:w="90" w:type="dxa"/>
            </w:tcMar>
            <w:vAlign w:val="center"/>
          </w:tcPr>
          <w:p>
            <w:r>
              <w:rPr>
                <w:color w:val="16212B"/>
                <w:sz w:val="18"/>
              </w:rPr>
              <w:t>“Subject entity” / “Entity under analysis”</w:t>
            </w:r>
          </w:p>
        </w:tc>
      </w:tr>
      <w:tr>
        <w:trPr>
          <w:cantSplit/>
        </w:trPr>
        <w:tc>
          <w:tcPr>
            <w:tcW w:type="dxa" w:w="3168"/>
            <w:tcMar>
              <w:top w:w="70" w:type="dxa"/>
              <w:start w:w="90" w:type="dxa"/>
              <w:bottom w:w="70" w:type="dxa"/>
              <w:end w:w="90" w:type="dxa"/>
            </w:tcMar>
            <w:vAlign w:val="center"/>
          </w:tcPr>
          <w:p>
            <w:r>
              <w:rPr>
                <w:color w:val="16212B"/>
                <w:sz w:val="18"/>
              </w:rPr>
              <w:t>“Money laundering confirmed”</w:t>
            </w:r>
          </w:p>
        </w:tc>
        <w:tc>
          <w:tcPr>
            <w:tcW w:type="dxa" w:w="7344"/>
            <w:tcMar>
              <w:top w:w="70" w:type="dxa"/>
              <w:start w:w="90" w:type="dxa"/>
              <w:bottom w:w="70" w:type="dxa"/>
              <w:end w:w="90" w:type="dxa"/>
            </w:tcMar>
            <w:vAlign w:val="center"/>
          </w:tcPr>
          <w:p>
            <w:r>
              <w:rPr>
                <w:color w:val="16212B"/>
                <w:sz w:val="18"/>
              </w:rPr>
              <w:t>“Assessment is consistent with…” / “Indicators support…” where justified</w:t>
            </w:r>
          </w:p>
        </w:tc>
      </w:tr>
      <w:tr>
        <w:trPr>
          <w:cantSplit/>
        </w:trPr>
        <w:tc>
          <w:tcPr>
            <w:tcW w:type="dxa" w:w="3168"/>
            <w:tcMar>
              <w:top w:w="70" w:type="dxa"/>
              <w:start w:w="90" w:type="dxa"/>
              <w:bottom w:w="70" w:type="dxa"/>
              <w:end w:w="90" w:type="dxa"/>
            </w:tcMar>
            <w:vAlign w:val="center"/>
          </w:tcPr>
          <w:p>
            <w:r>
              <w:rPr>
                <w:color w:val="16212B"/>
                <w:sz w:val="18"/>
              </w:rPr>
              <w:t>“Risk score 87”</w:t>
            </w:r>
          </w:p>
        </w:tc>
        <w:tc>
          <w:tcPr>
            <w:tcW w:type="dxa" w:w="7344"/>
            <w:tcMar>
              <w:top w:w="70" w:type="dxa"/>
              <w:start w:w="90" w:type="dxa"/>
              <w:bottom w:w="70" w:type="dxa"/>
              <w:end w:w="90" w:type="dxa"/>
            </w:tcMar>
            <w:vAlign w:val="center"/>
          </w:tcPr>
          <w:p>
            <w:r>
              <w:rPr>
                <w:color w:val="16212B"/>
                <w:sz w:val="18"/>
              </w:rPr>
              <w:t>Named factors, confidence, typology consistency and rationale</w:t>
            </w:r>
          </w:p>
        </w:tc>
      </w:tr>
      <w:tr>
        <w:trPr>
          <w:cantSplit/>
        </w:trPr>
        <w:tc>
          <w:tcPr>
            <w:tcW w:type="dxa" w:w="3168"/>
            <w:tcMar>
              <w:top w:w="70" w:type="dxa"/>
              <w:start w:w="90" w:type="dxa"/>
              <w:bottom w:w="70" w:type="dxa"/>
              <w:end w:w="90" w:type="dxa"/>
            </w:tcMar>
            <w:vAlign w:val="center"/>
          </w:tcPr>
          <w:p>
            <w:r>
              <w:rPr>
                <w:color w:val="16212B"/>
                <w:sz w:val="18"/>
              </w:rPr>
              <w:t>“Bad match”</w:t>
            </w:r>
          </w:p>
        </w:tc>
        <w:tc>
          <w:tcPr>
            <w:tcW w:type="dxa" w:w="7344"/>
            <w:tcMar>
              <w:top w:w="70" w:type="dxa"/>
              <w:start w:w="90" w:type="dxa"/>
              <w:bottom w:w="70" w:type="dxa"/>
              <w:end w:w="90" w:type="dxa"/>
            </w:tcMar>
            <w:vAlign w:val="center"/>
          </w:tcPr>
          <w:p>
            <w:r>
              <w:rPr>
                <w:color w:val="16212B"/>
                <w:sz w:val="18"/>
              </w:rPr>
              <w:t>“Conflicting attributes”</w:t>
            </w:r>
          </w:p>
        </w:tc>
      </w:tr>
      <w:tr>
        <w:trPr>
          <w:cantSplit/>
        </w:trPr>
        <w:tc>
          <w:tcPr>
            <w:tcW w:type="dxa" w:w="3168"/>
            <w:tcMar>
              <w:top w:w="70" w:type="dxa"/>
              <w:start w:w="90" w:type="dxa"/>
              <w:bottom w:w="70" w:type="dxa"/>
              <w:end w:w="90" w:type="dxa"/>
            </w:tcMar>
            <w:vAlign w:val="center"/>
          </w:tcPr>
          <w:p>
            <w:r>
              <w:rPr>
                <w:color w:val="16212B"/>
                <w:sz w:val="18"/>
              </w:rPr>
              <w:t>“Safe / clean entity”</w:t>
            </w:r>
          </w:p>
        </w:tc>
        <w:tc>
          <w:tcPr>
            <w:tcW w:type="dxa" w:w="7344"/>
            <w:tcMar>
              <w:top w:w="70" w:type="dxa"/>
              <w:start w:w="90" w:type="dxa"/>
              <w:bottom w:w="70" w:type="dxa"/>
              <w:end w:w="90" w:type="dxa"/>
            </w:tcMar>
            <w:vAlign w:val="center"/>
          </w:tcPr>
          <w:p>
            <w:r>
              <w:rPr>
                <w:color w:val="16212B"/>
                <w:sz w:val="18"/>
              </w:rPr>
              <w:t>“No relevant indicator identified in current scope”</w:t>
            </w:r>
          </w:p>
        </w:tc>
      </w:tr>
      <w:tr>
        <w:trPr>
          <w:cantSplit/>
        </w:trPr>
        <w:tc>
          <w:tcPr>
            <w:tcW w:type="dxa" w:w="3168"/>
            <w:tcMar>
              <w:top w:w="70" w:type="dxa"/>
              <w:start w:w="90" w:type="dxa"/>
              <w:bottom w:w="70" w:type="dxa"/>
              <w:end w:w="90" w:type="dxa"/>
            </w:tcMar>
            <w:vAlign w:val="center"/>
          </w:tcPr>
          <w:p>
            <w:r>
              <w:rPr>
                <w:color w:val="16212B"/>
                <w:sz w:val="18"/>
              </w:rPr>
              <w:t>“Unknown = 0”</w:t>
            </w:r>
          </w:p>
        </w:tc>
        <w:tc>
          <w:tcPr>
            <w:tcW w:type="dxa" w:w="7344"/>
            <w:tcMar>
              <w:top w:w="70" w:type="dxa"/>
              <w:start w:w="90" w:type="dxa"/>
              <w:bottom w:w="70" w:type="dxa"/>
              <w:end w:w="90" w:type="dxa"/>
            </w:tcMar>
            <w:vAlign w:val="center"/>
          </w:tcPr>
          <w:p>
            <w:r>
              <w:rPr>
                <w:color w:val="16212B"/>
                <w:sz w:val="18"/>
              </w:rPr>
              <w:t>“Unknown” / range / minimum / maximum / approximate</w:t>
            </w:r>
          </w:p>
        </w:tc>
      </w:tr>
      <w:tr>
        <w:trPr>
          <w:cantSplit/>
        </w:trPr>
        <w:tc>
          <w:tcPr>
            <w:tcW w:type="dxa" w:w="3168"/>
            <w:tcMar>
              <w:top w:w="70" w:type="dxa"/>
              <w:start w:w="90" w:type="dxa"/>
              <w:bottom w:w="70" w:type="dxa"/>
              <w:end w:w="90" w:type="dxa"/>
            </w:tcMar>
            <w:vAlign w:val="center"/>
          </w:tcPr>
          <w:p>
            <w:r>
              <w:rPr>
                <w:color w:val="16212B"/>
                <w:sz w:val="18"/>
              </w:rPr>
              <w:t>“AI found”</w:t>
            </w:r>
          </w:p>
        </w:tc>
        <w:tc>
          <w:tcPr>
            <w:tcW w:type="dxa" w:w="7344"/>
            <w:tcMar>
              <w:top w:w="70" w:type="dxa"/>
              <w:start w:w="90" w:type="dxa"/>
              <w:bottom w:w="70" w:type="dxa"/>
              <w:end w:w="90" w:type="dxa"/>
            </w:tcMar>
            <w:vAlign w:val="center"/>
          </w:tcPr>
          <w:p>
            <w:r>
              <w:rPr>
                <w:color w:val="16212B"/>
                <w:sz w:val="18"/>
              </w:rPr>
              <w:t>“AI-assisted suggestion — review required”</w:t>
            </w:r>
          </w:p>
        </w:tc>
      </w:tr>
    </w:tbl>
    <w:p>
      <w:pPr>
        <w:spacing w:after="40"/>
      </w:pPr>
    </w:p>
    <w:p>
      <w:pPr>
        <w:pStyle w:val="Heading1"/>
      </w:pPr>
      <w:r>
        <w:t>12. Frontend Handoff Contract</w:t>
      </w:r>
    </w:p>
    <w:p>
      <w:pPr>
        <w:pStyle w:val="ListBullet"/>
        <w:spacing w:after="40"/>
      </w:pPr>
      <w:r>
        <w:t>Every production screen SHALL retain its canonical SCR-* ID in design documentation and automated test naming where practical.</w:t>
      </w:r>
    </w:p>
    <w:p>
      <w:pPr>
        <w:pStyle w:val="ListBullet"/>
        <w:spacing w:after="40"/>
      </w:pPr>
      <w:r>
        <w:t>Frontend implementation SHALL consume semantic tokens/components from the design system rather than re-create local visual semantics.</w:t>
      </w:r>
    </w:p>
    <w:p>
      <w:pPr>
        <w:pStyle w:val="ListBullet"/>
        <w:spacing w:after="40"/>
      </w:pPr>
      <w:r>
        <w:t>High-fidelity screen composition SHALL remain traceable to the owning wireframe pattern and IA destination.</w:t>
      </w:r>
    </w:p>
    <w:p>
      <w:pPr>
        <w:pStyle w:val="ListBullet"/>
        <w:spacing w:after="40"/>
      </w:pPr>
      <w:r>
        <w:t>Any implementation deviation that changes analytical meaning, hierarchy, permission visibility, or review/dissemination safety requires design review.</w:t>
      </w:r>
    </w:p>
    <w:p>
      <w:pPr>
        <w:pStyle w:val="ListBullet"/>
        <w:spacing w:after="40"/>
      </w:pPr>
      <w:r>
        <w:t>Graph/timeline/value-flow libraries MAY implement their own primitives, but semantic styling SHALL be adapted to CS-AML tokens and legends.</w:t>
      </w:r>
    </w:p>
    <w:p>
      <w:pPr>
        <w:pStyle w:val="ListBullet"/>
        <w:spacing w:after="40"/>
      </w:pPr>
      <w:r>
        <w:t>Critical empty/error/permission/integrity/version states SHALL be implemented before a screen is considered UI-complete.</w:t>
      </w:r>
    </w:p>
    <w:p>
      <w:pPr>
        <w:pStyle w:val="Heading1"/>
      </w:pPr>
      <w:r>
        <w:t>13. High-Fidelity UI Definition of Done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shd w:fill="17324D"/>
            <w:tcMar>
              <w:top w:w="70" w:type="dxa"/>
              <w:start w:w="90" w:type="dxa"/>
              <w:bottom w:w="70" w:type="dxa"/>
              <w:end w:w="90" w:type="dxa"/>
            </w:tcMar>
            <w:vAlign w:val="center"/>
          </w:tcPr>
          <w:p>
            <w:r>
              <w:rPr>
                <w:b/>
                <w:color w:val="FFFFFF"/>
                <w:sz w:val="17"/>
              </w:rPr>
              <w:t>Area</w:t>
            </w:r>
          </w:p>
        </w:tc>
        <w:tc>
          <w:tcPr>
            <w:tcW w:type="dxa" w:w="8064"/>
            <w:shd w:fill="17324D"/>
            <w:tcMar>
              <w:top w:w="70" w:type="dxa"/>
              <w:start w:w="90" w:type="dxa"/>
              <w:bottom w:w="70" w:type="dxa"/>
              <w:end w:w="90" w:type="dxa"/>
            </w:tcMar>
            <w:vAlign w:val="center"/>
          </w:tcPr>
          <w:p>
            <w:r>
              <w:rPr>
                <w:b/>
                <w:color w:val="FFFFFF"/>
                <w:sz w:val="17"/>
              </w:rPr>
              <w:t>Done when</w:t>
            </w:r>
          </w:p>
        </w:tc>
      </w:tr>
      <w:tr>
        <w:trPr>
          <w:cantSplit/>
        </w:trPr>
        <w:tc>
          <w:tcPr>
            <w:tcW w:type="dxa" w:w="2448"/>
            <w:tcMar>
              <w:top w:w="70" w:type="dxa"/>
              <w:start w:w="90" w:type="dxa"/>
              <w:bottom w:w="70" w:type="dxa"/>
              <w:end w:w="90" w:type="dxa"/>
            </w:tcMar>
            <w:vAlign w:val="center"/>
          </w:tcPr>
          <w:p>
            <w:r>
              <w:rPr>
                <w:color w:val="16212B"/>
                <w:sz w:val="17"/>
              </w:rPr>
              <w:t>Traceability</w:t>
            </w:r>
          </w:p>
        </w:tc>
        <w:tc>
          <w:tcPr>
            <w:tcW w:type="dxa" w:w="8064"/>
            <w:tcMar>
              <w:top w:w="70" w:type="dxa"/>
              <w:start w:w="90" w:type="dxa"/>
              <w:bottom w:w="70" w:type="dxa"/>
              <w:end w:w="90" w:type="dxa"/>
            </w:tcMar>
            <w:vAlign w:val="center"/>
          </w:tcPr>
          <w:p>
            <w:r>
              <w:rPr>
                <w:color w:val="16212B"/>
                <w:sz w:val="17"/>
              </w:rPr>
              <w:t>Screen is linked to SCR-* ID, WF-PAT-* pattern, UX and IA requirements.</w:t>
            </w:r>
          </w:p>
        </w:tc>
      </w:tr>
      <w:tr>
        <w:trPr>
          <w:cantSplit/>
        </w:trPr>
        <w:tc>
          <w:tcPr>
            <w:tcW w:type="dxa" w:w="2448"/>
            <w:tcMar>
              <w:top w:w="70" w:type="dxa"/>
              <w:start w:w="90" w:type="dxa"/>
              <w:bottom w:w="70" w:type="dxa"/>
              <w:end w:w="90" w:type="dxa"/>
            </w:tcMar>
            <w:vAlign w:val="center"/>
          </w:tcPr>
          <w:p>
            <w:r>
              <w:rPr>
                <w:color w:val="16212B"/>
                <w:sz w:val="17"/>
              </w:rPr>
              <w:t>Visual composition</w:t>
            </w:r>
          </w:p>
        </w:tc>
        <w:tc>
          <w:tcPr>
            <w:tcW w:type="dxa" w:w="8064"/>
            <w:tcMar>
              <w:top w:w="70" w:type="dxa"/>
              <w:start w:w="90" w:type="dxa"/>
              <w:bottom w:w="70" w:type="dxa"/>
              <w:end w:w="90" w:type="dxa"/>
            </w:tcMar>
            <w:vAlign w:val="center"/>
          </w:tcPr>
          <w:p>
            <w:r>
              <w:rPr>
                <w:color w:val="16212B"/>
                <w:sz w:val="17"/>
              </w:rPr>
              <w:t>Desktop reference layout matches this specification and approved design-system semantics.</w:t>
            </w:r>
          </w:p>
        </w:tc>
      </w:tr>
      <w:tr>
        <w:trPr>
          <w:cantSplit/>
        </w:trPr>
        <w:tc>
          <w:tcPr>
            <w:tcW w:type="dxa" w:w="2448"/>
            <w:tcMar>
              <w:top w:w="70" w:type="dxa"/>
              <w:start w:w="90" w:type="dxa"/>
              <w:bottom w:w="70" w:type="dxa"/>
              <w:end w:w="90" w:type="dxa"/>
            </w:tcMar>
            <w:vAlign w:val="center"/>
          </w:tcPr>
          <w:p>
            <w:r>
              <w:rPr>
                <w:color w:val="16212B"/>
                <w:sz w:val="17"/>
              </w:rPr>
              <w:t>States</w:t>
            </w:r>
          </w:p>
        </w:tc>
        <w:tc>
          <w:tcPr>
            <w:tcW w:type="dxa" w:w="8064"/>
            <w:tcMar>
              <w:top w:w="70" w:type="dxa"/>
              <w:start w:w="90" w:type="dxa"/>
              <w:bottom w:w="70" w:type="dxa"/>
              <w:end w:w="90" w:type="dxa"/>
            </w:tcMar>
            <w:vAlign w:val="center"/>
          </w:tcPr>
          <w:p>
            <w:r>
              <w:rPr>
                <w:color w:val="16212B"/>
                <w:sz w:val="17"/>
              </w:rPr>
              <w:t>Loading, empty, no-results, error, permission, readonly/version/conflict states are covered where applicable.</w:t>
            </w:r>
          </w:p>
        </w:tc>
      </w:tr>
      <w:tr>
        <w:trPr>
          <w:cantSplit/>
        </w:trPr>
        <w:tc>
          <w:tcPr>
            <w:tcW w:type="dxa" w:w="2448"/>
            <w:tcMar>
              <w:top w:w="70" w:type="dxa"/>
              <w:start w:w="90" w:type="dxa"/>
              <w:bottom w:w="70" w:type="dxa"/>
              <w:end w:w="90" w:type="dxa"/>
            </w:tcMar>
            <w:vAlign w:val="center"/>
          </w:tcPr>
          <w:p>
            <w:r>
              <w:rPr>
                <w:color w:val="16212B"/>
                <w:sz w:val="17"/>
              </w:rPr>
              <w:t>Uncertainty</w:t>
            </w:r>
          </w:p>
        </w:tc>
        <w:tc>
          <w:tcPr>
            <w:tcW w:type="dxa" w:w="8064"/>
            <w:tcMar>
              <w:top w:w="70" w:type="dxa"/>
              <w:start w:w="90" w:type="dxa"/>
              <w:bottom w:w="70" w:type="dxa"/>
              <w:end w:w="90" w:type="dxa"/>
            </w:tcMar>
            <w:vAlign w:val="center"/>
          </w:tcPr>
          <w:p>
            <w:r>
              <w:rPr>
                <w:color w:val="16212B"/>
                <w:sz w:val="17"/>
              </w:rPr>
              <w:t>Claim/fact/inference/candidate/disputed/unknown and flow classes remain visibly distinct.</w:t>
            </w:r>
          </w:p>
        </w:tc>
      </w:tr>
      <w:tr>
        <w:trPr>
          <w:cantSplit/>
        </w:trPr>
        <w:tc>
          <w:tcPr>
            <w:tcW w:type="dxa" w:w="2448"/>
            <w:tcMar>
              <w:top w:w="70" w:type="dxa"/>
              <w:start w:w="90" w:type="dxa"/>
              <w:bottom w:w="70" w:type="dxa"/>
              <w:end w:w="90" w:type="dxa"/>
            </w:tcMar>
            <w:vAlign w:val="center"/>
          </w:tcPr>
          <w:p>
            <w:r>
              <w:rPr>
                <w:color w:val="16212B"/>
                <w:sz w:val="17"/>
              </w:rPr>
              <w:t>Provenance</w:t>
            </w:r>
          </w:p>
        </w:tc>
        <w:tc>
          <w:tcPr>
            <w:tcW w:type="dxa" w:w="8064"/>
            <w:tcMar>
              <w:top w:w="70" w:type="dxa"/>
              <w:start w:w="90" w:type="dxa"/>
              <w:bottom w:w="70" w:type="dxa"/>
              <w:end w:w="90" w:type="dxa"/>
            </w:tcMar>
            <w:vAlign w:val="center"/>
          </w:tcPr>
          <w:p>
            <w:r>
              <w:rPr>
                <w:color w:val="16212B"/>
                <w:sz w:val="17"/>
              </w:rPr>
              <w:t>Material analytical elements provide evidence/source navigation where required.</w:t>
            </w:r>
          </w:p>
        </w:tc>
      </w:tr>
      <w:tr>
        <w:trPr>
          <w:cantSplit/>
        </w:trPr>
        <w:tc>
          <w:tcPr>
            <w:tcW w:type="dxa" w:w="2448"/>
            <w:tcMar>
              <w:top w:w="70" w:type="dxa"/>
              <w:start w:w="90" w:type="dxa"/>
              <w:bottom w:w="70" w:type="dxa"/>
              <w:end w:w="90" w:type="dxa"/>
            </w:tcMar>
            <w:vAlign w:val="center"/>
          </w:tcPr>
          <w:p>
            <w:r>
              <w:rPr>
                <w:color w:val="16212B"/>
                <w:sz w:val="17"/>
              </w:rPr>
              <w:t>Security</w:t>
            </w:r>
          </w:p>
        </w:tc>
        <w:tc>
          <w:tcPr>
            <w:tcW w:type="dxa" w:w="8064"/>
            <w:tcMar>
              <w:top w:w="70" w:type="dxa"/>
              <w:start w:w="90" w:type="dxa"/>
              <w:bottom w:w="70" w:type="dxa"/>
              <w:end w:w="90" w:type="dxa"/>
            </w:tcMar>
            <w:vAlign w:val="center"/>
          </w:tcPr>
          <w:p>
            <w:r>
              <w:rPr>
                <w:color w:val="16212B"/>
                <w:sz w:val="17"/>
              </w:rPr>
              <w:t>Protected-source and classification rules are preserved; denied states do not leak hidden metadata.</w:t>
            </w:r>
          </w:p>
        </w:tc>
      </w:tr>
      <w:tr>
        <w:trPr>
          <w:cantSplit/>
        </w:trPr>
        <w:tc>
          <w:tcPr>
            <w:tcW w:type="dxa" w:w="2448"/>
            <w:tcMar>
              <w:top w:w="70" w:type="dxa"/>
              <w:start w:w="90" w:type="dxa"/>
              <w:bottom w:w="70" w:type="dxa"/>
              <w:end w:w="90" w:type="dxa"/>
            </w:tcMar>
            <w:vAlign w:val="center"/>
          </w:tcPr>
          <w:p>
            <w:r>
              <w:rPr>
                <w:color w:val="16212B"/>
                <w:sz w:val="17"/>
              </w:rPr>
              <w:t>Accessibility</w:t>
            </w:r>
          </w:p>
        </w:tc>
        <w:tc>
          <w:tcPr>
            <w:tcW w:type="dxa" w:w="8064"/>
            <w:tcMar>
              <w:top w:w="70" w:type="dxa"/>
              <w:start w:w="90" w:type="dxa"/>
              <w:bottom w:w="70" w:type="dxa"/>
              <w:end w:w="90" w:type="dxa"/>
            </w:tcMar>
            <w:vAlign w:val="center"/>
          </w:tcPr>
          <w:p>
            <w:r>
              <w:rPr>
                <w:color w:val="16212B"/>
                <w:sz w:val="17"/>
              </w:rPr>
              <w:t>Keyboard/focus/contrast/non-color semantics and alternative representations are verified.</w:t>
            </w:r>
          </w:p>
        </w:tc>
      </w:tr>
      <w:tr>
        <w:trPr>
          <w:cantSplit/>
        </w:trPr>
        <w:tc>
          <w:tcPr>
            <w:tcW w:type="dxa" w:w="2448"/>
            <w:tcMar>
              <w:top w:w="70" w:type="dxa"/>
              <w:start w:w="90" w:type="dxa"/>
              <w:bottom w:w="70" w:type="dxa"/>
              <w:end w:w="90" w:type="dxa"/>
            </w:tcMar>
            <w:vAlign w:val="center"/>
          </w:tcPr>
          <w:p>
            <w:r>
              <w:rPr>
                <w:color w:val="16212B"/>
                <w:sz w:val="17"/>
              </w:rPr>
              <w:t>Responsive</w:t>
            </w:r>
          </w:p>
        </w:tc>
        <w:tc>
          <w:tcPr>
            <w:tcW w:type="dxa" w:w="8064"/>
            <w:tcMar>
              <w:top w:w="70" w:type="dxa"/>
              <w:start w:w="90" w:type="dxa"/>
              <w:bottom w:w="70" w:type="dxa"/>
              <w:end w:w="90" w:type="dxa"/>
            </w:tcMar>
            <w:vAlign w:val="center"/>
          </w:tcPr>
          <w:p>
            <w:r>
              <w:rPr>
                <w:color w:val="16212B"/>
                <w:sz w:val="17"/>
              </w:rPr>
              <w:t>Required desktop/compact-desktop breakpoints preserve the task.</w:t>
            </w:r>
          </w:p>
        </w:tc>
      </w:tr>
      <w:tr>
        <w:trPr>
          <w:cantSplit/>
        </w:trPr>
        <w:tc>
          <w:tcPr>
            <w:tcW w:type="dxa" w:w="2448"/>
            <w:tcMar>
              <w:top w:w="70" w:type="dxa"/>
              <w:start w:w="90" w:type="dxa"/>
              <w:bottom w:w="70" w:type="dxa"/>
              <w:end w:w="90" w:type="dxa"/>
            </w:tcMar>
            <w:vAlign w:val="center"/>
          </w:tcPr>
          <w:p>
            <w:r>
              <w:rPr>
                <w:color w:val="16212B"/>
                <w:sz w:val="17"/>
              </w:rPr>
              <w:t>Review/export</w:t>
            </w:r>
          </w:p>
        </w:tc>
        <w:tc>
          <w:tcPr>
            <w:tcW w:type="dxa" w:w="8064"/>
            <w:tcMar>
              <w:top w:w="70" w:type="dxa"/>
              <w:start w:w="90" w:type="dxa"/>
              <w:bottom w:w="70" w:type="dxa"/>
              <w:end w:w="90" w:type="dxa"/>
            </w:tcMar>
            <w:vAlign w:val="center"/>
          </w:tcPr>
          <w:p>
            <w:r>
              <w:rPr>
                <w:color w:val="16212B"/>
                <w:sz w:val="17"/>
              </w:rPr>
              <w:t>Screenshot/PDF/export retains required analytical distinctions.</w:t>
            </w:r>
          </w:p>
        </w:tc>
      </w:tr>
      <w:tr>
        <w:trPr>
          <w:cantSplit/>
        </w:trPr>
        <w:tc>
          <w:tcPr>
            <w:tcW w:type="dxa" w:w="2448"/>
            <w:tcMar>
              <w:top w:w="70" w:type="dxa"/>
              <w:start w:w="90" w:type="dxa"/>
              <w:bottom w:w="70" w:type="dxa"/>
              <w:end w:w="90" w:type="dxa"/>
            </w:tcMar>
            <w:vAlign w:val="center"/>
          </w:tcPr>
          <w:p>
            <w:r>
              <w:rPr>
                <w:color w:val="16212B"/>
                <w:sz w:val="17"/>
              </w:rPr>
              <w:t>Engineering parity</w:t>
            </w:r>
          </w:p>
        </w:tc>
        <w:tc>
          <w:tcPr>
            <w:tcW w:type="dxa" w:w="8064"/>
            <w:tcMar>
              <w:top w:w="70" w:type="dxa"/>
              <w:start w:w="90" w:type="dxa"/>
              <w:bottom w:w="70" w:type="dxa"/>
              <w:end w:w="90" w:type="dxa"/>
            </w:tcMar>
            <w:vAlign w:val="center"/>
          </w:tcPr>
          <w:p>
            <w:r>
              <w:rPr>
                <w:color w:val="16212B"/>
                <w:sz w:val="17"/>
              </w:rPr>
              <w:t>Implemented screen uses shared components/tokens and passes visual regression for critical states.</w:t>
            </w:r>
          </w:p>
        </w:tc>
      </w:tr>
    </w:tbl>
    <w:p>
      <w:pPr>
        <w:spacing w:after="40"/>
      </w:pPr>
    </w:p>
    <w:p>
      <w:pPr>
        <w:pStyle w:val="Heading1"/>
      </w:pPr>
      <w:r>
        <w:t>14. Screen Coverage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448"/>
            <w:shd w:fill="17324D"/>
            <w:tcMar>
              <w:top w:w="70" w:type="dxa"/>
              <w:start w:w="90" w:type="dxa"/>
              <w:bottom w:w="70" w:type="dxa"/>
              <w:end w:w="90" w:type="dxa"/>
            </w:tcMar>
            <w:vAlign w:val="center"/>
          </w:tcPr>
          <w:p>
            <w:r>
              <w:rPr>
                <w:b/>
                <w:color w:val="FFFFFF"/>
                <w:sz w:val="17"/>
              </w:rPr>
              <w:t>Screen ID</w:t>
            </w:r>
          </w:p>
        </w:tc>
        <w:tc>
          <w:tcPr>
            <w:tcW w:type="dxa" w:w="5328"/>
            <w:shd w:fill="17324D"/>
            <w:tcMar>
              <w:top w:w="70" w:type="dxa"/>
              <w:start w:w="90" w:type="dxa"/>
              <w:bottom w:w="70" w:type="dxa"/>
              <w:end w:w="90" w:type="dxa"/>
            </w:tcMar>
            <w:vAlign w:val="center"/>
          </w:tcPr>
          <w:p>
            <w:r>
              <w:rPr>
                <w:b/>
                <w:color w:val="FFFFFF"/>
                <w:sz w:val="17"/>
              </w:rPr>
              <w:t>Screen</w:t>
            </w:r>
          </w:p>
        </w:tc>
        <w:tc>
          <w:tcPr>
            <w:tcW w:type="dxa" w:w="2736"/>
            <w:shd w:fill="17324D"/>
            <w:tcMar>
              <w:top w:w="70" w:type="dxa"/>
              <w:start w:w="90" w:type="dxa"/>
              <w:bottom w:w="70" w:type="dxa"/>
              <w:end w:w="90" w:type="dxa"/>
            </w:tcMar>
            <w:vAlign w:val="center"/>
          </w:tcPr>
          <w:p>
            <w:r>
              <w:rPr>
                <w:b/>
                <w:color w:val="FFFFFF"/>
                <w:sz w:val="17"/>
              </w:rPr>
              <w:t>Coverage</w:t>
            </w:r>
          </w:p>
        </w:tc>
      </w:tr>
      <w:tr>
        <w:trPr>
          <w:cantSplit/>
        </w:trPr>
        <w:tc>
          <w:tcPr>
            <w:tcW w:type="dxa" w:w="2448"/>
            <w:tcMar>
              <w:top w:w="70" w:type="dxa"/>
              <w:start w:w="90" w:type="dxa"/>
              <w:bottom w:w="70" w:type="dxa"/>
              <w:end w:w="90" w:type="dxa"/>
            </w:tcMar>
            <w:vAlign w:val="center"/>
          </w:tcPr>
          <w:p>
            <w:r>
              <w:rPr>
                <w:color w:val="16212B"/>
                <w:sz w:val="17"/>
              </w:rPr>
              <w:t>SCR-HOME-001</w:t>
            </w:r>
          </w:p>
        </w:tc>
        <w:tc>
          <w:tcPr>
            <w:tcW w:type="dxa" w:w="5328"/>
            <w:tcMar>
              <w:top w:w="70" w:type="dxa"/>
              <w:start w:w="90" w:type="dxa"/>
              <w:bottom w:w="70" w:type="dxa"/>
              <w:end w:w="90" w:type="dxa"/>
            </w:tcMar>
            <w:vAlign w:val="center"/>
          </w:tcPr>
          <w:p>
            <w:r>
              <w:rPr>
                <w:color w:val="16212B"/>
                <w:sz w:val="17"/>
              </w:rPr>
              <w:t>Home / Work Queue</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SCR-CASE-001</w:t>
            </w:r>
          </w:p>
        </w:tc>
        <w:tc>
          <w:tcPr>
            <w:tcW w:type="dxa" w:w="5328"/>
            <w:tcMar>
              <w:top w:w="70" w:type="dxa"/>
              <w:start w:w="90" w:type="dxa"/>
              <w:bottom w:w="70" w:type="dxa"/>
              <w:end w:w="90" w:type="dxa"/>
            </w:tcMar>
            <w:vAlign w:val="center"/>
          </w:tcPr>
          <w:p>
            <w:r>
              <w:rPr>
                <w:color w:val="16212B"/>
                <w:sz w:val="17"/>
              </w:rPr>
              <w:t>Case Register</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SCR-CASE-003</w:t>
            </w:r>
          </w:p>
        </w:tc>
        <w:tc>
          <w:tcPr>
            <w:tcW w:type="dxa" w:w="5328"/>
            <w:tcMar>
              <w:top w:w="70" w:type="dxa"/>
              <w:start w:w="90" w:type="dxa"/>
              <w:bottom w:w="70" w:type="dxa"/>
              <w:end w:w="90" w:type="dxa"/>
            </w:tcMar>
            <w:vAlign w:val="center"/>
          </w:tcPr>
          <w:p>
            <w:r>
              <w:rPr>
                <w:color w:val="16212B"/>
                <w:sz w:val="17"/>
              </w:rPr>
              <w:t>Case Overview</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SCR-EVD-003</w:t>
            </w:r>
          </w:p>
        </w:tc>
        <w:tc>
          <w:tcPr>
            <w:tcW w:type="dxa" w:w="5328"/>
            <w:tcMar>
              <w:top w:w="70" w:type="dxa"/>
              <w:start w:w="90" w:type="dxa"/>
              <w:bottom w:w="70" w:type="dxa"/>
              <w:end w:w="90" w:type="dxa"/>
            </w:tcMar>
            <w:vAlign w:val="center"/>
          </w:tcPr>
          <w:p>
            <w:r>
              <w:rPr>
                <w:color w:val="16212B"/>
                <w:sz w:val="17"/>
              </w:rPr>
              <w:t>Evidence Detail / Reader</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SCR-ENT-003</w:t>
            </w:r>
          </w:p>
        </w:tc>
        <w:tc>
          <w:tcPr>
            <w:tcW w:type="dxa" w:w="5328"/>
            <w:tcMar>
              <w:top w:w="70" w:type="dxa"/>
              <w:start w:w="90" w:type="dxa"/>
              <w:bottom w:w="70" w:type="dxa"/>
              <w:end w:w="90" w:type="dxa"/>
            </w:tcMar>
            <w:vAlign w:val="center"/>
          </w:tcPr>
          <w:p>
            <w:r>
              <w:rPr>
                <w:color w:val="16212B"/>
                <w:sz w:val="17"/>
              </w:rPr>
              <w:t>Entity Detail</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SCR-ENT-005</w:t>
            </w:r>
          </w:p>
        </w:tc>
        <w:tc>
          <w:tcPr>
            <w:tcW w:type="dxa" w:w="5328"/>
            <w:tcMar>
              <w:top w:w="70" w:type="dxa"/>
              <w:start w:w="90" w:type="dxa"/>
              <w:bottom w:w="70" w:type="dxa"/>
              <w:end w:w="90" w:type="dxa"/>
            </w:tcMar>
            <w:vAlign w:val="center"/>
          </w:tcPr>
          <w:p>
            <w:r>
              <w:rPr>
                <w:color w:val="16212B"/>
                <w:sz w:val="17"/>
              </w:rPr>
              <w:t>Entity Match Compare</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SCR-TIM-001</w:t>
            </w:r>
          </w:p>
        </w:tc>
        <w:tc>
          <w:tcPr>
            <w:tcW w:type="dxa" w:w="5328"/>
            <w:tcMar>
              <w:top w:w="70" w:type="dxa"/>
              <w:start w:w="90" w:type="dxa"/>
              <w:bottom w:w="70" w:type="dxa"/>
              <w:end w:w="90" w:type="dxa"/>
            </w:tcMar>
            <w:vAlign w:val="center"/>
          </w:tcPr>
          <w:p>
            <w:r>
              <w:rPr>
                <w:color w:val="16212B"/>
                <w:sz w:val="17"/>
              </w:rPr>
              <w:t>Timeline</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SCR-VAL-001</w:t>
            </w:r>
          </w:p>
        </w:tc>
        <w:tc>
          <w:tcPr>
            <w:tcW w:type="dxa" w:w="5328"/>
            <w:tcMar>
              <w:top w:w="70" w:type="dxa"/>
              <w:start w:w="90" w:type="dxa"/>
              <w:bottom w:w="70" w:type="dxa"/>
              <w:end w:w="90" w:type="dxa"/>
            </w:tcMar>
            <w:vAlign w:val="center"/>
          </w:tcPr>
          <w:p>
            <w:r>
              <w:rPr>
                <w:color w:val="16212B"/>
                <w:sz w:val="17"/>
              </w:rPr>
              <w:t>Value Flow Workspace</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SCR-TYP-002</w:t>
            </w:r>
          </w:p>
        </w:tc>
        <w:tc>
          <w:tcPr>
            <w:tcW w:type="dxa" w:w="5328"/>
            <w:tcMar>
              <w:top w:w="70" w:type="dxa"/>
              <w:start w:w="90" w:type="dxa"/>
              <w:bottom w:w="70" w:type="dxa"/>
              <w:end w:w="90" w:type="dxa"/>
            </w:tcMar>
            <w:vAlign w:val="center"/>
          </w:tcPr>
          <w:p>
            <w:r>
              <w:rPr>
                <w:color w:val="16212B"/>
                <w:sz w:val="17"/>
              </w:rPr>
              <w:t>Typology Match Worksheet</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SCR-HYP-001</w:t>
            </w:r>
          </w:p>
        </w:tc>
        <w:tc>
          <w:tcPr>
            <w:tcW w:type="dxa" w:w="5328"/>
            <w:tcMar>
              <w:top w:w="70" w:type="dxa"/>
              <w:start w:w="90" w:type="dxa"/>
              <w:bottom w:w="70" w:type="dxa"/>
              <w:end w:w="90" w:type="dxa"/>
            </w:tcMar>
            <w:vAlign w:val="center"/>
          </w:tcPr>
          <w:p>
            <w:r>
              <w:rPr>
                <w:color w:val="16212B"/>
                <w:sz w:val="17"/>
              </w:rPr>
              <w:t>Hypothesis Workspace</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SCR-ASM-001</w:t>
            </w:r>
          </w:p>
        </w:tc>
        <w:tc>
          <w:tcPr>
            <w:tcW w:type="dxa" w:w="5328"/>
            <w:tcMar>
              <w:top w:w="70" w:type="dxa"/>
              <w:start w:w="90" w:type="dxa"/>
              <w:bottom w:w="70" w:type="dxa"/>
              <w:end w:w="90" w:type="dxa"/>
            </w:tcMar>
            <w:vAlign w:val="center"/>
          </w:tcPr>
          <w:p>
            <w:r>
              <w:rPr>
                <w:color w:val="16212B"/>
                <w:sz w:val="17"/>
              </w:rPr>
              <w:t>Assessment Draft</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SCR-GRF-001</w:t>
            </w:r>
          </w:p>
        </w:tc>
        <w:tc>
          <w:tcPr>
            <w:tcW w:type="dxa" w:w="5328"/>
            <w:tcMar>
              <w:top w:w="70" w:type="dxa"/>
              <w:start w:w="90" w:type="dxa"/>
              <w:bottom w:w="70" w:type="dxa"/>
              <w:end w:w="90" w:type="dxa"/>
            </w:tcMar>
            <w:vAlign w:val="center"/>
          </w:tcPr>
          <w:p>
            <w:r>
              <w:rPr>
                <w:color w:val="16212B"/>
                <w:sz w:val="17"/>
              </w:rPr>
              <w:t>Investigation Graph</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SCR-PRD-003</w:t>
            </w:r>
          </w:p>
        </w:tc>
        <w:tc>
          <w:tcPr>
            <w:tcW w:type="dxa" w:w="5328"/>
            <w:tcMar>
              <w:top w:w="70" w:type="dxa"/>
              <w:start w:w="90" w:type="dxa"/>
              <w:bottom w:w="70" w:type="dxa"/>
              <w:end w:w="90" w:type="dxa"/>
            </w:tcMar>
            <w:vAlign w:val="center"/>
          </w:tcPr>
          <w:p>
            <w:r>
              <w:rPr>
                <w:color w:val="16212B"/>
                <w:sz w:val="17"/>
              </w:rPr>
              <w:t>Product Editor</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SCR-REV-002</w:t>
            </w:r>
          </w:p>
        </w:tc>
        <w:tc>
          <w:tcPr>
            <w:tcW w:type="dxa" w:w="5328"/>
            <w:tcMar>
              <w:top w:w="70" w:type="dxa"/>
              <w:start w:w="90" w:type="dxa"/>
              <w:bottom w:w="70" w:type="dxa"/>
              <w:end w:w="90" w:type="dxa"/>
            </w:tcMar>
            <w:vAlign w:val="center"/>
          </w:tcPr>
          <w:p>
            <w:r>
              <w:rPr>
                <w:color w:val="16212B"/>
                <w:sz w:val="17"/>
              </w:rPr>
              <w:t>Peer Review Workspace</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SCR-DIS-001</w:t>
            </w:r>
          </w:p>
        </w:tc>
        <w:tc>
          <w:tcPr>
            <w:tcW w:type="dxa" w:w="5328"/>
            <w:tcMar>
              <w:top w:w="70" w:type="dxa"/>
              <w:start w:w="90" w:type="dxa"/>
              <w:bottom w:w="70" w:type="dxa"/>
              <w:end w:w="90" w:type="dxa"/>
            </w:tcMar>
            <w:vAlign w:val="center"/>
          </w:tcPr>
          <w:p>
            <w:r>
              <w:rPr>
                <w:color w:val="16212B"/>
                <w:sz w:val="17"/>
              </w:rPr>
              <w:t>Dissemination Approval</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SCR-DIS-002</w:t>
            </w:r>
          </w:p>
        </w:tc>
        <w:tc>
          <w:tcPr>
            <w:tcW w:type="dxa" w:w="5328"/>
            <w:tcMar>
              <w:top w:w="70" w:type="dxa"/>
              <w:start w:w="90" w:type="dxa"/>
              <w:bottom w:w="70" w:type="dxa"/>
              <w:end w:w="90" w:type="dxa"/>
            </w:tcMar>
            <w:vAlign w:val="center"/>
          </w:tcPr>
          <w:p>
            <w:r>
              <w:rPr>
                <w:color w:val="16212B"/>
                <w:sz w:val="17"/>
              </w:rPr>
              <w:t>Export Package Builder</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SCR-AUD-001</w:t>
            </w:r>
          </w:p>
        </w:tc>
        <w:tc>
          <w:tcPr>
            <w:tcW w:type="dxa" w:w="5328"/>
            <w:tcMar>
              <w:top w:w="70" w:type="dxa"/>
              <w:start w:w="90" w:type="dxa"/>
              <w:bottom w:w="70" w:type="dxa"/>
              <w:end w:w="90" w:type="dxa"/>
            </w:tcMar>
            <w:vAlign w:val="center"/>
          </w:tcPr>
          <w:p>
            <w:r>
              <w:rPr>
                <w:color w:val="16212B"/>
                <w:sz w:val="17"/>
              </w:rPr>
              <w:t>Audit Explorer</w:t>
            </w:r>
          </w:p>
        </w:tc>
        <w:tc>
          <w:tcPr>
            <w:tcW w:type="dxa" w:w="2736"/>
            <w:tcMar>
              <w:top w:w="70" w:type="dxa"/>
              <w:start w:w="90" w:type="dxa"/>
              <w:bottom w:w="70" w:type="dxa"/>
              <w:end w:w="90" w:type="dxa"/>
            </w:tcMar>
            <w:vAlign w:val="center"/>
          </w:tcPr>
          <w:p>
            <w:r>
              <w:rPr>
                <w:color w:val="16212B"/>
                <w:sz w:val="17"/>
              </w:rPr>
              <w:t>Detailed</w:t>
            </w:r>
          </w:p>
        </w:tc>
      </w:tr>
      <w:tr>
        <w:trPr>
          <w:cantSplit/>
        </w:trPr>
        <w:tc>
          <w:tcPr>
            <w:tcW w:type="dxa" w:w="2448"/>
            <w:tcMar>
              <w:top w:w="70" w:type="dxa"/>
              <w:start w:w="90" w:type="dxa"/>
              <w:bottom w:w="70" w:type="dxa"/>
              <w:end w:w="90" w:type="dxa"/>
            </w:tcMar>
            <w:vAlign w:val="center"/>
          </w:tcPr>
          <w:p>
            <w:r>
              <w:rPr>
                <w:color w:val="16212B"/>
                <w:sz w:val="17"/>
              </w:rPr>
              <w:t>All other SCR-*</w:t>
            </w:r>
          </w:p>
        </w:tc>
        <w:tc>
          <w:tcPr>
            <w:tcW w:type="dxa" w:w="5328"/>
            <w:tcMar>
              <w:top w:w="70" w:type="dxa"/>
              <w:start w:w="90" w:type="dxa"/>
              <w:bottom w:w="70" w:type="dxa"/>
              <w:end w:w="90" w:type="dxa"/>
            </w:tcMar>
            <w:vAlign w:val="center"/>
          </w:tcPr>
          <w:p>
            <w:r>
              <w:rPr>
                <w:color w:val="16212B"/>
                <w:sz w:val="17"/>
              </w:rPr>
              <w:t>Mapped by screen-family standard</w:t>
            </w:r>
          </w:p>
        </w:tc>
        <w:tc>
          <w:tcPr>
            <w:tcW w:type="dxa" w:w="2736"/>
            <w:tcMar>
              <w:top w:w="70" w:type="dxa"/>
              <w:start w:w="90" w:type="dxa"/>
              <w:bottom w:w="70" w:type="dxa"/>
              <w:end w:w="90" w:type="dxa"/>
            </w:tcMar>
            <w:vAlign w:val="center"/>
          </w:tcPr>
          <w:p>
            <w:r>
              <w:rPr>
                <w:color w:val="16212B"/>
                <w:sz w:val="17"/>
              </w:rPr>
              <w:t>Family baseline</w:t>
            </w:r>
          </w:p>
        </w:tc>
      </w:tr>
    </w:tbl>
    <w:p>
      <w:pPr>
        <w:spacing w:after="40"/>
      </w:pPr>
    </w:p>
    <w:p>
      <w:pPr>
        <w:pStyle w:val="Heading1"/>
      </w:pPr>
      <w:r>
        <w:t>15. Relationship to Component Inventory and Storybook Specification</w:t>
      </w:r>
    </w:p>
    <w:tbl>
      <w:tblPr>
        <w:tblStyle w:val="TableGrid"/>
        <w:tblW w:type="auto" w:w="0"/>
        <w:jc w:val="center"/>
        <w:tblLook w:firstColumn="1" w:firstRow="1" w:lastColumn="0" w:lastRow="0" w:noHBand="0" w:noVBand="1" w:val="04A0"/>
      </w:tblPr>
      <w:tblGrid>
        <w:gridCol w:w="10166"/>
      </w:tblGrid>
      <w:tr>
        <w:trPr>
          <w:cantSplit/>
        </w:trPr>
        <w:tc>
          <w:tcPr>
            <w:tcW w:type="dxa" w:w="10166"/>
            <w:shd w:fill="EAF2F8"/>
            <w:tcMar>
              <w:top w:w="110" w:type="dxa"/>
              <w:start w:w="130" w:type="dxa"/>
              <w:bottom w:w="110" w:type="dxa"/>
              <w:end w:w="130" w:type="dxa"/>
            </w:tcMar>
          </w:tcPr>
          <w:p>
            <w:r>
              <w:rPr>
                <w:b/>
                <w:color w:val="285C8E"/>
                <w:sz w:val="21"/>
              </w:rPr>
              <w:t>Next implementation document</w:t>
              <w:br/>
            </w:r>
            <w:r>
              <w:rPr>
                <w:color w:val="16212B"/>
                <w:sz w:val="19"/>
              </w:rPr>
              <w:t>The next document SHALL translate this high-fidelity composition into a frontend implementation catalogue: component inventory, component ownership, props/variants, design tokens, accessibility contract, Storybook stories, interaction tests, visual-regression matrix, documentation standards, and release/versioning workflow.</w:t>
            </w:r>
          </w:p>
        </w:tc>
      </w:tr>
    </w:tbl>
    <w:p>
      <w:pPr>
        <w:spacing w:after="40"/>
      </w:pPr>
    </w:p>
    <w:p>
      <w:pPr>
        <w:pStyle w:val="Heading1"/>
      </w:pPr>
      <w:r>
        <w:t>Annex A — High-Fidelity Review Checklist</w:t>
      </w:r>
    </w:p>
    <w:p>
      <w:pPr>
        <w:spacing w:after="60"/>
      </w:pPr>
      <w:r>
        <w:rPr>
          <w:b/>
        </w:rPr>
        <w:t xml:space="preserve">☐ </w:t>
      </w:r>
      <w:r>
        <w:t>Correct SCR-* ID and screen title shown in design artefact metadata.</w:t>
      </w:r>
    </w:p>
    <w:p>
      <w:pPr>
        <w:spacing w:after="60"/>
      </w:pPr>
      <w:r>
        <w:rPr>
          <w:b/>
        </w:rPr>
        <w:t xml:space="preserve">☐ </w:t>
      </w:r>
      <w:r>
        <w:t>Primary task is visually obvious without relying on alarm color.</w:t>
      </w:r>
    </w:p>
    <w:p>
      <w:pPr>
        <w:spacing w:after="60"/>
      </w:pPr>
      <w:r>
        <w:rPr>
          <w:b/>
        </w:rPr>
        <w:t xml:space="preserve">☐ </w:t>
      </w:r>
      <w:r>
        <w:t>Canonical object identity and case context are not conflated.</w:t>
      </w:r>
    </w:p>
    <w:p>
      <w:pPr>
        <w:spacing w:after="60"/>
      </w:pPr>
      <w:r>
        <w:rPr>
          <w:b/>
        </w:rPr>
        <w:t xml:space="preserve">☐ </w:t>
      </w:r>
      <w:r>
        <w:t>Classification/handling is visible where useful but not decorative.</w:t>
      </w:r>
    </w:p>
    <w:p>
      <w:pPr>
        <w:spacing w:after="60"/>
      </w:pPr>
      <w:r>
        <w:rPr>
          <w:b/>
        </w:rPr>
        <w:t xml:space="preserve">☐ </w:t>
      </w:r>
      <w:r>
        <w:t>Provenance can be reached from material analytical content.</w:t>
      </w:r>
    </w:p>
    <w:p>
      <w:pPr>
        <w:spacing w:after="60"/>
      </w:pPr>
      <w:r>
        <w:rPr>
          <w:b/>
        </w:rPr>
        <w:t xml:space="preserve">☐ </w:t>
      </w:r>
      <w:r>
        <w:t>Unknown, disputed, candidate and inference states are explicit.</w:t>
      </w:r>
    </w:p>
    <w:p>
      <w:pPr>
        <w:spacing w:after="60"/>
      </w:pPr>
      <w:r>
        <w:rPr>
          <w:b/>
        </w:rPr>
        <w:t xml:space="preserve">☐ </w:t>
      </w:r>
      <w:r>
        <w:t>Value-flow classes retain non-color cues.</w:t>
      </w:r>
    </w:p>
    <w:p>
      <w:pPr>
        <w:spacing w:after="60"/>
      </w:pPr>
      <w:r>
        <w:rPr>
          <w:b/>
        </w:rPr>
        <w:t xml:space="preserve">☐ </w:t>
      </w:r>
      <w:r>
        <w:t>Graph size/color does not imply guilt or unvalidated risk.</w:t>
      </w:r>
    </w:p>
    <w:p>
      <w:pPr>
        <w:spacing w:after="60"/>
      </w:pPr>
      <w:r>
        <w:rPr>
          <w:b/>
        </w:rPr>
        <w:t xml:space="preserve">☐ </w:t>
      </w:r>
      <w:r>
        <w:t>Protected-source identity is absent unless role permits access.</w:t>
      </w:r>
    </w:p>
    <w:p>
      <w:pPr>
        <w:spacing w:after="60"/>
      </w:pPr>
      <w:r>
        <w:rPr>
          <w:b/>
        </w:rPr>
        <w:t xml:space="preserve">☐ </w:t>
      </w:r>
      <w:r>
        <w:t>Permission-denied state does not reveal hidden metadata.</w:t>
      </w:r>
    </w:p>
    <w:p>
      <w:pPr>
        <w:spacing w:after="60"/>
      </w:pPr>
      <w:r>
        <w:rPr>
          <w:b/>
        </w:rPr>
        <w:t xml:space="preserve">☐ </w:t>
      </w:r>
      <w:r>
        <w:t>Empty/no-results/loading/error/conflict states are specified.</w:t>
      </w:r>
    </w:p>
    <w:p>
      <w:pPr>
        <w:spacing w:after="60"/>
      </w:pPr>
      <w:r>
        <w:rPr>
          <w:b/>
        </w:rPr>
        <w:t xml:space="preserve">☐ </w:t>
      </w:r>
      <w:r>
        <w:t>Keyboard focus order and interactive target hierarchy are coherent.</w:t>
      </w:r>
    </w:p>
    <w:p>
      <w:pPr>
        <w:spacing w:after="60"/>
      </w:pPr>
      <w:r>
        <w:rPr>
          <w:b/>
        </w:rPr>
        <w:t xml:space="preserve">☐ </w:t>
      </w:r>
      <w:r>
        <w:t>Inspector/drawer collapse preserves task context.</w:t>
      </w:r>
    </w:p>
    <w:p>
      <w:pPr>
        <w:spacing w:after="60"/>
      </w:pPr>
      <w:r>
        <w:rPr>
          <w:b/>
        </w:rPr>
        <w:t xml:space="preserve">☐ </w:t>
      </w:r>
      <w:r>
        <w:t>Export/screenshot remains semantically interpretable.</w:t>
      </w:r>
    </w:p>
    <w:p>
      <w:pPr>
        <w:spacing w:after="60"/>
      </w:pPr>
      <w:r>
        <w:rPr>
          <w:b/>
        </w:rPr>
        <w:t xml:space="preserve">☐ </w:t>
      </w:r>
      <w:r>
        <w:t>All shared UI uses design-system semantic tokens/components.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4"/>
        <w:sz w:val="16"/>
      </w:rPr>
      <w:t>CS-AML High-Fidelity UI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85C8E"/>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E55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pPr>
      <w:spacing w:after="100"/>
      <w:ind w:left="259" w:right="259"/>
    </w:pPr>
    <w:rPr>
      <w:rFonts w:ascii="Aptos" w:hAnsi="Aptos"/>
      <w:color w:val="4254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