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pStyle w:val="Title"/>
        <w:jc w:val="left"/>
      </w:pPr>
      <w:r>
        <w:t>CS-AML</w:t>
        <w:br/>
        <w:t>Product Requirements Document</w:t>
      </w:r>
    </w:p>
    <w:p>
      <w:r>
        <w:rPr>
          <w:b/>
          <w:color w:val="284E6E"/>
          <w:sz w:val="36"/>
        </w:rPr>
        <w:t>PRD v0.1</w:t>
      </w:r>
    </w:p>
    <w:p>
      <w:pPr>
        <w:pStyle w:val="Callout"/>
      </w:pPr>
      <w:r>
        <w:t>Civil Society Financial Intelligence &amp; AML Investigation Platform</w:t>
      </w:r>
    </w:p>
    <w:p>
      <w:pPr>
        <w:pStyle w:val="Small"/>
      </w:pPr>
      <w:r>
        <w:t>Status: Product baseline for MVP planning and engineering handoff</w:t>
      </w:r>
    </w:p>
    <w:p>
      <w:pPr>
        <w:pStyle w:val="Small"/>
      </w:pPr>
      <w:r>
        <w:t>Version: 0.1  |  Date: 7 October 2026</w:t>
      </w:r>
    </w:p>
    <w:tbl>
      <w:tblPr>
        <w:tblStyle w:val="TableGrid"/>
        <w:tblW w:type="auto" w:w="0"/>
        <w:jc w:val="center"/>
        <w:tblLook w:firstColumn="1" w:firstRow="1" w:lastColumn="0" w:lastRow="0" w:noHBand="0" w:noVBand="1" w:val="04A0"/>
      </w:tblPr>
      <w:tblGrid>
        <w:gridCol w:w="9878"/>
      </w:tblGrid>
      <w:tr>
        <w:tc>
          <w:tcPr>
            <w:tcW w:type="dxa" w:w="9878"/>
            <w:shd w:fill="E2F0D9"/>
            <w:tcMar>
              <w:top w:w="150" w:type="dxa"/>
              <w:start w:w="180" w:type="dxa"/>
              <w:bottom w:w="150" w:type="dxa"/>
              <w:end w:w="180" w:type="dxa"/>
            </w:tcMar>
          </w:tcPr>
          <w:p>
            <w:r>
              <w:rPr>
                <w:b/>
                <w:color w:val="19304A"/>
                <w:sz w:val="22"/>
              </w:rPr>
              <w:t>Product axiom</w:t>
              <w:br/>
            </w:r>
            <w:r>
              <w:rPr>
                <w:sz w:val="20"/>
              </w:rPr>
              <w:t>The platform SHALL help civil-society investigators produce lawful, evidence-based, reproducible, and actionable financial intelligence while preserving analytical uncertainty and preventing inference from being presented as fact.</w:t>
            </w:r>
          </w:p>
        </w:tc>
      </w:tr>
    </w:tbl>
    <w:p>
      <w:pPr>
        <w:spacing w:after="4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04"/>
            <w:shd w:fill="19304A"/>
            <w:tcMar>
              <w:top w:w="100" w:type="dxa"/>
              <w:start w:w="120" w:type="dxa"/>
              <w:bottom w:w="100" w:type="dxa"/>
              <w:end w:w="120" w:type="dxa"/>
            </w:tcMar>
            <w:vAlign w:val="center"/>
          </w:tcPr>
          <w:p>
            <w:r>
              <w:rPr>
                <w:b/>
                <w:color w:val="FFFFFF"/>
                <w:sz w:val="18"/>
              </w:rPr>
              <w:t>Field</w:t>
            </w:r>
          </w:p>
        </w:tc>
        <w:tc>
          <w:tcPr>
            <w:tcW w:type="dxa" w:w="8064"/>
            <w:shd w:fill="19304A"/>
            <w:tcMar>
              <w:top w:w="100" w:type="dxa"/>
              <w:start w:w="120" w:type="dxa"/>
              <w:bottom w:w="100" w:type="dxa"/>
              <w:end w:w="120" w:type="dxa"/>
            </w:tcMar>
            <w:vAlign w:val="center"/>
          </w:tcPr>
          <w:p>
            <w:r>
              <w:rPr>
                <w:b/>
                <w:color w:val="FFFFFF"/>
                <w:sz w:val="18"/>
              </w:rPr>
              <w:t>Value</w:t>
            </w:r>
          </w:p>
        </w:tc>
      </w:tr>
      <w:tr>
        <w:tc>
          <w:tcPr>
            <w:tcW w:type="dxa" w:w="2304"/>
            <w:tcMar>
              <w:top w:w="100" w:type="dxa"/>
              <w:start w:w="120" w:type="dxa"/>
              <w:bottom w:w="100" w:type="dxa"/>
              <w:end w:w="120" w:type="dxa"/>
            </w:tcMar>
            <w:vAlign w:val="center"/>
          </w:tcPr>
          <w:p>
            <w:r>
              <w:rPr>
                <w:sz w:val="18"/>
              </w:rPr>
              <w:t>Document</w:t>
            </w:r>
          </w:p>
        </w:tc>
        <w:tc>
          <w:tcPr>
            <w:tcW w:type="dxa" w:w="8064"/>
            <w:tcMar>
              <w:top w:w="100" w:type="dxa"/>
              <w:start w:w="120" w:type="dxa"/>
              <w:bottom w:w="100" w:type="dxa"/>
              <w:end w:w="120" w:type="dxa"/>
            </w:tcMar>
            <w:vAlign w:val="center"/>
          </w:tcPr>
          <w:p>
            <w:r>
              <w:rPr>
                <w:sz w:val="18"/>
              </w:rPr>
              <w:t>CS-AML Product Requirements Document (PRD)</w:t>
            </w:r>
          </w:p>
        </w:tc>
      </w:tr>
      <w:tr>
        <w:tc>
          <w:tcPr>
            <w:tcW w:type="dxa" w:w="2304"/>
            <w:tcMar>
              <w:top w:w="100" w:type="dxa"/>
              <w:start w:w="120" w:type="dxa"/>
              <w:bottom w:w="100" w:type="dxa"/>
              <w:end w:w="120" w:type="dxa"/>
            </w:tcMar>
            <w:vAlign w:val="center"/>
          </w:tcPr>
          <w:p>
            <w:r>
              <w:rPr>
                <w:sz w:val="18"/>
              </w:rPr>
              <w:t>Version</w:t>
            </w:r>
          </w:p>
        </w:tc>
        <w:tc>
          <w:tcPr>
            <w:tcW w:type="dxa" w:w="8064"/>
            <w:tcMar>
              <w:top w:w="100" w:type="dxa"/>
              <w:start w:w="120" w:type="dxa"/>
              <w:bottom w:w="100" w:type="dxa"/>
              <w:end w:w="120" w:type="dxa"/>
            </w:tcMar>
            <w:vAlign w:val="center"/>
          </w:tcPr>
          <w:p>
            <w:r>
              <w:rPr>
                <w:sz w:val="18"/>
              </w:rPr>
              <w:t>0.1</w:t>
            </w:r>
          </w:p>
        </w:tc>
      </w:tr>
      <w:tr>
        <w:tc>
          <w:tcPr>
            <w:tcW w:type="dxa" w:w="2304"/>
            <w:tcMar>
              <w:top w:w="100" w:type="dxa"/>
              <w:start w:w="120" w:type="dxa"/>
              <w:bottom w:w="100" w:type="dxa"/>
              <w:end w:w="120" w:type="dxa"/>
            </w:tcMar>
            <w:vAlign w:val="center"/>
          </w:tcPr>
          <w:p>
            <w:r>
              <w:rPr>
                <w:sz w:val="18"/>
              </w:rPr>
              <w:t>Status</w:t>
            </w:r>
          </w:p>
        </w:tc>
        <w:tc>
          <w:tcPr>
            <w:tcW w:type="dxa" w:w="8064"/>
            <w:tcMar>
              <w:top w:w="100" w:type="dxa"/>
              <w:start w:w="120" w:type="dxa"/>
              <w:bottom w:w="100" w:type="dxa"/>
              <w:end w:w="120" w:type="dxa"/>
            </w:tcMar>
            <w:vAlign w:val="center"/>
          </w:tcPr>
          <w:p>
            <w:r>
              <w:rPr>
                <w:sz w:val="18"/>
              </w:rPr>
              <w:t>Baseline / implementation planning</w:t>
            </w:r>
          </w:p>
        </w:tc>
      </w:tr>
      <w:tr>
        <w:tc>
          <w:tcPr>
            <w:tcW w:type="dxa" w:w="2304"/>
            <w:tcMar>
              <w:top w:w="100" w:type="dxa"/>
              <w:start w:w="120" w:type="dxa"/>
              <w:bottom w:w="100" w:type="dxa"/>
              <w:end w:w="120" w:type="dxa"/>
            </w:tcMar>
            <w:vAlign w:val="center"/>
          </w:tcPr>
          <w:p>
            <w:r>
              <w:rPr>
                <w:sz w:val="18"/>
              </w:rPr>
              <w:t>Audience</w:t>
            </w:r>
          </w:p>
        </w:tc>
        <w:tc>
          <w:tcPr>
            <w:tcW w:type="dxa" w:w="8064"/>
            <w:tcMar>
              <w:top w:w="100" w:type="dxa"/>
              <w:start w:w="120" w:type="dxa"/>
              <w:bottom w:w="100" w:type="dxa"/>
              <w:end w:w="120" w:type="dxa"/>
            </w:tcMar>
            <w:vAlign w:val="center"/>
          </w:tcPr>
          <w:p>
            <w:r>
              <w:rPr>
                <w:sz w:val="18"/>
              </w:rPr>
              <w:t>Product, engineering, investigation leads, security/privacy reviewers, QA, governance</w:t>
            </w:r>
          </w:p>
        </w:tc>
      </w:tr>
      <w:tr>
        <w:tc>
          <w:tcPr>
            <w:tcW w:type="dxa" w:w="2304"/>
            <w:tcMar>
              <w:top w:w="100" w:type="dxa"/>
              <w:start w:w="120" w:type="dxa"/>
              <w:bottom w:w="100" w:type="dxa"/>
              <w:end w:w="120" w:type="dxa"/>
            </w:tcMar>
            <w:vAlign w:val="center"/>
          </w:tcPr>
          <w:p>
            <w:r>
              <w:rPr>
                <w:sz w:val="18"/>
              </w:rPr>
              <w:t>Upstream specifications</w:t>
            </w:r>
          </w:p>
        </w:tc>
        <w:tc>
          <w:tcPr>
            <w:tcW w:type="dxa" w:w="8064"/>
            <w:tcMar>
              <w:top w:w="100" w:type="dxa"/>
              <w:start w:w="120" w:type="dxa"/>
              <w:bottom w:w="100" w:type="dxa"/>
              <w:end w:w="120" w:type="dxa"/>
            </w:tcMar>
            <w:vAlign w:val="center"/>
          </w:tcPr>
          <w:p>
            <w:r>
              <w:rPr>
                <w:sz w:val="18"/>
              </w:rPr>
              <w:t>CS-AML Framework; Goals &amp; Non-Goals; Typology Catalogue; Investigation Methodology; Data Model Specification; Control Implementation Guide; Technology Architecture; Product &amp; Feature Specification</w:t>
            </w:r>
          </w:p>
        </w:tc>
      </w:tr>
      <w:tr>
        <w:tc>
          <w:tcPr>
            <w:tcW w:type="dxa" w:w="2304"/>
            <w:tcMar>
              <w:top w:w="100" w:type="dxa"/>
              <w:start w:w="120" w:type="dxa"/>
              <w:bottom w:w="100" w:type="dxa"/>
              <w:end w:w="120" w:type="dxa"/>
            </w:tcMar>
            <w:vAlign w:val="center"/>
          </w:tcPr>
          <w:p>
            <w:r>
              <w:rPr>
                <w:sz w:val="18"/>
              </w:rPr>
              <w:t>Normative intent</w:t>
            </w:r>
          </w:p>
        </w:tc>
        <w:tc>
          <w:tcPr>
            <w:tcW w:type="dxa" w:w="8064"/>
            <w:tcMar>
              <w:top w:w="100" w:type="dxa"/>
              <w:start w:w="120" w:type="dxa"/>
              <w:bottom w:w="100" w:type="dxa"/>
              <w:end w:w="120" w:type="dxa"/>
            </w:tcMar>
            <w:vAlign w:val="center"/>
          </w:tcPr>
          <w:p>
            <w:r>
              <w:rPr>
                <w:sz w:val="18"/>
              </w:rPr>
              <w:t>Defines product outcomes and MVP requirements. Detailed data semantics, controls, and architecture remain governed by their respective specifications.</w:t>
            </w:r>
          </w:p>
        </w:tc>
      </w:tr>
    </w:tbl>
    <w:p>
      <w:pPr>
        <w:spacing w:after="20"/>
      </w:pPr>
    </w:p>
    <w:p>
      <w:pPr>
        <w:pStyle w:val="Heading1"/>
      </w:pPr>
      <w:r>
        <w:t>1. Executive Summary</w:t>
      </w:r>
    </w:p>
    <w:p>
      <w:r>
        <w:t>CS-AML is a civil-society financial intelligence and AML investigation platform. It is designed for organisations that investigate corruption, fraud, environmental crime, illicit financial flows, procurement abuse, beneficial-ownership concealment, sanctions/PEP exposure, and related public-interest issues without possessing privileged core-banking access.</w:t>
      </w:r>
    </w:p>
    <w:p>
      <w:r>
        <w:t>The product does not attempt to replicate a bank transaction-monitoring system. Its primary job is to turn lawful public-source and legitimately obtained information into a structured, reviewable intelligence process: Source → Evidence → Fact → Indicator → Hypothesis → Assessment → Intelligence Product.</w:t>
      </w:r>
    </w:p>
    <w:tbl>
      <w:tblPr>
        <w:tblStyle w:val="TableGrid"/>
        <w:tblW w:type="auto" w:w="0"/>
        <w:jc w:val="center"/>
        <w:tblLook w:firstColumn="1" w:firstRow="1" w:lastColumn="0" w:lastRow="0" w:noHBand="0" w:noVBand="1" w:val="04A0"/>
      </w:tblPr>
      <w:tblGrid>
        <w:gridCol w:w="9878"/>
      </w:tblGrid>
      <w:tr>
        <w:tc>
          <w:tcPr>
            <w:tcW w:type="dxa" w:w="9878"/>
            <w:shd w:fill="EAF1F6"/>
            <w:tcMar>
              <w:top w:w="150" w:type="dxa"/>
              <w:start w:w="180" w:type="dxa"/>
              <w:bottom w:w="150" w:type="dxa"/>
              <w:end w:w="180" w:type="dxa"/>
            </w:tcMar>
          </w:tcPr>
          <w:p>
            <w:r>
              <w:rPr>
                <w:b/>
                <w:color w:val="19304A"/>
                <w:sz w:val="22"/>
              </w:rPr>
              <w:t>MVP decision</w:t>
              <w:br/>
            </w:r>
            <w:r>
              <w:rPr>
                <w:sz w:val="20"/>
              </w:rPr>
              <w:t>MVP 0.1 focuses on the complete investigation loop for one organisation: open a case, preserve sources/evidence, resolve entities, map relationships/assets/events/value flows, test typologies and hypotheses, draft an assessment, peer-review it, and generate a controlled intelligence product. Cross-organisation federation, advanced network science, crypto analytics, and autonomous AI are explicitly deferred.</w:t>
            </w:r>
          </w:p>
        </w:tc>
      </w:tr>
    </w:tbl>
    <w:p>
      <w:pPr>
        <w:spacing w:after="40"/>
      </w:pPr>
    </w:p>
    <w:p>
      <w:pPr>
        <w:pStyle w:val="Heading1"/>
      </w:pPr>
      <w:r>
        <w:t>2. Product Problem</w:t>
      </w:r>
    </w:p>
    <w:p>
      <w:pPr>
        <w:pStyle w:val="Heading2"/>
      </w:pPr>
      <w:r>
        <w:t>2.1 Problem statement</w:t>
      </w:r>
    </w:p>
    <w:p>
      <w:r>
        <w:t>Civil-society investigations frequently begin with fragmented documents, public registries, spreadsheets, media reporting, procurement records, court decisions, tips, and analyst notes. Existing tools may support document search, graph analysis, or case management, but they rarely enforce an end-to-end discipline that preserves provenance, distinguishes fact from inference, supports competing hypotheses, and produces auditable financial-intelligence products.</w:t>
      </w:r>
    </w:p>
    <w:p>
      <w:pPr>
        <w:pStyle w:val="Heading2"/>
      </w:pPr>
      <w:r>
        <w:t>2.2 User pain points</w:t>
      </w:r>
    </w:p>
    <w:p>
      <w:pPr>
        <w:pStyle w:val="ListBullet"/>
      </w:pPr>
      <w:r>
        <w:t>Investigators lose time reconstructing where a claim came from and whether a source was preserved.</w:t>
      </w:r>
    </w:p>
    <w:p>
      <w:pPr>
        <w:pStyle w:val="ListBullet"/>
      </w:pPr>
      <w:r>
        <w:t>Entity duplication creates false relationships and inconsistent case histories.</w:t>
      </w:r>
    </w:p>
    <w:p>
      <w:pPr>
        <w:pStyle w:val="ListBullet"/>
      </w:pPr>
      <w:r>
        <w:t>Graphs can visually overstate certainty because an edge may look equally “real” whether observed, inferred, or disputed.</w:t>
      </w:r>
    </w:p>
    <w:p>
      <w:pPr>
        <w:pStyle w:val="ListBullet"/>
      </w:pPr>
      <w:r>
        <w:t>Value flows are often reconstructed from contracts, assets, and ownership events rather than direct bank transactions, yet existing tools do not always preserve that distinction.</w:t>
      </w:r>
    </w:p>
    <w:p>
      <w:pPr>
        <w:pStyle w:val="ListBullet"/>
      </w:pPr>
      <w:r>
        <w:t>Hypotheses, counter-evidence, intelligence gaps, and confidence judgements are commonly kept in prose rather than structured form.</w:t>
      </w:r>
    </w:p>
    <w:p>
      <w:pPr>
        <w:pStyle w:val="ListBullet"/>
      </w:pPr>
      <w:r>
        <w:t>Peer review and dissemination approval are often external to the investigative record.</w:t>
      </w:r>
    </w:p>
    <w:p>
      <w:pPr>
        <w:pStyle w:val="ListBullet"/>
      </w:pPr>
      <w:r>
        <w:t>Cross-case reuse of entities and evidence is difficult without sacrificing compartmentalisation.</w:t>
      </w:r>
    </w:p>
    <w:p>
      <w:pPr>
        <w:pStyle w:val="ListBullet"/>
      </w:pPr>
      <w:r>
        <w:t>High-risk personal data and protected-source information require stronger controls than generic research tools provide.</w:t>
      </w:r>
    </w:p>
    <w:p>
      <w:pPr>
        <w:pStyle w:val="Heading1"/>
      </w:pPr>
      <w:r>
        <w:t>3. Product Vision and Positioning</w:t>
      </w:r>
    </w:p>
    <w:p>
      <w:pPr>
        <w:pStyle w:val="Heading2"/>
      </w:pPr>
      <w:r>
        <w:t>3.1 Vision</w:t>
      </w:r>
    </w:p>
    <w:p>
      <w:r>
        <w:t>Enable civil-society investigators to build defensible financial-intelligence assessments from lawful information with the same discipline expected of professional intelligence work, without pretending to possess investigative powers or financial-system access that they do not have.</w:t>
      </w:r>
    </w:p>
    <w:p>
      <w:pPr>
        <w:pStyle w:val="Heading2"/>
      </w:pPr>
      <w:r>
        <w:t>3.2 Product category</w:t>
      </w:r>
    </w:p>
    <w:p>
      <w:r>
        <w:t>CS-AML is best positioned as a Civil Society Financial Intelligence &amp; Investigation Platform. It combines case management, evidence/provenance, entity and asset analysis, graph investigation, follow-the-value reconstruction, typology analysis, hypothesis testing, and controlled intelligence-product generation.</w:t>
      </w:r>
    </w:p>
    <w:p>
      <w:pPr>
        <w:pStyle w:val="Heading2"/>
      </w:pPr>
      <w:r>
        <w:t>3.3 Differentiation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9304A"/>
            <w:tcMar>
              <w:top w:w="100" w:type="dxa"/>
              <w:start w:w="120" w:type="dxa"/>
              <w:bottom w:w="100" w:type="dxa"/>
              <w:end w:w="120" w:type="dxa"/>
            </w:tcMar>
            <w:vAlign w:val="center"/>
          </w:tcPr>
          <w:p>
            <w:r>
              <w:rPr>
                <w:b/>
                <w:color w:val="FFFFFF"/>
                <w:sz w:val="18"/>
              </w:rPr>
              <w:t>Differentiator</w:t>
            </w:r>
          </w:p>
        </w:tc>
        <w:tc>
          <w:tcPr>
            <w:tcW w:type="dxa" w:w="7776"/>
            <w:shd w:fill="19304A"/>
            <w:tcMar>
              <w:top w:w="100" w:type="dxa"/>
              <w:start w:w="120" w:type="dxa"/>
              <w:bottom w:w="100" w:type="dxa"/>
              <w:end w:w="120" w:type="dxa"/>
            </w:tcMar>
            <w:vAlign w:val="center"/>
          </w:tcPr>
          <w:p>
            <w:r>
              <w:rPr>
                <w:b/>
                <w:color w:val="FFFFFF"/>
                <w:sz w:val="18"/>
              </w:rPr>
              <w:t>Required product behaviour</w:t>
            </w:r>
          </w:p>
        </w:tc>
      </w:tr>
      <w:tr>
        <w:tc>
          <w:tcPr>
            <w:tcW w:type="dxa" w:w="2592"/>
            <w:tcMar>
              <w:top w:w="100" w:type="dxa"/>
              <w:start w:w="120" w:type="dxa"/>
              <w:bottom w:w="100" w:type="dxa"/>
              <w:end w:w="120" w:type="dxa"/>
            </w:tcMar>
            <w:vAlign w:val="center"/>
          </w:tcPr>
          <w:p>
            <w:r>
              <w:rPr>
                <w:sz w:val="18"/>
              </w:rPr>
              <w:t>Evidence-first</w:t>
            </w:r>
          </w:p>
        </w:tc>
        <w:tc>
          <w:tcPr>
            <w:tcW w:type="dxa" w:w="7776"/>
            <w:tcMar>
              <w:top w:w="100" w:type="dxa"/>
              <w:start w:w="120" w:type="dxa"/>
              <w:bottom w:w="100" w:type="dxa"/>
              <w:end w:w="120" w:type="dxa"/>
            </w:tcMar>
            <w:vAlign w:val="center"/>
          </w:tcPr>
          <w:p>
            <w:r>
              <w:rPr>
                <w:sz w:val="18"/>
              </w:rPr>
              <w:t>Every material finding can be traced to source/evidence.</w:t>
            </w:r>
          </w:p>
        </w:tc>
      </w:tr>
      <w:tr>
        <w:tc>
          <w:tcPr>
            <w:tcW w:type="dxa" w:w="2592"/>
            <w:tcMar>
              <w:top w:w="100" w:type="dxa"/>
              <w:start w:w="120" w:type="dxa"/>
              <w:bottom w:w="100" w:type="dxa"/>
              <w:end w:w="120" w:type="dxa"/>
            </w:tcMar>
            <w:vAlign w:val="center"/>
          </w:tcPr>
          <w:p>
            <w:r>
              <w:rPr>
                <w:sz w:val="18"/>
              </w:rPr>
              <w:t>Analytical separation</w:t>
            </w:r>
          </w:p>
        </w:tc>
        <w:tc>
          <w:tcPr>
            <w:tcW w:type="dxa" w:w="7776"/>
            <w:tcMar>
              <w:top w:w="100" w:type="dxa"/>
              <w:start w:w="120" w:type="dxa"/>
              <w:bottom w:w="100" w:type="dxa"/>
              <w:end w:w="120" w:type="dxa"/>
            </w:tcMar>
            <w:vAlign w:val="center"/>
          </w:tcPr>
          <w:p>
            <w:r>
              <w:rPr>
                <w:sz w:val="18"/>
              </w:rPr>
              <w:t>Fact, indicator, hypothesis, assessment, and allegation remain distinct objects/states.</w:t>
            </w:r>
          </w:p>
        </w:tc>
      </w:tr>
      <w:tr>
        <w:tc>
          <w:tcPr>
            <w:tcW w:type="dxa" w:w="2592"/>
            <w:tcMar>
              <w:top w:w="100" w:type="dxa"/>
              <w:start w:w="120" w:type="dxa"/>
              <w:bottom w:w="100" w:type="dxa"/>
              <w:end w:w="120" w:type="dxa"/>
            </w:tcMar>
            <w:vAlign w:val="center"/>
          </w:tcPr>
          <w:p>
            <w:r>
              <w:rPr>
                <w:sz w:val="18"/>
              </w:rPr>
              <w:t>Follow-the-value</w:t>
            </w:r>
          </w:p>
        </w:tc>
        <w:tc>
          <w:tcPr>
            <w:tcW w:type="dxa" w:w="7776"/>
            <w:tcMar>
              <w:top w:w="100" w:type="dxa"/>
              <w:start w:w="120" w:type="dxa"/>
              <w:bottom w:w="100" w:type="dxa"/>
              <w:end w:w="120" w:type="dxa"/>
            </w:tcMar>
            <w:vAlign w:val="center"/>
          </w:tcPr>
          <w:p>
            <w:r>
              <w:rPr>
                <w:sz w:val="18"/>
              </w:rPr>
              <w:t>Supports direct, documented, reconstructed, and hypothetical flows without conflating them.</w:t>
            </w:r>
          </w:p>
        </w:tc>
      </w:tr>
      <w:tr>
        <w:tc>
          <w:tcPr>
            <w:tcW w:type="dxa" w:w="2592"/>
            <w:tcMar>
              <w:top w:w="100" w:type="dxa"/>
              <w:start w:w="120" w:type="dxa"/>
              <w:bottom w:w="100" w:type="dxa"/>
              <w:end w:w="120" w:type="dxa"/>
            </w:tcMar>
            <w:vAlign w:val="center"/>
          </w:tcPr>
          <w:p>
            <w:r>
              <w:rPr>
                <w:sz w:val="18"/>
              </w:rPr>
              <w:t>Reversible identity decisions</w:t>
            </w:r>
          </w:p>
        </w:tc>
        <w:tc>
          <w:tcPr>
            <w:tcW w:type="dxa" w:w="7776"/>
            <w:tcMar>
              <w:top w:w="100" w:type="dxa"/>
              <w:start w:w="120" w:type="dxa"/>
              <w:bottom w:w="100" w:type="dxa"/>
              <w:end w:w="120" w:type="dxa"/>
            </w:tcMar>
            <w:vAlign w:val="center"/>
          </w:tcPr>
          <w:p>
            <w:r>
              <w:rPr>
                <w:sz w:val="18"/>
              </w:rPr>
              <w:t>Entity resolution and merges are evidence-based, reviewable, and reversible.</w:t>
            </w:r>
          </w:p>
        </w:tc>
      </w:tr>
      <w:tr>
        <w:tc>
          <w:tcPr>
            <w:tcW w:type="dxa" w:w="2592"/>
            <w:tcMar>
              <w:top w:w="100" w:type="dxa"/>
              <w:start w:w="120" w:type="dxa"/>
              <w:bottom w:w="100" w:type="dxa"/>
              <w:end w:w="120" w:type="dxa"/>
            </w:tcMar>
            <w:vAlign w:val="center"/>
          </w:tcPr>
          <w:p>
            <w:r>
              <w:rPr>
                <w:sz w:val="18"/>
              </w:rPr>
              <w:t>Civil-society safety</w:t>
            </w:r>
          </w:p>
        </w:tc>
        <w:tc>
          <w:tcPr>
            <w:tcW w:type="dxa" w:w="7776"/>
            <w:tcMar>
              <w:top w:w="100" w:type="dxa"/>
              <w:start w:w="120" w:type="dxa"/>
              <w:bottom w:w="100" w:type="dxa"/>
              <w:end w:w="120" w:type="dxa"/>
            </w:tcMar>
            <w:vAlign w:val="center"/>
          </w:tcPr>
          <w:p>
            <w:r>
              <w:rPr>
                <w:sz w:val="18"/>
              </w:rPr>
              <w:t>Data minimisation, source protection, compartmentalisation, and controlled dissemination are native.</w:t>
            </w:r>
          </w:p>
        </w:tc>
      </w:tr>
      <w:tr>
        <w:tc>
          <w:tcPr>
            <w:tcW w:type="dxa" w:w="2592"/>
            <w:tcMar>
              <w:top w:w="100" w:type="dxa"/>
              <w:start w:w="120" w:type="dxa"/>
              <w:bottom w:w="100" w:type="dxa"/>
              <w:end w:w="120" w:type="dxa"/>
            </w:tcMar>
            <w:vAlign w:val="center"/>
          </w:tcPr>
          <w:p>
            <w:r>
              <w:rPr>
                <w:sz w:val="18"/>
              </w:rPr>
              <w:t>Intelligence discipline</w:t>
            </w:r>
          </w:p>
        </w:tc>
        <w:tc>
          <w:tcPr>
            <w:tcW w:type="dxa" w:w="7776"/>
            <w:tcMar>
              <w:top w:w="100" w:type="dxa"/>
              <w:start w:w="120" w:type="dxa"/>
              <w:bottom w:w="100" w:type="dxa"/>
              <w:end w:w="120" w:type="dxa"/>
            </w:tcMar>
            <w:vAlign w:val="center"/>
          </w:tcPr>
          <w:p>
            <w:r>
              <w:rPr>
                <w:sz w:val="18"/>
              </w:rPr>
              <w:t>Alternative hypotheses, disconfirming evidence, confidence, and gaps are part of the workflow—not optional notes.</w:t>
            </w:r>
          </w:p>
        </w:tc>
      </w:tr>
    </w:tbl>
    <w:p>
      <w:pPr>
        <w:spacing w:after="20"/>
      </w:pPr>
    </w:p>
    <w:p>
      <w:pPr>
        <w:pStyle w:val="Heading1"/>
      </w:pPr>
      <w:r>
        <w:t>4. Product Goals and Non-Goals</w:t>
      </w:r>
    </w:p>
    <w:p>
      <w:pPr>
        <w:pStyle w:val="Heading2"/>
      </w:pPr>
      <w:r>
        <w:t>4.1 Goals</w:t>
      </w:r>
    </w:p>
    <w:p>
      <w:pPr>
        <w:pStyle w:val="ListNumber"/>
      </w:pPr>
      <w:r>
        <w:t>Reduce the time required to turn fragmented source material into a structured investigation.</w:t>
      </w:r>
    </w:p>
    <w:p>
      <w:pPr>
        <w:pStyle w:val="ListNumber"/>
      </w:pPr>
      <w:r>
        <w:t>Increase the proportion of material findings with complete provenance and evidence lineage.</w:t>
      </w:r>
    </w:p>
    <w:p>
      <w:pPr>
        <w:pStyle w:val="ListNumber"/>
      </w:pPr>
      <w:r>
        <w:t>Enable investigators to reconstruct ownership, control, assets, events, and value flows without privileged bank access.</w:t>
      </w:r>
    </w:p>
    <w:p>
      <w:pPr>
        <w:pStyle w:val="ListNumber"/>
      </w:pPr>
      <w:r>
        <w:t>Reduce analytical errors caused by entity confusion, unsupported graph edges, confirmation bias, or lost context.</w:t>
      </w:r>
    </w:p>
    <w:p>
      <w:pPr>
        <w:pStyle w:val="ListNumber"/>
      </w:pPr>
      <w:r>
        <w:t>Make high-impact intelligence products independently reviewable and reproducible.</w:t>
      </w:r>
    </w:p>
    <w:p>
      <w:pPr>
        <w:pStyle w:val="ListNumber"/>
      </w:pPr>
      <w:r>
        <w:t>Provide a secure, role-aware workspace suitable for sensitive civil-society investigations.</w:t>
      </w:r>
    </w:p>
    <w:p>
      <w:pPr>
        <w:pStyle w:val="ListNumber"/>
      </w:pPr>
      <w:r>
        <w:t>Provide an architecture that can integrate mature external tools rather than rebuilding generic capabilities unnecessarily.</w:t>
      </w:r>
    </w:p>
    <w:p>
      <w:pPr>
        <w:pStyle w:val="Heading2"/>
      </w:pPr>
      <w:r>
        <w:t>4.2 Non-goals for MVP 0.1</w:t>
      </w:r>
    </w:p>
    <w:p>
      <w:pPr>
        <w:pStyle w:val="ListBullet"/>
      </w:pPr>
      <w:r>
        <w:t>Bank-grade real-time transaction monitoring or regulatory STR/SAR submission automation.</w:t>
      </w:r>
    </w:p>
    <w:p>
      <w:pPr>
        <w:pStyle w:val="ListBullet"/>
      </w:pPr>
      <w:r>
        <w:t>Automatic determination that a person committed money laundering or another offence.</w:t>
      </w:r>
    </w:p>
    <w:p>
      <w:pPr>
        <w:pStyle w:val="ListBullet"/>
      </w:pPr>
      <w:r>
        <w:t>Autonomous publication, referral, entity merge, or adverse assessment by AI.</w:t>
      </w:r>
    </w:p>
    <w:p>
      <w:pPr>
        <w:pStyle w:val="ListBullet"/>
      </w:pPr>
      <w:r>
        <w:t>Covert collection, hacking, credential theft, interception, or access to restricted financial systems.</w:t>
      </w:r>
    </w:p>
    <w:p>
      <w:pPr>
        <w:pStyle w:val="ListBullet"/>
      </w:pPr>
      <w:r>
        <w:t>Full blockchain analytics engine.</w:t>
      </w:r>
    </w:p>
    <w:p>
      <w:pPr>
        <w:pStyle w:val="ListBullet"/>
      </w:pPr>
      <w:r>
        <w:t>Cross-organisation federation or shared multi-tenant intelligence network.</w:t>
      </w:r>
    </w:p>
    <w:p>
      <w:pPr>
        <w:pStyle w:val="ListBullet"/>
      </w:pPr>
      <w:r>
        <w:t>Advanced predictive risk scoring presented as an authoritative decision.</w:t>
      </w:r>
    </w:p>
    <w:p>
      <w:pPr>
        <w:pStyle w:val="Heading1"/>
      </w:pPr>
      <w:r>
        <w:t>5. Target Users and Jobs-to-be-Done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shd w:fill="19304A"/>
            <w:tcMar>
              <w:top w:w="100" w:type="dxa"/>
              <w:start w:w="120" w:type="dxa"/>
              <w:bottom w:w="100" w:type="dxa"/>
              <w:end w:w="120" w:type="dxa"/>
            </w:tcMar>
            <w:vAlign w:val="center"/>
          </w:tcPr>
          <w:p>
            <w:r>
              <w:rPr>
                <w:b/>
                <w:color w:val="FFFFFF"/>
                <w:sz w:val="17"/>
              </w:rPr>
              <w:t>Role</w:t>
            </w:r>
          </w:p>
        </w:tc>
        <w:tc>
          <w:tcPr>
            <w:tcW w:type="dxa" w:w="3240"/>
            <w:shd w:fill="19304A"/>
            <w:tcMar>
              <w:top w:w="100" w:type="dxa"/>
              <w:start w:w="120" w:type="dxa"/>
              <w:bottom w:w="100" w:type="dxa"/>
              <w:end w:w="120" w:type="dxa"/>
            </w:tcMar>
            <w:vAlign w:val="center"/>
          </w:tcPr>
          <w:p>
            <w:r>
              <w:rPr>
                <w:b/>
                <w:color w:val="FFFFFF"/>
                <w:sz w:val="17"/>
              </w:rPr>
              <w:t>Primary job</w:t>
            </w:r>
          </w:p>
        </w:tc>
        <w:tc>
          <w:tcPr>
            <w:tcW w:type="dxa" w:w="5040"/>
            <w:shd w:fill="19304A"/>
            <w:tcMar>
              <w:top w:w="100" w:type="dxa"/>
              <w:start w:w="120" w:type="dxa"/>
              <w:bottom w:w="100" w:type="dxa"/>
              <w:end w:w="120" w:type="dxa"/>
            </w:tcMar>
            <w:vAlign w:val="center"/>
          </w:tcPr>
          <w:p>
            <w:r>
              <w:rPr>
                <w:b/>
                <w:color w:val="FFFFFF"/>
                <w:sz w:val="17"/>
              </w:rPr>
              <w:t>Core need</w:t>
            </w:r>
          </w:p>
        </w:tc>
      </w:tr>
      <w:tr>
        <w:tc>
          <w:tcPr>
            <w:tcW w:type="dxa" w:w="2088"/>
            <w:tcMar>
              <w:top w:w="100" w:type="dxa"/>
              <w:start w:w="120" w:type="dxa"/>
              <w:bottom w:w="100" w:type="dxa"/>
              <w:end w:w="120" w:type="dxa"/>
            </w:tcMar>
            <w:vAlign w:val="center"/>
          </w:tcPr>
          <w:p>
            <w:r>
              <w:rPr>
                <w:sz w:val="17"/>
              </w:rPr>
              <w:t>Investigator / Analyst</w:t>
            </w:r>
          </w:p>
        </w:tc>
        <w:tc>
          <w:tcPr>
            <w:tcW w:type="dxa" w:w="3240"/>
            <w:tcMar>
              <w:top w:w="100" w:type="dxa"/>
              <w:start w:w="120" w:type="dxa"/>
              <w:bottom w:w="100" w:type="dxa"/>
              <w:end w:w="120" w:type="dxa"/>
            </w:tcMar>
            <w:vAlign w:val="center"/>
          </w:tcPr>
          <w:p>
            <w:r>
              <w:rPr>
                <w:sz w:val="17"/>
              </w:rPr>
              <w:t>Build and test a financial-intelligence case</w:t>
            </w:r>
          </w:p>
        </w:tc>
        <w:tc>
          <w:tcPr>
            <w:tcW w:type="dxa" w:w="5040"/>
            <w:tcMar>
              <w:top w:w="100" w:type="dxa"/>
              <w:start w:w="120" w:type="dxa"/>
              <w:bottom w:w="100" w:type="dxa"/>
              <w:end w:w="120" w:type="dxa"/>
            </w:tcMar>
            <w:vAlign w:val="center"/>
          </w:tcPr>
          <w:p>
            <w:r>
              <w:rPr>
                <w:sz w:val="17"/>
              </w:rPr>
              <w:t>I need to collect, structure, connect, test, and explain information without losing provenance or uncertainty.</w:t>
            </w:r>
          </w:p>
        </w:tc>
      </w:tr>
      <w:tr>
        <w:tc>
          <w:tcPr>
            <w:tcW w:type="dxa" w:w="2088"/>
            <w:tcMar>
              <w:top w:w="100" w:type="dxa"/>
              <w:start w:w="120" w:type="dxa"/>
              <w:bottom w:w="100" w:type="dxa"/>
              <w:end w:w="120" w:type="dxa"/>
            </w:tcMar>
            <w:vAlign w:val="center"/>
          </w:tcPr>
          <w:p>
            <w:r>
              <w:rPr>
                <w:sz w:val="17"/>
              </w:rPr>
              <w:t>Investigation Lead / Case Owner</w:t>
            </w:r>
          </w:p>
        </w:tc>
        <w:tc>
          <w:tcPr>
            <w:tcW w:type="dxa" w:w="3240"/>
            <w:tcMar>
              <w:top w:w="100" w:type="dxa"/>
              <w:start w:w="120" w:type="dxa"/>
              <w:bottom w:w="100" w:type="dxa"/>
              <w:end w:w="120" w:type="dxa"/>
            </w:tcMar>
            <w:vAlign w:val="center"/>
          </w:tcPr>
          <w:p>
            <w:r>
              <w:rPr>
                <w:sz w:val="17"/>
              </w:rPr>
              <w:t>Control scope, risk, priorities, and decisions</w:t>
            </w:r>
          </w:p>
        </w:tc>
        <w:tc>
          <w:tcPr>
            <w:tcW w:type="dxa" w:w="5040"/>
            <w:tcMar>
              <w:top w:w="100" w:type="dxa"/>
              <w:start w:w="120" w:type="dxa"/>
              <w:bottom w:w="100" w:type="dxa"/>
              <w:end w:w="120" w:type="dxa"/>
            </w:tcMar>
            <w:vAlign w:val="center"/>
          </w:tcPr>
          <w:p>
            <w:r>
              <w:rPr>
                <w:sz w:val="17"/>
              </w:rPr>
              <w:t>I need to know what is in scope, what remains unknown, and whether the case is ready to advance.</w:t>
            </w:r>
          </w:p>
        </w:tc>
      </w:tr>
      <w:tr>
        <w:tc>
          <w:tcPr>
            <w:tcW w:type="dxa" w:w="2088"/>
            <w:tcMar>
              <w:top w:w="100" w:type="dxa"/>
              <w:start w:w="120" w:type="dxa"/>
              <w:bottom w:w="100" w:type="dxa"/>
              <w:end w:w="120" w:type="dxa"/>
            </w:tcMar>
            <w:vAlign w:val="center"/>
          </w:tcPr>
          <w:p>
            <w:r>
              <w:rPr>
                <w:sz w:val="17"/>
              </w:rPr>
              <w:t>Peer Reviewer / Red Team</w:t>
            </w:r>
          </w:p>
        </w:tc>
        <w:tc>
          <w:tcPr>
            <w:tcW w:type="dxa" w:w="3240"/>
            <w:tcMar>
              <w:top w:w="100" w:type="dxa"/>
              <w:start w:w="120" w:type="dxa"/>
              <w:bottom w:w="100" w:type="dxa"/>
              <w:end w:w="120" w:type="dxa"/>
            </w:tcMar>
            <w:vAlign w:val="center"/>
          </w:tcPr>
          <w:p>
            <w:r>
              <w:rPr>
                <w:sz w:val="17"/>
              </w:rPr>
              <w:t>Challenge findings independently</w:t>
            </w:r>
          </w:p>
        </w:tc>
        <w:tc>
          <w:tcPr>
            <w:tcW w:type="dxa" w:w="5040"/>
            <w:tcMar>
              <w:top w:w="100" w:type="dxa"/>
              <w:start w:w="120" w:type="dxa"/>
              <w:bottom w:w="100" w:type="dxa"/>
              <w:end w:w="120" w:type="dxa"/>
            </w:tcMar>
            <w:vAlign w:val="center"/>
          </w:tcPr>
          <w:p>
            <w:r>
              <w:rPr>
                <w:sz w:val="17"/>
              </w:rPr>
              <w:t>I need to trace claims to evidence, inspect alternatives, and identify unsupported leaps.</w:t>
            </w:r>
          </w:p>
        </w:tc>
      </w:tr>
      <w:tr>
        <w:tc>
          <w:tcPr>
            <w:tcW w:type="dxa" w:w="2088"/>
            <w:tcMar>
              <w:top w:w="100" w:type="dxa"/>
              <w:start w:w="120" w:type="dxa"/>
              <w:bottom w:w="100" w:type="dxa"/>
              <w:end w:w="120" w:type="dxa"/>
            </w:tcMar>
            <w:vAlign w:val="center"/>
          </w:tcPr>
          <w:p>
            <w:r>
              <w:rPr>
                <w:sz w:val="17"/>
              </w:rPr>
              <w:t>Evidence Custodian / Data Steward</w:t>
            </w:r>
          </w:p>
        </w:tc>
        <w:tc>
          <w:tcPr>
            <w:tcW w:type="dxa" w:w="3240"/>
            <w:tcMar>
              <w:top w:w="100" w:type="dxa"/>
              <w:start w:w="120" w:type="dxa"/>
              <w:bottom w:w="100" w:type="dxa"/>
              <w:end w:w="120" w:type="dxa"/>
            </w:tcMar>
            <w:vAlign w:val="center"/>
          </w:tcPr>
          <w:p>
            <w:r>
              <w:rPr>
                <w:sz w:val="17"/>
              </w:rPr>
              <w:t>Protect evidence and data quality</w:t>
            </w:r>
          </w:p>
        </w:tc>
        <w:tc>
          <w:tcPr>
            <w:tcW w:type="dxa" w:w="5040"/>
            <w:tcMar>
              <w:top w:w="100" w:type="dxa"/>
              <w:start w:w="120" w:type="dxa"/>
              <w:bottom w:w="100" w:type="dxa"/>
              <w:end w:w="120" w:type="dxa"/>
            </w:tcMar>
            <w:vAlign w:val="center"/>
          </w:tcPr>
          <w:p>
            <w:r>
              <w:rPr>
                <w:sz w:val="17"/>
              </w:rPr>
              <w:t>I need to preserve originals, lineage, identifiers, merge history, retention, and integrity.</w:t>
            </w:r>
          </w:p>
        </w:tc>
      </w:tr>
      <w:tr>
        <w:tc>
          <w:tcPr>
            <w:tcW w:type="dxa" w:w="2088"/>
            <w:tcMar>
              <w:top w:w="100" w:type="dxa"/>
              <w:start w:w="120" w:type="dxa"/>
              <w:bottom w:w="100" w:type="dxa"/>
              <w:end w:w="120" w:type="dxa"/>
            </w:tcMar>
            <w:vAlign w:val="center"/>
          </w:tcPr>
          <w:p>
            <w:r>
              <w:rPr>
                <w:sz w:val="17"/>
              </w:rPr>
              <w:t>Security / Privacy Reviewer</w:t>
            </w:r>
          </w:p>
        </w:tc>
        <w:tc>
          <w:tcPr>
            <w:tcW w:type="dxa" w:w="3240"/>
            <w:tcMar>
              <w:top w:w="100" w:type="dxa"/>
              <w:start w:w="120" w:type="dxa"/>
              <w:bottom w:w="100" w:type="dxa"/>
              <w:end w:w="120" w:type="dxa"/>
            </w:tcMar>
            <w:vAlign w:val="center"/>
          </w:tcPr>
          <w:p>
            <w:r>
              <w:rPr>
                <w:sz w:val="17"/>
              </w:rPr>
              <w:t>Control sensitive data and exposure</w:t>
            </w:r>
          </w:p>
        </w:tc>
        <w:tc>
          <w:tcPr>
            <w:tcW w:type="dxa" w:w="5040"/>
            <w:tcMar>
              <w:top w:w="100" w:type="dxa"/>
              <w:start w:w="120" w:type="dxa"/>
              <w:bottom w:w="100" w:type="dxa"/>
              <w:end w:w="120" w:type="dxa"/>
            </w:tcMar>
            <w:vAlign w:val="center"/>
          </w:tcPr>
          <w:p>
            <w:r>
              <w:rPr>
                <w:sz w:val="17"/>
              </w:rPr>
              <w:t>I need visibility into classification, access, source protection, export, and retention decisions.</w:t>
            </w:r>
          </w:p>
        </w:tc>
      </w:tr>
      <w:tr>
        <w:tc>
          <w:tcPr>
            <w:tcW w:type="dxa" w:w="2088"/>
            <w:tcMar>
              <w:top w:w="100" w:type="dxa"/>
              <w:start w:w="120" w:type="dxa"/>
              <w:bottom w:w="100" w:type="dxa"/>
              <w:end w:w="120" w:type="dxa"/>
            </w:tcMar>
            <w:vAlign w:val="center"/>
          </w:tcPr>
          <w:p>
            <w:r>
              <w:rPr>
                <w:sz w:val="17"/>
              </w:rPr>
              <w:t>Product Approver / Editor</w:t>
            </w:r>
          </w:p>
        </w:tc>
        <w:tc>
          <w:tcPr>
            <w:tcW w:type="dxa" w:w="3240"/>
            <w:tcMar>
              <w:top w:w="100" w:type="dxa"/>
              <w:start w:w="120" w:type="dxa"/>
              <w:bottom w:w="100" w:type="dxa"/>
              <w:end w:w="120" w:type="dxa"/>
            </w:tcMar>
            <w:vAlign w:val="center"/>
          </w:tcPr>
          <w:p>
            <w:r>
              <w:rPr>
                <w:sz w:val="17"/>
              </w:rPr>
              <w:t>Approve an intelligence product for external use</w:t>
            </w:r>
          </w:p>
        </w:tc>
        <w:tc>
          <w:tcPr>
            <w:tcW w:type="dxa" w:w="5040"/>
            <w:tcMar>
              <w:top w:w="100" w:type="dxa"/>
              <w:start w:w="120" w:type="dxa"/>
              <w:bottom w:w="100" w:type="dxa"/>
              <w:end w:w="120" w:type="dxa"/>
            </w:tcMar>
            <w:vAlign w:val="center"/>
          </w:tcPr>
          <w:p>
            <w:r>
              <w:rPr>
                <w:sz w:val="17"/>
              </w:rPr>
              <w:t>I need evidence that identity, uncertainty, legal/privacy risk, and review requirements have been satisfied.</w:t>
            </w:r>
          </w:p>
        </w:tc>
      </w:tr>
      <w:tr>
        <w:tc>
          <w:tcPr>
            <w:tcW w:type="dxa" w:w="2088"/>
            <w:tcMar>
              <w:top w:w="100" w:type="dxa"/>
              <w:start w:w="120" w:type="dxa"/>
              <w:bottom w:w="100" w:type="dxa"/>
              <w:end w:w="120" w:type="dxa"/>
            </w:tcMar>
            <w:vAlign w:val="center"/>
          </w:tcPr>
          <w:p>
            <w:r>
              <w:rPr>
                <w:sz w:val="17"/>
              </w:rPr>
              <w:t>System Administrator</w:t>
            </w:r>
          </w:p>
        </w:tc>
        <w:tc>
          <w:tcPr>
            <w:tcW w:type="dxa" w:w="3240"/>
            <w:tcMar>
              <w:top w:w="100" w:type="dxa"/>
              <w:start w:w="120" w:type="dxa"/>
              <w:bottom w:w="100" w:type="dxa"/>
              <w:end w:w="120" w:type="dxa"/>
            </w:tcMar>
            <w:vAlign w:val="center"/>
          </w:tcPr>
          <w:p>
            <w:r>
              <w:rPr>
                <w:sz w:val="17"/>
              </w:rPr>
              <w:t>Operate the platform safely</w:t>
            </w:r>
          </w:p>
        </w:tc>
        <w:tc>
          <w:tcPr>
            <w:tcW w:type="dxa" w:w="5040"/>
            <w:tcMar>
              <w:top w:w="100" w:type="dxa"/>
              <w:start w:w="120" w:type="dxa"/>
              <w:bottom w:w="100" w:type="dxa"/>
              <w:end w:w="120" w:type="dxa"/>
            </w:tcMar>
            <w:vAlign w:val="center"/>
          </w:tcPr>
          <w:p>
            <w:r>
              <w:rPr>
                <w:sz w:val="17"/>
              </w:rPr>
              <w:t>I need secure identity, permissions, backup, monitoring, auditability, and controlled configuration.</w:t>
            </w:r>
          </w:p>
        </w:tc>
      </w:tr>
    </w:tbl>
    <w:p>
      <w:pPr>
        <w:spacing w:after="20"/>
      </w:pPr>
    </w:p>
    <w:p>
      <w:pPr>
        <w:pStyle w:val="Heading1"/>
      </w:pPr>
      <w:r>
        <w:t>6. Core Product Principles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152"/>
            <w:shd w:fill="19304A"/>
            <w:tcMar>
              <w:top w:w="100" w:type="dxa"/>
              <w:start w:w="120" w:type="dxa"/>
              <w:bottom w:w="100" w:type="dxa"/>
              <w:end w:w="120" w:type="dxa"/>
            </w:tcMar>
            <w:vAlign w:val="center"/>
          </w:tcPr>
          <w:p>
            <w:r>
              <w:rPr>
                <w:b/>
                <w:color w:val="FFFFFF"/>
                <w:sz w:val="18"/>
              </w:rPr>
              <w:t>ID</w:t>
            </w:r>
          </w:p>
        </w:tc>
        <w:tc>
          <w:tcPr>
            <w:tcW w:type="dxa" w:w="9216"/>
            <w:shd w:fill="19304A"/>
            <w:tcMar>
              <w:top w:w="100" w:type="dxa"/>
              <w:start w:w="120" w:type="dxa"/>
              <w:bottom w:w="100" w:type="dxa"/>
              <w:end w:w="120" w:type="dxa"/>
            </w:tcMar>
            <w:vAlign w:val="center"/>
          </w:tcPr>
          <w:p>
            <w:r>
              <w:rPr>
                <w:b/>
                <w:color w:val="FFFFFF"/>
                <w:sz w:val="18"/>
              </w:rPr>
              <w:t>Principle</w:t>
            </w:r>
          </w:p>
        </w:tc>
      </w:tr>
      <w:tr>
        <w:tc>
          <w:tcPr>
            <w:tcW w:type="dxa" w:w="1152"/>
            <w:tcMar>
              <w:top w:w="100" w:type="dxa"/>
              <w:start w:w="120" w:type="dxa"/>
              <w:bottom w:w="100" w:type="dxa"/>
              <w:end w:w="120" w:type="dxa"/>
            </w:tcMar>
            <w:vAlign w:val="center"/>
          </w:tcPr>
          <w:p>
            <w:r>
              <w:rPr>
                <w:sz w:val="18"/>
              </w:rPr>
              <w:t>P-01</w:t>
            </w:r>
          </w:p>
        </w:tc>
        <w:tc>
          <w:tcPr>
            <w:tcW w:type="dxa" w:w="9216"/>
            <w:tcMar>
              <w:top w:w="100" w:type="dxa"/>
              <w:start w:w="120" w:type="dxa"/>
              <w:bottom w:w="100" w:type="dxa"/>
              <w:end w:w="120" w:type="dxa"/>
            </w:tcMar>
            <w:vAlign w:val="center"/>
          </w:tcPr>
          <w:p>
            <w:r>
              <w:rPr>
                <w:sz w:val="18"/>
              </w:rPr>
              <w:t>Case is context; Entity and Evidence are reusable truth-bearing objects.</w:t>
            </w:r>
          </w:p>
        </w:tc>
      </w:tr>
      <w:tr>
        <w:tc>
          <w:tcPr>
            <w:tcW w:type="dxa" w:w="1152"/>
            <w:tcMar>
              <w:top w:w="100" w:type="dxa"/>
              <w:start w:w="120" w:type="dxa"/>
              <w:bottom w:w="100" w:type="dxa"/>
              <w:end w:w="120" w:type="dxa"/>
            </w:tcMar>
            <w:vAlign w:val="center"/>
          </w:tcPr>
          <w:p>
            <w:r>
              <w:rPr>
                <w:sz w:val="18"/>
              </w:rPr>
              <w:t>P-02</w:t>
            </w:r>
          </w:p>
        </w:tc>
        <w:tc>
          <w:tcPr>
            <w:tcW w:type="dxa" w:w="9216"/>
            <w:tcMar>
              <w:top w:w="100" w:type="dxa"/>
              <w:start w:w="120" w:type="dxa"/>
              <w:bottom w:w="100" w:type="dxa"/>
              <w:end w:w="120" w:type="dxa"/>
            </w:tcMar>
            <w:vAlign w:val="center"/>
          </w:tcPr>
          <w:p>
            <w:r>
              <w:rPr>
                <w:sz w:val="18"/>
              </w:rPr>
              <w:t>Technology SHALL preserve analytical uncertainty rather than erase it.</w:t>
            </w:r>
          </w:p>
        </w:tc>
      </w:tr>
      <w:tr>
        <w:tc>
          <w:tcPr>
            <w:tcW w:type="dxa" w:w="1152"/>
            <w:tcMar>
              <w:top w:w="100" w:type="dxa"/>
              <w:start w:w="120" w:type="dxa"/>
              <w:bottom w:w="100" w:type="dxa"/>
              <w:end w:w="120" w:type="dxa"/>
            </w:tcMar>
            <w:vAlign w:val="center"/>
          </w:tcPr>
          <w:p>
            <w:r>
              <w:rPr>
                <w:sz w:val="18"/>
              </w:rPr>
              <w:t>P-03</w:t>
            </w:r>
          </w:p>
        </w:tc>
        <w:tc>
          <w:tcPr>
            <w:tcW w:type="dxa" w:w="9216"/>
            <w:tcMar>
              <w:top w:w="100" w:type="dxa"/>
              <w:start w:w="120" w:type="dxa"/>
              <w:bottom w:w="100" w:type="dxa"/>
              <w:end w:w="120" w:type="dxa"/>
            </w:tcMar>
            <w:vAlign w:val="center"/>
          </w:tcPr>
          <w:p>
            <w:r>
              <w:rPr>
                <w:sz w:val="18"/>
              </w:rPr>
              <w:t>A graph edge is an analytical object with provenance, not merely a visual connection.</w:t>
            </w:r>
          </w:p>
        </w:tc>
      </w:tr>
      <w:tr>
        <w:tc>
          <w:tcPr>
            <w:tcW w:type="dxa" w:w="1152"/>
            <w:tcMar>
              <w:top w:w="100" w:type="dxa"/>
              <w:start w:w="120" w:type="dxa"/>
              <w:bottom w:w="100" w:type="dxa"/>
              <w:end w:w="120" w:type="dxa"/>
            </w:tcMar>
            <w:vAlign w:val="center"/>
          </w:tcPr>
          <w:p>
            <w:r>
              <w:rPr>
                <w:sz w:val="18"/>
              </w:rPr>
              <w:t>P-04</w:t>
            </w:r>
          </w:p>
        </w:tc>
        <w:tc>
          <w:tcPr>
            <w:tcW w:type="dxa" w:w="9216"/>
            <w:tcMar>
              <w:top w:w="100" w:type="dxa"/>
              <w:start w:w="120" w:type="dxa"/>
              <w:bottom w:w="100" w:type="dxa"/>
              <w:end w:w="120" w:type="dxa"/>
            </w:tcMar>
            <w:vAlign w:val="center"/>
          </w:tcPr>
          <w:p>
            <w:r>
              <w:rPr>
                <w:sz w:val="18"/>
              </w:rPr>
              <w:t>Direct, documented, reconstructed, and hypothetical value flows SHALL remain distinguishable everywhere.</w:t>
            </w:r>
          </w:p>
        </w:tc>
      </w:tr>
      <w:tr>
        <w:tc>
          <w:tcPr>
            <w:tcW w:type="dxa" w:w="1152"/>
            <w:tcMar>
              <w:top w:w="100" w:type="dxa"/>
              <w:start w:w="120" w:type="dxa"/>
              <w:bottom w:w="100" w:type="dxa"/>
              <w:end w:w="120" w:type="dxa"/>
            </w:tcMar>
            <w:vAlign w:val="center"/>
          </w:tcPr>
          <w:p>
            <w:r>
              <w:rPr>
                <w:sz w:val="18"/>
              </w:rPr>
              <w:t>P-05</w:t>
            </w:r>
          </w:p>
        </w:tc>
        <w:tc>
          <w:tcPr>
            <w:tcW w:type="dxa" w:w="9216"/>
            <w:tcMar>
              <w:top w:w="100" w:type="dxa"/>
              <w:start w:w="120" w:type="dxa"/>
              <w:bottom w:w="100" w:type="dxa"/>
              <w:end w:w="120" w:type="dxa"/>
            </w:tcMar>
            <w:vAlign w:val="center"/>
          </w:tcPr>
          <w:p>
            <w:r>
              <w:rPr>
                <w:sz w:val="18"/>
              </w:rPr>
              <w:t>Automation MAY suggest; a human SHALL own material analytical and dissemination decisions.</w:t>
            </w:r>
          </w:p>
        </w:tc>
      </w:tr>
      <w:tr>
        <w:tc>
          <w:tcPr>
            <w:tcW w:type="dxa" w:w="1152"/>
            <w:tcMar>
              <w:top w:w="100" w:type="dxa"/>
              <w:start w:w="120" w:type="dxa"/>
              <w:bottom w:w="100" w:type="dxa"/>
              <w:end w:w="120" w:type="dxa"/>
            </w:tcMar>
            <w:vAlign w:val="center"/>
          </w:tcPr>
          <w:p>
            <w:r>
              <w:rPr>
                <w:sz w:val="18"/>
              </w:rPr>
              <w:t>P-06</w:t>
            </w:r>
          </w:p>
        </w:tc>
        <w:tc>
          <w:tcPr>
            <w:tcW w:type="dxa" w:w="9216"/>
            <w:tcMar>
              <w:top w:w="100" w:type="dxa"/>
              <w:start w:w="120" w:type="dxa"/>
              <w:bottom w:w="100" w:type="dxa"/>
              <w:end w:w="120" w:type="dxa"/>
            </w:tcMar>
            <w:vAlign w:val="center"/>
          </w:tcPr>
          <w:p>
            <w:r>
              <w:rPr>
                <w:sz w:val="18"/>
              </w:rPr>
              <w:t>Sensitive data collection SHALL be necessary, proportionate, and purpose-bound.</w:t>
            </w:r>
          </w:p>
        </w:tc>
      </w:tr>
      <w:tr>
        <w:tc>
          <w:tcPr>
            <w:tcW w:type="dxa" w:w="1152"/>
            <w:tcMar>
              <w:top w:w="100" w:type="dxa"/>
              <w:start w:w="120" w:type="dxa"/>
              <w:bottom w:w="100" w:type="dxa"/>
              <w:end w:w="120" w:type="dxa"/>
            </w:tcMar>
            <w:vAlign w:val="center"/>
          </w:tcPr>
          <w:p>
            <w:r>
              <w:rPr>
                <w:sz w:val="18"/>
              </w:rPr>
              <w:t>P-07</w:t>
            </w:r>
          </w:p>
        </w:tc>
        <w:tc>
          <w:tcPr>
            <w:tcW w:type="dxa" w:w="9216"/>
            <w:tcMar>
              <w:top w:w="100" w:type="dxa"/>
              <w:start w:w="120" w:type="dxa"/>
              <w:bottom w:w="100" w:type="dxa"/>
              <w:end w:w="120" w:type="dxa"/>
            </w:tcMar>
            <w:vAlign w:val="center"/>
          </w:tcPr>
          <w:p>
            <w:r>
              <w:rPr>
                <w:sz w:val="18"/>
              </w:rPr>
              <w:t>High-impact claims SHALL be independently reviewable from the system of record.</w:t>
            </w:r>
          </w:p>
        </w:tc>
      </w:tr>
      <w:tr>
        <w:tc>
          <w:tcPr>
            <w:tcW w:type="dxa" w:w="1152"/>
            <w:tcMar>
              <w:top w:w="100" w:type="dxa"/>
              <w:start w:w="120" w:type="dxa"/>
              <w:bottom w:w="100" w:type="dxa"/>
              <w:end w:w="120" w:type="dxa"/>
            </w:tcMar>
            <w:vAlign w:val="center"/>
          </w:tcPr>
          <w:p>
            <w:r>
              <w:rPr>
                <w:sz w:val="18"/>
              </w:rPr>
              <w:t>P-08</w:t>
            </w:r>
          </w:p>
        </w:tc>
        <w:tc>
          <w:tcPr>
            <w:tcW w:type="dxa" w:w="9216"/>
            <w:tcMar>
              <w:top w:w="100" w:type="dxa"/>
              <w:start w:w="120" w:type="dxa"/>
              <w:bottom w:w="100" w:type="dxa"/>
              <w:end w:w="120" w:type="dxa"/>
            </w:tcMar>
            <w:vAlign w:val="center"/>
          </w:tcPr>
          <w:p>
            <w:r>
              <w:rPr>
                <w:sz w:val="18"/>
              </w:rPr>
              <w:t>Derived search/graph/AI indexes are rebuildable projections; canonical evidence and records are authoritative.</w:t>
            </w:r>
          </w:p>
        </w:tc>
      </w:tr>
    </w:tbl>
    <w:p>
      <w:pPr>
        <w:spacing w:after="20"/>
      </w:pPr>
    </w:p>
    <w:p>
      <w:pPr>
        <w:pStyle w:val="Heading1"/>
      </w:pPr>
      <w:r>
        <w:t>7. End-to-End User Journey</w:t>
      </w:r>
    </w:p>
    <w:p>
      <w:r>
        <w:t>1. Intake / lead registration</w:t>
      </w:r>
    </w:p>
    <w:p>
      <w:r>
        <w:t>2. Triage and legitimacy review</w:t>
      </w:r>
    </w:p>
    <w:p>
      <w:r>
        <w:t>3. Investigation Charter</w:t>
      </w:r>
    </w:p>
    <w:p>
      <w:r>
        <w:t>4. Collection plan</w:t>
      </w:r>
    </w:p>
    <w:p>
      <w:r>
        <w:t>5. Source and evidence registration</w:t>
      </w:r>
    </w:p>
    <w:p>
      <w:r>
        <w:t>6. Entity resolution</w:t>
      </w:r>
    </w:p>
    <w:p>
      <w:r>
        <w:t>7. Relationship / ownership / asset mapping</w:t>
      </w:r>
    </w:p>
    <w:p>
      <w:r>
        <w:t>8. Timeline and value-flow reconstruction</w:t>
      </w:r>
    </w:p>
    <w:p>
      <w:r>
        <w:t>9. Typology / indicator mapping</w:t>
      </w:r>
    </w:p>
    <w:p>
      <w:r>
        <w:t>10. Hypothesis testing and intelligence gaps</w:t>
      </w:r>
    </w:p>
    <w:p>
      <w:r>
        <w:t>11. Assessment and confidence</w:t>
      </w:r>
    </w:p>
    <w:p>
      <w:r>
        <w:t>12. Peer review / red-team review</w:t>
      </w:r>
    </w:p>
    <w:p>
      <w:r>
        <w:t>13. Intelligence product generation</w:t>
      </w:r>
    </w:p>
    <w:p>
      <w:r>
        <w:t>14. Dissemination approval / referral / publication</w:t>
      </w:r>
    </w:p>
    <w:p>
      <w:r>
        <w:t>15. Closure / monitoring / reopen</w:t>
      </w:r>
    </w:p>
    <w:tbl>
      <w:tblPr>
        <w:tblStyle w:val="TableGrid"/>
        <w:tblW w:type="auto" w:w="0"/>
        <w:jc w:val="center"/>
        <w:tblLook w:firstColumn="1" w:firstRow="1" w:lastColumn="0" w:lastRow="0" w:noHBand="0" w:noVBand="1" w:val="04A0"/>
      </w:tblPr>
      <w:tblGrid>
        <w:gridCol w:w="9878"/>
      </w:tblGrid>
      <w:tr>
        <w:tc>
          <w:tcPr>
            <w:tcW w:type="dxa" w:w="9878"/>
            <w:shd w:fill="FFF2CC"/>
            <w:tcMar>
              <w:top w:w="150" w:type="dxa"/>
              <w:start w:w="180" w:type="dxa"/>
              <w:bottom w:w="150" w:type="dxa"/>
              <w:end w:w="180" w:type="dxa"/>
            </w:tcMar>
          </w:tcPr>
          <w:p>
            <w:r>
              <w:rPr>
                <w:b/>
                <w:color w:val="19304A"/>
                <w:sz w:val="22"/>
              </w:rPr>
              <w:t>Lifecycle requirement</w:t>
              <w:br/>
            </w:r>
            <w:r>
              <w:rPr>
                <w:sz w:val="20"/>
              </w:rPr>
              <w:t>The UI SHALL make the current investigation stage and unmet gate requirements visible. The product SHALL NOT silently imply that completion of a form equals analytical validation.</w:t>
            </w:r>
          </w:p>
        </w:tc>
      </w:tr>
    </w:tbl>
    <w:p>
      <w:pPr>
        <w:spacing w:after="40"/>
      </w:pPr>
    </w:p>
    <w:p>
      <w:pPr>
        <w:pStyle w:val="Heading1"/>
      </w:pPr>
      <w:r>
        <w:t>8. MVP 0.1 Scope</w:t>
      </w:r>
    </w:p>
    <w:p>
      <w:pPr>
        <w:pStyle w:val="Heading2"/>
      </w:pPr>
      <w:r>
        <w:t>8.1 MVP definition</w:t>
      </w:r>
    </w:p>
    <w:p>
      <w:r>
        <w:t>MVP 0.1 is successful when a small civil-society investigation team can complete one sensitive investigation from case opening through reviewed intelligence product using CS-AML as the system of record for the analytical chain.</w:t>
      </w:r>
    </w:p>
    <w:p>
      <w:pPr>
        <w:pStyle w:val="Heading2"/>
      </w:pPr>
      <w:r>
        <w:t>8.2 MVP capability groups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936"/>
            <w:shd w:fill="19304A"/>
            <w:tcMar>
              <w:top w:w="100" w:type="dxa"/>
              <w:start w:w="120" w:type="dxa"/>
              <w:bottom w:w="100" w:type="dxa"/>
              <w:end w:w="120" w:type="dxa"/>
            </w:tcMar>
            <w:vAlign w:val="center"/>
          </w:tcPr>
          <w:p>
            <w:r>
              <w:rPr>
                <w:b/>
                <w:color w:val="FFFFFF"/>
                <w:sz w:val="17"/>
              </w:rPr>
              <w:t>ID</w:t>
            </w:r>
          </w:p>
        </w:tc>
        <w:tc>
          <w:tcPr>
            <w:tcW w:type="dxa" w:w="2376"/>
            <w:shd w:fill="19304A"/>
            <w:tcMar>
              <w:top w:w="100" w:type="dxa"/>
              <w:start w:w="120" w:type="dxa"/>
              <w:bottom w:w="100" w:type="dxa"/>
              <w:end w:w="120" w:type="dxa"/>
            </w:tcMar>
            <w:vAlign w:val="center"/>
          </w:tcPr>
          <w:p>
            <w:r>
              <w:rPr>
                <w:b/>
                <w:color w:val="FFFFFF"/>
                <w:sz w:val="17"/>
              </w:rPr>
              <w:t>Capability</w:t>
            </w:r>
          </w:p>
        </w:tc>
        <w:tc>
          <w:tcPr>
            <w:tcW w:type="dxa" w:w="7056"/>
            <w:shd w:fill="19304A"/>
            <w:tcMar>
              <w:top w:w="100" w:type="dxa"/>
              <w:start w:w="120" w:type="dxa"/>
              <w:bottom w:w="100" w:type="dxa"/>
              <w:end w:w="120" w:type="dxa"/>
            </w:tcMar>
            <w:vAlign w:val="center"/>
          </w:tcPr>
          <w:p>
            <w:r>
              <w:rPr>
                <w:b/>
                <w:color w:val="FFFFFF"/>
                <w:sz w:val="17"/>
              </w:rPr>
              <w:t>MVP content</w:t>
            </w:r>
          </w:p>
        </w:tc>
      </w:tr>
      <w:tr>
        <w:tc>
          <w:tcPr>
            <w:tcW w:type="dxa" w:w="936"/>
            <w:tcMar>
              <w:top w:w="100" w:type="dxa"/>
              <w:start w:w="120" w:type="dxa"/>
              <w:bottom w:w="100" w:type="dxa"/>
              <w:end w:w="120" w:type="dxa"/>
            </w:tcMar>
            <w:vAlign w:val="center"/>
          </w:tcPr>
          <w:p>
            <w:r>
              <w:rPr>
                <w:sz w:val="17"/>
              </w:rPr>
              <w:t>C1</w:t>
            </w:r>
          </w:p>
        </w:tc>
        <w:tc>
          <w:tcPr>
            <w:tcW w:type="dxa" w:w="2376"/>
            <w:tcMar>
              <w:top w:w="100" w:type="dxa"/>
              <w:start w:w="120" w:type="dxa"/>
              <w:bottom w:w="100" w:type="dxa"/>
              <w:end w:w="120" w:type="dxa"/>
            </w:tcMar>
            <w:vAlign w:val="center"/>
          </w:tcPr>
          <w:p>
            <w:r>
              <w:rPr>
                <w:sz w:val="17"/>
              </w:rPr>
              <w:t>Case &amp; workflow</w:t>
            </w:r>
          </w:p>
        </w:tc>
        <w:tc>
          <w:tcPr>
            <w:tcW w:type="dxa" w:w="7056"/>
            <w:tcMar>
              <w:top w:w="100" w:type="dxa"/>
              <w:start w:w="120" w:type="dxa"/>
              <w:bottom w:w="100" w:type="dxa"/>
              <w:end w:w="120" w:type="dxa"/>
            </w:tcMar>
            <w:vAlign w:val="center"/>
          </w:tcPr>
          <w:p>
            <w:r>
              <w:rPr>
                <w:sz w:val="17"/>
              </w:rPr>
              <w:t>Case register, Charter, G0–G6 gates, tasks, activity history</w:t>
            </w:r>
          </w:p>
        </w:tc>
      </w:tr>
      <w:tr>
        <w:tc>
          <w:tcPr>
            <w:tcW w:type="dxa" w:w="936"/>
            <w:tcMar>
              <w:top w:w="100" w:type="dxa"/>
              <w:start w:w="120" w:type="dxa"/>
              <w:bottom w:w="100" w:type="dxa"/>
              <w:end w:w="120" w:type="dxa"/>
            </w:tcMar>
            <w:vAlign w:val="center"/>
          </w:tcPr>
          <w:p>
            <w:r>
              <w:rPr>
                <w:sz w:val="17"/>
              </w:rPr>
              <w:t>C2</w:t>
            </w:r>
          </w:p>
        </w:tc>
        <w:tc>
          <w:tcPr>
            <w:tcW w:type="dxa" w:w="2376"/>
            <w:tcMar>
              <w:top w:w="100" w:type="dxa"/>
              <w:start w:w="120" w:type="dxa"/>
              <w:bottom w:w="100" w:type="dxa"/>
              <w:end w:w="120" w:type="dxa"/>
            </w:tcMar>
            <w:vAlign w:val="center"/>
          </w:tcPr>
          <w:p>
            <w:r>
              <w:rPr>
                <w:sz w:val="17"/>
              </w:rPr>
              <w:t>Sources &amp; evidence</w:t>
            </w:r>
          </w:p>
        </w:tc>
        <w:tc>
          <w:tcPr>
            <w:tcW w:type="dxa" w:w="7056"/>
            <w:tcMar>
              <w:top w:w="100" w:type="dxa"/>
              <w:start w:w="120" w:type="dxa"/>
              <w:bottom w:w="100" w:type="dxa"/>
              <w:end w:w="120" w:type="dxa"/>
            </w:tcMar>
            <w:vAlign w:val="center"/>
          </w:tcPr>
          <w:p>
            <w:r>
              <w:rPr>
                <w:sz w:val="17"/>
              </w:rPr>
              <w:t>Source register, upload, originals, hashes, extracts, derivative lineage, source/credibility ratings</w:t>
            </w:r>
          </w:p>
        </w:tc>
      </w:tr>
      <w:tr>
        <w:tc>
          <w:tcPr>
            <w:tcW w:type="dxa" w:w="936"/>
            <w:tcMar>
              <w:top w:w="100" w:type="dxa"/>
              <w:start w:w="120" w:type="dxa"/>
              <w:bottom w:w="100" w:type="dxa"/>
              <w:end w:w="120" w:type="dxa"/>
            </w:tcMar>
            <w:vAlign w:val="center"/>
          </w:tcPr>
          <w:p>
            <w:r>
              <w:rPr>
                <w:sz w:val="17"/>
              </w:rPr>
              <w:t>C3</w:t>
            </w:r>
          </w:p>
        </w:tc>
        <w:tc>
          <w:tcPr>
            <w:tcW w:type="dxa" w:w="2376"/>
            <w:tcMar>
              <w:top w:w="100" w:type="dxa"/>
              <w:start w:w="120" w:type="dxa"/>
              <w:bottom w:w="100" w:type="dxa"/>
              <w:end w:w="120" w:type="dxa"/>
            </w:tcMar>
            <w:vAlign w:val="center"/>
          </w:tcPr>
          <w:p>
            <w:r>
              <w:rPr>
                <w:sz w:val="17"/>
              </w:rPr>
              <w:t>Entities &amp; relationships</w:t>
            </w:r>
          </w:p>
        </w:tc>
        <w:tc>
          <w:tcPr>
            <w:tcW w:type="dxa" w:w="7056"/>
            <w:tcMar>
              <w:top w:w="100" w:type="dxa"/>
              <w:start w:w="120" w:type="dxa"/>
              <w:bottom w:w="100" w:type="dxa"/>
              <w:end w:w="120" w:type="dxa"/>
            </w:tcMar>
            <w:vAlign w:val="center"/>
          </w:tcPr>
          <w:p>
            <w:r>
              <w:rPr>
                <w:sz w:val="17"/>
              </w:rPr>
              <w:t>Entity registry, aliases, candidate matching, reversible merge/unmerge, first-class relationships, ownership/control</w:t>
            </w:r>
          </w:p>
        </w:tc>
      </w:tr>
      <w:tr>
        <w:tc>
          <w:tcPr>
            <w:tcW w:type="dxa" w:w="936"/>
            <w:tcMar>
              <w:top w:w="100" w:type="dxa"/>
              <w:start w:w="120" w:type="dxa"/>
              <w:bottom w:w="100" w:type="dxa"/>
              <w:end w:w="120" w:type="dxa"/>
            </w:tcMar>
            <w:vAlign w:val="center"/>
          </w:tcPr>
          <w:p>
            <w:r>
              <w:rPr>
                <w:sz w:val="17"/>
              </w:rPr>
              <w:t>C4</w:t>
            </w:r>
          </w:p>
        </w:tc>
        <w:tc>
          <w:tcPr>
            <w:tcW w:type="dxa" w:w="2376"/>
            <w:tcMar>
              <w:top w:w="100" w:type="dxa"/>
              <w:start w:w="120" w:type="dxa"/>
              <w:bottom w:w="100" w:type="dxa"/>
              <w:end w:w="120" w:type="dxa"/>
            </w:tcMar>
            <w:vAlign w:val="center"/>
          </w:tcPr>
          <w:p>
            <w:r>
              <w:rPr>
                <w:sz w:val="17"/>
              </w:rPr>
              <w:t>Assets, events &amp; timeline</w:t>
            </w:r>
          </w:p>
        </w:tc>
        <w:tc>
          <w:tcPr>
            <w:tcW w:type="dxa" w:w="7056"/>
            <w:tcMar>
              <w:top w:w="100" w:type="dxa"/>
              <w:start w:w="120" w:type="dxa"/>
              <w:bottom w:w="100" w:type="dxa"/>
              <w:end w:w="120" w:type="dxa"/>
            </w:tcMar>
            <w:vAlign w:val="center"/>
          </w:tcPr>
          <w:p>
            <w:r>
              <w:rPr>
                <w:sz w:val="17"/>
              </w:rPr>
              <w:t>Asset records, events, timeline view</w:t>
            </w:r>
          </w:p>
        </w:tc>
      </w:tr>
      <w:tr>
        <w:tc>
          <w:tcPr>
            <w:tcW w:type="dxa" w:w="936"/>
            <w:tcMar>
              <w:top w:w="100" w:type="dxa"/>
              <w:start w:w="120" w:type="dxa"/>
              <w:bottom w:w="100" w:type="dxa"/>
              <w:end w:w="120" w:type="dxa"/>
            </w:tcMar>
            <w:vAlign w:val="center"/>
          </w:tcPr>
          <w:p>
            <w:r>
              <w:rPr>
                <w:sz w:val="17"/>
              </w:rPr>
              <w:t>C5</w:t>
            </w:r>
          </w:p>
        </w:tc>
        <w:tc>
          <w:tcPr>
            <w:tcW w:type="dxa" w:w="2376"/>
            <w:tcMar>
              <w:top w:w="100" w:type="dxa"/>
              <w:start w:w="120" w:type="dxa"/>
              <w:bottom w:w="100" w:type="dxa"/>
              <w:end w:w="120" w:type="dxa"/>
            </w:tcMar>
            <w:vAlign w:val="center"/>
          </w:tcPr>
          <w:p>
            <w:r>
              <w:rPr>
                <w:sz w:val="17"/>
              </w:rPr>
              <w:t>Value-flow</w:t>
            </w:r>
          </w:p>
        </w:tc>
        <w:tc>
          <w:tcPr>
            <w:tcW w:type="dxa" w:w="7056"/>
            <w:tcMar>
              <w:top w:w="100" w:type="dxa"/>
              <w:start w:w="120" w:type="dxa"/>
              <w:bottom w:w="100" w:type="dxa"/>
              <w:end w:w="120" w:type="dxa"/>
            </w:tcMar>
            <w:vAlign w:val="center"/>
          </w:tcPr>
          <w:p>
            <w:r>
              <w:rPr>
                <w:sz w:val="17"/>
              </w:rPr>
              <w:t>Flow records, multi-leg flows, classification, visualisation, unknown/range handling</w:t>
            </w:r>
          </w:p>
        </w:tc>
      </w:tr>
      <w:tr>
        <w:tc>
          <w:tcPr>
            <w:tcW w:type="dxa" w:w="936"/>
            <w:tcMar>
              <w:top w:w="100" w:type="dxa"/>
              <w:start w:w="120" w:type="dxa"/>
              <w:bottom w:w="100" w:type="dxa"/>
              <w:end w:w="120" w:type="dxa"/>
            </w:tcMar>
            <w:vAlign w:val="center"/>
          </w:tcPr>
          <w:p>
            <w:r>
              <w:rPr>
                <w:sz w:val="17"/>
              </w:rPr>
              <w:t>C6</w:t>
            </w:r>
          </w:p>
        </w:tc>
        <w:tc>
          <w:tcPr>
            <w:tcW w:type="dxa" w:w="2376"/>
            <w:tcMar>
              <w:top w:w="100" w:type="dxa"/>
              <w:start w:w="120" w:type="dxa"/>
              <w:bottom w:w="100" w:type="dxa"/>
              <w:end w:w="120" w:type="dxa"/>
            </w:tcMar>
            <w:vAlign w:val="center"/>
          </w:tcPr>
          <w:p>
            <w:r>
              <w:rPr>
                <w:sz w:val="17"/>
              </w:rPr>
              <w:t>Typology &amp; indicators</w:t>
            </w:r>
          </w:p>
        </w:tc>
        <w:tc>
          <w:tcPr>
            <w:tcW w:type="dxa" w:w="7056"/>
            <w:tcMar>
              <w:top w:w="100" w:type="dxa"/>
              <w:start w:w="120" w:type="dxa"/>
              <w:bottom w:w="100" w:type="dxa"/>
              <w:end w:w="120" w:type="dxa"/>
            </w:tcMar>
            <w:vAlign w:val="center"/>
          </w:tcPr>
          <w:p>
            <w:r>
              <w:rPr>
                <w:sz w:val="17"/>
              </w:rPr>
              <w:t>Catalogue browser, indicator capture, typology worksheet</w:t>
            </w:r>
          </w:p>
        </w:tc>
      </w:tr>
      <w:tr>
        <w:tc>
          <w:tcPr>
            <w:tcW w:type="dxa" w:w="936"/>
            <w:tcMar>
              <w:top w:w="100" w:type="dxa"/>
              <w:start w:w="120" w:type="dxa"/>
              <w:bottom w:w="100" w:type="dxa"/>
              <w:end w:w="120" w:type="dxa"/>
            </w:tcMar>
            <w:vAlign w:val="center"/>
          </w:tcPr>
          <w:p>
            <w:r>
              <w:rPr>
                <w:sz w:val="17"/>
              </w:rPr>
              <w:t>C7</w:t>
            </w:r>
          </w:p>
        </w:tc>
        <w:tc>
          <w:tcPr>
            <w:tcW w:type="dxa" w:w="2376"/>
            <w:tcMar>
              <w:top w:w="100" w:type="dxa"/>
              <w:start w:w="120" w:type="dxa"/>
              <w:bottom w:w="100" w:type="dxa"/>
              <w:end w:w="120" w:type="dxa"/>
            </w:tcMar>
            <w:vAlign w:val="center"/>
          </w:tcPr>
          <w:p>
            <w:r>
              <w:rPr>
                <w:sz w:val="17"/>
              </w:rPr>
              <w:t>Hypothesis &amp; assessment</w:t>
            </w:r>
          </w:p>
        </w:tc>
        <w:tc>
          <w:tcPr>
            <w:tcW w:type="dxa" w:w="7056"/>
            <w:tcMar>
              <w:top w:w="100" w:type="dxa"/>
              <w:start w:w="120" w:type="dxa"/>
              <w:bottom w:w="100" w:type="dxa"/>
              <w:end w:w="120" w:type="dxa"/>
            </w:tcMar>
            <w:vAlign w:val="center"/>
          </w:tcPr>
          <w:p>
            <w:r>
              <w:rPr>
                <w:sz w:val="17"/>
              </w:rPr>
              <w:t>Hypothesis matrix, support/contradiction, gaps, assessment, confidence, disconfirming-search record</w:t>
            </w:r>
          </w:p>
        </w:tc>
      </w:tr>
      <w:tr>
        <w:tc>
          <w:tcPr>
            <w:tcW w:type="dxa" w:w="936"/>
            <w:tcMar>
              <w:top w:w="100" w:type="dxa"/>
              <w:start w:w="120" w:type="dxa"/>
              <w:bottom w:w="100" w:type="dxa"/>
              <w:end w:w="120" w:type="dxa"/>
            </w:tcMar>
            <w:vAlign w:val="center"/>
          </w:tcPr>
          <w:p>
            <w:r>
              <w:rPr>
                <w:sz w:val="17"/>
              </w:rPr>
              <w:t>C8</w:t>
            </w:r>
          </w:p>
        </w:tc>
        <w:tc>
          <w:tcPr>
            <w:tcW w:type="dxa" w:w="2376"/>
            <w:tcMar>
              <w:top w:w="100" w:type="dxa"/>
              <w:start w:w="120" w:type="dxa"/>
              <w:bottom w:w="100" w:type="dxa"/>
              <w:end w:w="120" w:type="dxa"/>
            </w:tcMar>
            <w:vAlign w:val="center"/>
          </w:tcPr>
          <w:p>
            <w:r>
              <w:rPr>
                <w:sz w:val="17"/>
              </w:rPr>
              <w:t>Search &amp; graph</w:t>
            </w:r>
          </w:p>
        </w:tc>
        <w:tc>
          <w:tcPr>
            <w:tcW w:type="dxa" w:w="7056"/>
            <w:tcMar>
              <w:top w:w="100" w:type="dxa"/>
              <w:start w:w="120" w:type="dxa"/>
              <w:bottom w:w="100" w:type="dxa"/>
              <w:end w:w="120" w:type="dxa"/>
            </w:tcMar>
            <w:vAlign w:val="center"/>
          </w:tcPr>
          <w:p>
            <w:r>
              <w:rPr>
                <w:sz w:val="17"/>
              </w:rPr>
              <w:t>Full-text search, object/entity search, graph exploration</w:t>
            </w:r>
          </w:p>
        </w:tc>
      </w:tr>
      <w:tr>
        <w:tc>
          <w:tcPr>
            <w:tcW w:type="dxa" w:w="936"/>
            <w:tcMar>
              <w:top w:w="100" w:type="dxa"/>
              <w:start w:w="120" w:type="dxa"/>
              <w:bottom w:w="100" w:type="dxa"/>
              <w:end w:w="120" w:type="dxa"/>
            </w:tcMar>
            <w:vAlign w:val="center"/>
          </w:tcPr>
          <w:p>
            <w:r>
              <w:rPr>
                <w:sz w:val="17"/>
              </w:rPr>
              <w:t>C9</w:t>
            </w:r>
          </w:p>
        </w:tc>
        <w:tc>
          <w:tcPr>
            <w:tcW w:type="dxa" w:w="2376"/>
            <w:tcMar>
              <w:top w:w="100" w:type="dxa"/>
              <w:start w:w="120" w:type="dxa"/>
              <w:bottom w:w="100" w:type="dxa"/>
              <w:end w:w="120" w:type="dxa"/>
            </w:tcMar>
            <w:vAlign w:val="center"/>
          </w:tcPr>
          <w:p>
            <w:r>
              <w:rPr>
                <w:sz w:val="17"/>
              </w:rPr>
              <w:t>Review &amp; product</w:t>
            </w:r>
          </w:p>
        </w:tc>
        <w:tc>
          <w:tcPr>
            <w:tcW w:type="dxa" w:w="7056"/>
            <w:tcMar>
              <w:top w:w="100" w:type="dxa"/>
              <w:start w:w="120" w:type="dxa"/>
              <w:bottom w:w="100" w:type="dxa"/>
              <w:end w:w="120" w:type="dxa"/>
            </w:tcMar>
            <w:vAlign w:val="center"/>
          </w:tcPr>
          <w:p>
            <w:r>
              <w:rPr>
                <w:sz w:val="17"/>
              </w:rPr>
              <w:t>Peer review, intelligence-product templates, versioning, evidence index</w:t>
            </w:r>
          </w:p>
        </w:tc>
      </w:tr>
      <w:tr>
        <w:tc>
          <w:tcPr>
            <w:tcW w:type="dxa" w:w="936"/>
            <w:tcMar>
              <w:top w:w="100" w:type="dxa"/>
              <w:start w:w="120" w:type="dxa"/>
              <w:bottom w:w="100" w:type="dxa"/>
              <w:end w:w="120" w:type="dxa"/>
            </w:tcMar>
            <w:vAlign w:val="center"/>
          </w:tcPr>
          <w:p>
            <w:r>
              <w:rPr>
                <w:sz w:val="17"/>
              </w:rPr>
              <w:t>C10</w:t>
            </w:r>
          </w:p>
        </w:tc>
        <w:tc>
          <w:tcPr>
            <w:tcW w:type="dxa" w:w="2376"/>
            <w:tcMar>
              <w:top w:w="100" w:type="dxa"/>
              <w:start w:w="120" w:type="dxa"/>
              <w:bottom w:w="100" w:type="dxa"/>
              <w:end w:w="120" w:type="dxa"/>
            </w:tcMar>
            <w:vAlign w:val="center"/>
          </w:tcPr>
          <w:p>
            <w:r>
              <w:rPr>
                <w:sz w:val="17"/>
              </w:rPr>
              <w:t>Dissemination</w:t>
            </w:r>
          </w:p>
        </w:tc>
        <w:tc>
          <w:tcPr>
            <w:tcW w:type="dxa" w:w="7056"/>
            <w:tcMar>
              <w:top w:w="100" w:type="dxa"/>
              <w:start w:w="120" w:type="dxa"/>
              <w:bottom w:w="100" w:type="dxa"/>
              <w:end w:w="120" w:type="dxa"/>
            </w:tcMar>
            <w:vAlign w:val="center"/>
          </w:tcPr>
          <w:p>
            <w:r>
              <w:rPr>
                <w:sz w:val="17"/>
              </w:rPr>
              <w:t>Approval, secure export, referral package, sharing log</w:t>
            </w:r>
          </w:p>
        </w:tc>
      </w:tr>
      <w:tr>
        <w:tc>
          <w:tcPr>
            <w:tcW w:type="dxa" w:w="936"/>
            <w:tcMar>
              <w:top w:w="100" w:type="dxa"/>
              <w:start w:w="120" w:type="dxa"/>
              <w:bottom w:w="100" w:type="dxa"/>
              <w:end w:w="120" w:type="dxa"/>
            </w:tcMar>
            <w:vAlign w:val="center"/>
          </w:tcPr>
          <w:p>
            <w:r>
              <w:rPr>
                <w:sz w:val="17"/>
              </w:rPr>
              <w:t>C11</w:t>
            </w:r>
          </w:p>
        </w:tc>
        <w:tc>
          <w:tcPr>
            <w:tcW w:type="dxa" w:w="2376"/>
            <w:tcMar>
              <w:top w:w="100" w:type="dxa"/>
              <w:start w:w="120" w:type="dxa"/>
              <w:bottom w:w="100" w:type="dxa"/>
              <w:end w:w="120" w:type="dxa"/>
            </w:tcMar>
            <w:vAlign w:val="center"/>
          </w:tcPr>
          <w:p>
            <w:r>
              <w:rPr>
                <w:sz w:val="17"/>
              </w:rPr>
              <w:t>Administration &amp; security</w:t>
            </w:r>
          </w:p>
        </w:tc>
        <w:tc>
          <w:tcPr>
            <w:tcW w:type="dxa" w:w="7056"/>
            <w:tcMar>
              <w:top w:w="100" w:type="dxa"/>
              <w:start w:w="120" w:type="dxa"/>
              <w:bottom w:w="100" w:type="dxa"/>
              <w:end w:w="120" w:type="dxa"/>
            </w:tcMar>
            <w:vAlign w:val="center"/>
          </w:tcPr>
          <w:p>
            <w:r>
              <w:rPr>
                <w:sz w:val="17"/>
              </w:rPr>
              <w:t>Controlled vocabularies, retention, OIDC/MFA, object-level access, protected-source compartment, immutable audit, backup</w:t>
            </w:r>
          </w:p>
        </w:tc>
      </w:tr>
    </w:tbl>
    <w:p>
      <w:pPr>
        <w:spacing w:after="20"/>
      </w:pPr>
    </w:p>
    <w:p>
      <w:pPr>
        <w:pStyle w:val="Heading2"/>
      </w:pPr>
      <w:r>
        <w:t>8.3 Deferred capability groups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440"/>
            <w:shd w:fill="19304A"/>
            <w:tcMar>
              <w:top w:w="100" w:type="dxa"/>
              <w:start w:w="120" w:type="dxa"/>
              <w:bottom w:w="100" w:type="dxa"/>
              <w:end w:w="120" w:type="dxa"/>
            </w:tcMar>
            <w:vAlign w:val="center"/>
          </w:tcPr>
          <w:p>
            <w:r>
              <w:rPr>
                <w:b/>
                <w:color w:val="FFFFFF"/>
                <w:sz w:val="18"/>
              </w:rPr>
              <w:t>Phase</w:t>
            </w:r>
          </w:p>
        </w:tc>
        <w:tc>
          <w:tcPr>
            <w:tcW w:type="dxa" w:w="8928"/>
            <w:shd w:fill="19304A"/>
            <w:tcMar>
              <w:top w:w="100" w:type="dxa"/>
              <w:start w:w="120" w:type="dxa"/>
              <w:bottom w:w="100" w:type="dxa"/>
              <w:end w:w="120" w:type="dxa"/>
            </w:tcMar>
            <w:vAlign w:val="center"/>
          </w:tcPr>
          <w:p>
            <w:r>
              <w:rPr>
                <w:b/>
                <w:color w:val="FFFFFF"/>
                <w:sz w:val="18"/>
              </w:rPr>
              <w:t>Deferred capabilities</w:t>
            </w:r>
          </w:p>
        </w:tc>
      </w:tr>
      <w:tr>
        <w:tc>
          <w:tcPr>
            <w:tcW w:type="dxa" w:w="1440"/>
            <w:tcMar>
              <w:top w:w="100" w:type="dxa"/>
              <w:start w:w="120" w:type="dxa"/>
              <w:bottom w:w="100" w:type="dxa"/>
              <w:end w:w="120" w:type="dxa"/>
            </w:tcMar>
            <w:vAlign w:val="center"/>
          </w:tcPr>
          <w:p>
            <w:r>
              <w:rPr>
                <w:sz w:val="18"/>
              </w:rPr>
              <w:t>Phase 2</w:t>
            </w:r>
          </w:p>
        </w:tc>
        <w:tc>
          <w:tcPr>
            <w:tcW w:type="dxa" w:w="8928"/>
            <w:tcMar>
              <w:top w:w="100" w:type="dxa"/>
              <w:start w:w="120" w:type="dxa"/>
              <w:bottom w:w="100" w:type="dxa"/>
              <w:end w:w="120" w:type="dxa"/>
            </w:tcMar>
            <w:vAlign w:val="center"/>
          </w:tcPr>
          <w:p>
            <w:r>
              <w:rPr>
                <w:sz w:val="18"/>
              </w:rPr>
              <w:t>OCR/table extraction; entity candidate extraction; enrichment connectors; beneficial-ownership chain calculation; path finding; saved searches; OpenAleph/OpenSanctions/FollowTheMoney integrations; AI-assisted extraction/summarisation; operational monitoring.</w:t>
            </w:r>
          </w:p>
        </w:tc>
      </w:tr>
      <w:tr>
        <w:tc>
          <w:tcPr>
            <w:tcW w:type="dxa" w:w="1440"/>
            <w:tcMar>
              <w:top w:w="100" w:type="dxa"/>
              <w:start w:w="120" w:type="dxa"/>
              <w:bottom w:w="100" w:type="dxa"/>
              <w:end w:w="120" w:type="dxa"/>
            </w:tcMar>
            <w:vAlign w:val="center"/>
          </w:tcPr>
          <w:p>
            <w:r>
              <w:rPr>
                <w:sz w:val="18"/>
              </w:rPr>
              <w:t>Phase 3</w:t>
            </w:r>
          </w:p>
        </w:tc>
        <w:tc>
          <w:tcPr>
            <w:tcW w:type="dxa" w:w="8928"/>
            <w:tcMar>
              <w:top w:w="100" w:type="dxa"/>
              <w:start w:w="120" w:type="dxa"/>
              <w:bottom w:w="100" w:type="dxa"/>
              <w:end w:w="120" w:type="dxa"/>
            </w:tcMar>
            <w:vAlign w:val="center"/>
          </w:tcPr>
          <w:p>
            <w:r>
              <w:rPr>
                <w:sz w:val="18"/>
              </w:rPr>
              <w:t>Network metrics/community detection; partner federation; Flowintel/GraphSense integrations; advanced AI analytical assistant; cross-organisation intelligence exchange.</w:t>
            </w:r>
          </w:p>
        </w:tc>
      </w:tr>
    </w:tbl>
    <w:p>
      <w:pPr>
        <w:spacing w:after="20"/>
      </w:pPr>
    </w:p>
    <w:p>
      <w:pPr>
        <w:pStyle w:val="Heading1"/>
      </w:pPr>
      <w:r>
        <w:t>9. Functional Requirements by Epic</w:t>
      </w:r>
    </w:p>
    <w:p>
      <w:pPr>
        <w:pStyle w:val="Heading2"/>
      </w:pPr>
      <w:r>
        <w:t>EPIC-01 Case &amp; Workflow</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9304A"/>
            <w:tcMar>
              <w:top w:w="100" w:type="dxa"/>
              <w:start w:w="120" w:type="dxa"/>
              <w:bottom w:w="100" w:type="dxa"/>
              <w:end w:w="120" w:type="dxa"/>
            </w:tcMar>
            <w:vAlign w:val="center"/>
          </w:tcPr>
          <w:p>
            <w:r>
              <w:rPr>
                <w:b/>
                <w:color w:val="FFFFFF"/>
                <w:sz w:val="17"/>
              </w:rPr>
              <w:t>Req ID</w:t>
            </w:r>
          </w:p>
        </w:tc>
        <w:tc>
          <w:tcPr>
            <w:tcW w:type="dxa" w:w="2304"/>
            <w:shd w:fill="19304A"/>
            <w:tcMar>
              <w:top w:w="100" w:type="dxa"/>
              <w:start w:w="120" w:type="dxa"/>
              <w:bottom w:w="100" w:type="dxa"/>
              <w:end w:w="120" w:type="dxa"/>
            </w:tcMar>
            <w:vAlign w:val="center"/>
          </w:tcPr>
          <w:p>
            <w:r>
              <w:rPr>
                <w:b/>
                <w:color w:val="FFFFFF"/>
                <w:sz w:val="17"/>
              </w:rPr>
              <w:t>Requirement</w:t>
            </w:r>
          </w:p>
        </w:tc>
        <w:tc>
          <w:tcPr>
            <w:tcW w:type="dxa" w:w="3816"/>
            <w:shd w:fill="19304A"/>
            <w:tcMar>
              <w:top w:w="100" w:type="dxa"/>
              <w:start w:w="120" w:type="dxa"/>
              <w:bottom w:w="100" w:type="dxa"/>
              <w:end w:w="120" w:type="dxa"/>
            </w:tcMar>
            <w:vAlign w:val="center"/>
          </w:tcPr>
          <w:p>
            <w:r>
              <w:rPr>
                <w:b/>
                <w:color w:val="FFFFFF"/>
                <w:sz w:val="17"/>
              </w:rPr>
              <w:t>Product behaviour</w:t>
            </w:r>
          </w:p>
        </w:tc>
        <w:tc>
          <w:tcPr>
            <w:tcW w:type="dxa" w:w="3096"/>
            <w:shd w:fill="19304A"/>
            <w:tcMar>
              <w:top w:w="100" w:type="dxa"/>
              <w:start w:w="120" w:type="dxa"/>
              <w:bottom w:w="100" w:type="dxa"/>
              <w:end w:w="120" w:type="dxa"/>
            </w:tcMar>
            <w:vAlign w:val="center"/>
          </w:tcPr>
          <w:p>
            <w:r>
              <w:rPr>
                <w:b/>
                <w:color w:val="FFFFFF"/>
                <w:sz w:val="17"/>
              </w:rPr>
              <w:t>MVP acceptance</w:t>
            </w:r>
          </w:p>
        </w:tc>
      </w:tr>
      <w:tr>
        <w:tc>
          <w:tcPr>
            <w:tcW w:type="dxa" w:w="1440"/>
            <w:tcMar>
              <w:top w:w="100" w:type="dxa"/>
              <w:start w:w="120" w:type="dxa"/>
              <w:bottom w:w="100" w:type="dxa"/>
              <w:end w:w="120" w:type="dxa"/>
            </w:tcMar>
            <w:vAlign w:val="center"/>
          </w:tcPr>
          <w:p>
            <w:r>
              <w:rPr>
                <w:sz w:val="17"/>
              </w:rPr>
              <w:t>FR-CASE-01</w:t>
            </w:r>
          </w:p>
        </w:tc>
        <w:tc>
          <w:tcPr>
            <w:tcW w:type="dxa" w:w="2304"/>
            <w:tcMar>
              <w:top w:w="100" w:type="dxa"/>
              <w:start w:w="120" w:type="dxa"/>
              <w:bottom w:w="100" w:type="dxa"/>
              <w:end w:w="120" w:type="dxa"/>
            </w:tcMar>
            <w:vAlign w:val="center"/>
          </w:tcPr>
          <w:p>
            <w:r>
              <w:rPr>
                <w:sz w:val="17"/>
              </w:rPr>
              <w:t>Create and manage case</w:t>
            </w:r>
          </w:p>
        </w:tc>
        <w:tc>
          <w:tcPr>
            <w:tcW w:type="dxa" w:w="3816"/>
            <w:tcMar>
              <w:top w:w="100" w:type="dxa"/>
              <w:start w:w="120" w:type="dxa"/>
              <w:bottom w:w="100" w:type="dxa"/>
              <w:end w:w="120" w:type="dxa"/>
            </w:tcMar>
            <w:vAlign w:val="center"/>
          </w:tcPr>
          <w:p>
            <w:r>
              <w:rPr>
                <w:sz w:val="17"/>
              </w:rPr>
              <w:t>Analyst can create a case with owner, purpose, investigation question, scope, sensitivity, jurisdiction, period, and status.</w:t>
            </w:r>
          </w:p>
        </w:tc>
        <w:tc>
          <w:tcPr>
            <w:tcW w:type="dxa" w:w="3096"/>
            <w:tcMar>
              <w:top w:w="100" w:type="dxa"/>
              <w:start w:w="120" w:type="dxa"/>
              <w:bottom w:w="100" w:type="dxa"/>
              <w:end w:w="120" w:type="dxa"/>
            </w:tcMar>
            <w:vAlign w:val="center"/>
          </w:tcPr>
          <w:p>
            <w:r>
              <w:rPr>
                <w:sz w:val="17"/>
              </w:rPr>
              <w:t>Case record created; mandatory Charter fields validated; audit event created.</w:t>
            </w:r>
          </w:p>
        </w:tc>
      </w:tr>
      <w:tr>
        <w:tc>
          <w:tcPr>
            <w:tcW w:type="dxa" w:w="1440"/>
            <w:tcMar>
              <w:top w:w="100" w:type="dxa"/>
              <w:start w:w="120" w:type="dxa"/>
              <w:bottom w:w="100" w:type="dxa"/>
              <w:end w:w="120" w:type="dxa"/>
            </w:tcMar>
            <w:vAlign w:val="center"/>
          </w:tcPr>
          <w:p>
            <w:r>
              <w:rPr>
                <w:sz w:val="17"/>
              </w:rPr>
              <w:t>FR-CASE-02</w:t>
            </w:r>
          </w:p>
        </w:tc>
        <w:tc>
          <w:tcPr>
            <w:tcW w:type="dxa" w:w="2304"/>
            <w:tcMar>
              <w:top w:w="100" w:type="dxa"/>
              <w:start w:w="120" w:type="dxa"/>
              <w:bottom w:w="100" w:type="dxa"/>
              <w:end w:w="120" w:type="dxa"/>
            </w:tcMar>
            <w:vAlign w:val="center"/>
          </w:tcPr>
          <w:p>
            <w:r>
              <w:rPr>
                <w:sz w:val="17"/>
              </w:rPr>
              <w:t>Investigation Charter</w:t>
            </w:r>
          </w:p>
        </w:tc>
        <w:tc>
          <w:tcPr>
            <w:tcW w:type="dxa" w:w="3816"/>
            <w:tcMar>
              <w:top w:w="100" w:type="dxa"/>
              <w:start w:w="120" w:type="dxa"/>
              <w:bottom w:w="100" w:type="dxa"/>
              <w:end w:w="120" w:type="dxa"/>
            </w:tcMar>
            <w:vAlign w:val="center"/>
          </w:tcPr>
          <w:p>
            <w:r>
              <w:rPr>
                <w:sz w:val="17"/>
              </w:rPr>
              <w:t>Case Owner can define included/excluded scope, initial subjects, hypotheses, collection constraints, risks, and intended outputs.</w:t>
            </w:r>
          </w:p>
        </w:tc>
        <w:tc>
          <w:tcPr>
            <w:tcW w:type="dxa" w:w="3096"/>
            <w:tcMar>
              <w:top w:w="100" w:type="dxa"/>
              <w:start w:w="120" w:type="dxa"/>
              <w:bottom w:w="100" w:type="dxa"/>
              <w:end w:w="120" w:type="dxa"/>
            </w:tcMar>
            <w:vAlign w:val="center"/>
          </w:tcPr>
          <w:p>
            <w:r>
              <w:rPr>
                <w:sz w:val="17"/>
              </w:rPr>
              <w:t>Charter is versioned; scope change requires reason and recorded approval when risk increases.</w:t>
            </w:r>
          </w:p>
        </w:tc>
      </w:tr>
      <w:tr>
        <w:tc>
          <w:tcPr>
            <w:tcW w:type="dxa" w:w="1440"/>
            <w:tcMar>
              <w:top w:w="100" w:type="dxa"/>
              <w:start w:w="120" w:type="dxa"/>
              <w:bottom w:w="100" w:type="dxa"/>
              <w:end w:w="120" w:type="dxa"/>
            </w:tcMar>
            <w:vAlign w:val="center"/>
          </w:tcPr>
          <w:p>
            <w:r>
              <w:rPr>
                <w:sz w:val="17"/>
              </w:rPr>
              <w:t>FR-CASE-03</w:t>
            </w:r>
          </w:p>
        </w:tc>
        <w:tc>
          <w:tcPr>
            <w:tcW w:type="dxa" w:w="2304"/>
            <w:tcMar>
              <w:top w:w="100" w:type="dxa"/>
              <w:start w:w="120" w:type="dxa"/>
              <w:bottom w:w="100" w:type="dxa"/>
              <w:end w:w="120" w:type="dxa"/>
            </w:tcMar>
            <w:vAlign w:val="center"/>
          </w:tcPr>
          <w:p>
            <w:r>
              <w:rPr>
                <w:sz w:val="17"/>
              </w:rPr>
              <w:t>Lifecycle gates</w:t>
            </w:r>
          </w:p>
        </w:tc>
        <w:tc>
          <w:tcPr>
            <w:tcW w:type="dxa" w:w="3816"/>
            <w:tcMar>
              <w:top w:w="100" w:type="dxa"/>
              <w:start w:w="120" w:type="dxa"/>
              <w:bottom w:w="100" w:type="dxa"/>
              <w:end w:w="120" w:type="dxa"/>
            </w:tcMar>
            <w:vAlign w:val="center"/>
          </w:tcPr>
          <w:p>
            <w:r>
              <w:rPr>
                <w:sz w:val="17"/>
              </w:rPr>
              <w:t>System enforces G0–G6 gate records for configured high-risk actions.</w:t>
            </w:r>
          </w:p>
        </w:tc>
        <w:tc>
          <w:tcPr>
            <w:tcW w:type="dxa" w:w="3096"/>
            <w:tcMar>
              <w:top w:w="100" w:type="dxa"/>
              <w:start w:w="120" w:type="dxa"/>
              <w:bottom w:w="100" w:type="dxa"/>
              <w:end w:w="120" w:type="dxa"/>
            </w:tcMar>
            <w:vAlign w:val="center"/>
          </w:tcPr>
          <w:p>
            <w:r>
              <w:rPr>
                <w:sz w:val="17"/>
              </w:rPr>
              <w:t>Controlled action cannot be marked approved without approver, time, decision, and conditions.</w:t>
            </w:r>
          </w:p>
        </w:tc>
      </w:tr>
      <w:tr>
        <w:tc>
          <w:tcPr>
            <w:tcW w:type="dxa" w:w="1440"/>
            <w:tcMar>
              <w:top w:w="100" w:type="dxa"/>
              <w:start w:w="120" w:type="dxa"/>
              <w:bottom w:w="100" w:type="dxa"/>
              <w:end w:w="120" w:type="dxa"/>
            </w:tcMar>
            <w:vAlign w:val="center"/>
          </w:tcPr>
          <w:p>
            <w:r>
              <w:rPr>
                <w:sz w:val="17"/>
              </w:rPr>
              <w:t>FR-CASE-04</w:t>
            </w:r>
          </w:p>
        </w:tc>
        <w:tc>
          <w:tcPr>
            <w:tcW w:type="dxa" w:w="2304"/>
            <w:tcMar>
              <w:top w:w="100" w:type="dxa"/>
              <w:start w:w="120" w:type="dxa"/>
              <w:bottom w:w="100" w:type="dxa"/>
              <w:end w:w="120" w:type="dxa"/>
            </w:tcMar>
            <w:vAlign w:val="center"/>
          </w:tcPr>
          <w:p>
            <w:r>
              <w:rPr>
                <w:sz w:val="17"/>
              </w:rPr>
              <w:t>Tasks and assignments</w:t>
            </w:r>
          </w:p>
        </w:tc>
        <w:tc>
          <w:tcPr>
            <w:tcW w:type="dxa" w:w="3816"/>
            <w:tcMar>
              <w:top w:w="100" w:type="dxa"/>
              <w:start w:w="120" w:type="dxa"/>
              <w:bottom w:w="100" w:type="dxa"/>
              <w:end w:w="120" w:type="dxa"/>
            </w:tcMar>
            <w:vAlign w:val="center"/>
          </w:tcPr>
          <w:p>
            <w:r>
              <w:rPr>
                <w:sz w:val="17"/>
              </w:rPr>
              <w:t>Users can assign investigative tasks with due dates and case linkage.</w:t>
            </w:r>
          </w:p>
        </w:tc>
        <w:tc>
          <w:tcPr>
            <w:tcW w:type="dxa" w:w="3096"/>
            <w:tcMar>
              <w:top w:w="100" w:type="dxa"/>
              <w:start w:w="120" w:type="dxa"/>
              <w:bottom w:w="100" w:type="dxa"/>
              <w:end w:w="120" w:type="dxa"/>
            </w:tcMar>
            <w:vAlign w:val="center"/>
          </w:tcPr>
          <w:p>
            <w:r>
              <w:rPr>
                <w:sz w:val="17"/>
              </w:rPr>
              <w:t>Task appears in case activity and user queue; completion recorded.</w:t>
            </w:r>
          </w:p>
        </w:tc>
      </w:tr>
    </w:tbl>
    <w:p>
      <w:pPr>
        <w:spacing w:after="20"/>
      </w:pPr>
    </w:p>
    <w:p>
      <w:pPr>
        <w:pStyle w:val="Heading2"/>
      </w:pPr>
      <w:r>
        <w:t>EPIC-02 Source &amp; Evidence</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9304A"/>
            <w:tcMar>
              <w:top w:w="100" w:type="dxa"/>
              <w:start w:w="120" w:type="dxa"/>
              <w:bottom w:w="100" w:type="dxa"/>
              <w:end w:w="120" w:type="dxa"/>
            </w:tcMar>
            <w:vAlign w:val="center"/>
          </w:tcPr>
          <w:p>
            <w:r>
              <w:rPr>
                <w:b/>
                <w:color w:val="FFFFFF"/>
                <w:sz w:val="17"/>
              </w:rPr>
              <w:t>Req ID</w:t>
            </w:r>
          </w:p>
        </w:tc>
        <w:tc>
          <w:tcPr>
            <w:tcW w:type="dxa" w:w="2304"/>
            <w:shd w:fill="19304A"/>
            <w:tcMar>
              <w:top w:w="100" w:type="dxa"/>
              <w:start w:w="120" w:type="dxa"/>
              <w:bottom w:w="100" w:type="dxa"/>
              <w:end w:w="120" w:type="dxa"/>
            </w:tcMar>
            <w:vAlign w:val="center"/>
          </w:tcPr>
          <w:p>
            <w:r>
              <w:rPr>
                <w:b/>
                <w:color w:val="FFFFFF"/>
                <w:sz w:val="17"/>
              </w:rPr>
              <w:t>Requirement</w:t>
            </w:r>
          </w:p>
        </w:tc>
        <w:tc>
          <w:tcPr>
            <w:tcW w:type="dxa" w:w="3816"/>
            <w:shd w:fill="19304A"/>
            <w:tcMar>
              <w:top w:w="100" w:type="dxa"/>
              <w:start w:w="120" w:type="dxa"/>
              <w:bottom w:w="100" w:type="dxa"/>
              <w:end w:w="120" w:type="dxa"/>
            </w:tcMar>
            <w:vAlign w:val="center"/>
          </w:tcPr>
          <w:p>
            <w:r>
              <w:rPr>
                <w:b/>
                <w:color w:val="FFFFFF"/>
                <w:sz w:val="17"/>
              </w:rPr>
              <w:t>Product behaviour</w:t>
            </w:r>
          </w:p>
        </w:tc>
        <w:tc>
          <w:tcPr>
            <w:tcW w:type="dxa" w:w="3096"/>
            <w:shd w:fill="19304A"/>
            <w:tcMar>
              <w:top w:w="100" w:type="dxa"/>
              <w:start w:w="120" w:type="dxa"/>
              <w:bottom w:w="100" w:type="dxa"/>
              <w:end w:w="120" w:type="dxa"/>
            </w:tcMar>
            <w:vAlign w:val="center"/>
          </w:tcPr>
          <w:p>
            <w:r>
              <w:rPr>
                <w:b/>
                <w:color w:val="FFFFFF"/>
                <w:sz w:val="17"/>
              </w:rPr>
              <w:t>MVP acceptance</w:t>
            </w:r>
          </w:p>
        </w:tc>
      </w:tr>
      <w:tr>
        <w:tc>
          <w:tcPr>
            <w:tcW w:type="dxa" w:w="1440"/>
            <w:tcMar>
              <w:top w:w="100" w:type="dxa"/>
              <w:start w:w="120" w:type="dxa"/>
              <w:bottom w:w="100" w:type="dxa"/>
              <w:end w:w="120" w:type="dxa"/>
            </w:tcMar>
            <w:vAlign w:val="center"/>
          </w:tcPr>
          <w:p>
            <w:r>
              <w:rPr>
                <w:sz w:val="17"/>
              </w:rPr>
              <w:t>FR-EVD-01</w:t>
            </w:r>
          </w:p>
        </w:tc>
        <w:tc>
          <w:tcPr>
            <w:tcW w:type="dxa" w:w="2304"/>
            <w:tcMar>
              <w:top w:w="100" w:type="dxa"/>
              <w:start w:w="120" w:type="dxa"/>
              <w:bottom w:w="100" w:type="dxa"/>
              <w:end w:w="120" w:type="dxa"/>
            </w:tcMar>
            <w:vAlign w:val="center"/>
          </w:tcPr>
          <w:p>
            <w:r>
              <w:rPr>
                <w:sz w:val="17"/>
              </w:rPr>
              <w:t>Source registration</w:t>
            </w:r>
          </w:p>
        </w:tc>
        <w:tc>
          <w:tcPr>
            <w:tcW w:type="dxa" w:w="3816"/>
            <w:tcMar>
              <w:top w:w="100" w:type="dxa"/>
              <w:start w:w="120" w:type="dxa"/>
              <w:bottom w:w="100" w:type="dxa"/>
              <w:end w:w="120" w:type="dxa"/>
            </w:tcMar>
            <w:vAlign w:val="center"/>
          </w:tcPr>
          <w:p>
            <w:r>
              <w:rPr>
                <w:sz w:val="17"/>
              </w:rPr>
              <w:t>Register source origin, type, URL/location, dates, collector, access/legal note, reliability.</w:t>
            </w:r>
          </w:p>
        </w:tc>
        <w:tc>
          <w:tcPr>
            <w:tcW w:type="dxa" w:w="3096"/>
            <w:tcMar>
              <w:top w:w="100" w:type="dxa"/>
              <w:start w:w="120" w:type="dxa"/>
              <w:bottom w:w="100" w:type="dxa"/>
              <w:end w:w="120" w:type="dxa"/>
            </w:tcMar>
            <w:vAlign w:val="center"/>
          </w:tcPr>
          <w:p>
            <w:r>
              <w:rPr>
                <w:sz w:val="17"/>
              </w:rPr>
              <w:t>Any material evidence can be traced to a Source ID.</w:t>
            </w:r>
          </w:p>
        </w:tc>
      </w:tr>
      <w:tr>
        <w:tc>
          <w:tcPr>
            <w:tcW w:type="dxa" w:w="1440"/>
            <w:tcMar>
              <w:top w:w="100" w:type="dxa"/>
              <w:start w:w="120" w:type="dxa"/>
              <w:bottom w:w="100" w:type="dxa"/>
              <w:end w:w="120" w:type="dxa"/>
            </w:tcMar>
            <w:vAlign w:val="center"/>
          </w:tcPr>
          <w:p>
            <w:r>
              <w:rPr>
                <w:sz w:val="17"/>
              </w:rPr>
              <w:t>FR-EVD-02</w:t>
            </w:r>
          </w:p>
        </w:tc>
        <w:tc>
          <w:tcPr>
            <w:tcW w:type="dxa" w:w="2304"/>
            <w:tcMar>
              <w:top w:w="100" w:type="dxa"/>
              <w:start w:w="120" w:type="dxa"/>
              <w:bottom w:w="100" w:type="dxa"/>
              <w:end w:w="120" w:type="dxa"/>
            </w:tcMar>
            <w:vAlign w:val="center"/>
          </w:tcPr>
          <w:p>
            <w:r>
              <w:rPr>
                <w:sz w:val="17"/>
              </w:rPr>
              <w:t>Original evidence preservation</w:t>
            </w:r>
          </w:p>
        </w:tc>
        <w:tc>
          <w:tcPr>
            <w:tcW w:type="dxa" w:w="3816"/>
            <w:tcMar>
              <w:top w:w="100" w:type="dxa"/>
              <w:start w:w="120" w:type="dxa"/>
              <w:bottom w:w="100" w:type="dxa"/>
              <w:end w:w="120" w:type="dxa"/>
            </w:tcMar>
            <w:vAlign w:val="center"/>
          </w:tcPr>
          <w:p>
            <w:r>
              <w:rPr>
                <w:sz w:val="17"/>
              </w:rPr>
              <w:t>Upload/store original files separately from working derivatives.</w:t>
            </w:r>
          </w:p>
        </w:tc>
        <w:tc>
          <w:tcPr>
            <w:tcW w:type="dxa" w:w="3096"/>
            <w:tcMar>
              <w:top w:w="100" w:type="dxa"/>
              <w:start w:w="120" w:type="dxa"/>
              <w:bottom w:w="100" w:type="dxa"/>
              <w:end w:w="120" w:type="dxa"/>
            </w:tcMar>
            <w:vAlign w:val="center"/>
          </w:tcPr>
          <w:p>
            <w:r>
              <w:rPr>
                <w:sz w:val="17"/>
              </w:rPr>
              <w:t>Original cannot be silently overwritten; file metadata and hash retained.</w:t>
            </w:r>
          </w:p>
        </w:tc>
      </w:tr>
      <w:tr>
        <w:tc>
          <w:tcPr>
            <w:tcW w:type="dxa" w:w="1440"/>
            <w:tcMar>
              <w:top w:w="100" w:type="dxa"/>
              <w:start w:w="120" w:type="dxa"/>
              <w:bottom w:w="100" w:type="dxa"/>
              <w:end w:w="120" w:type="dxa"/>
            </w:tcMar>
            <w:vAlign w:val="center"/>
          </w:tcPr>
          <w:p>
            <w:r>
              <w:rPr>
                <w:sz w:val="17"/>
              </w:rPr>
              <w:t>FR-EVD-03</w:t>
            </w:r>
          </w:p>
        </w:tc>
        <w:tc>
          <w:tcPr>
            <w:tcW w:type="dxa" w:w="2304"/>
            <w:tcMar>
              <w:top w:w="100" w:type="dxa"/>
              <w:start w:w="120" w:type="dxa"/>
              <w:bottom w:w="100" w:type="dxa"/>
              <w:end w:w="120" w:type="dxa"/>
            </w:tcMar>
            <w:vAlign w:val="center"/>
          </w:tcPr>
          <w:p>
            <w:r>
              <w:rPr>
                <w:sz w:val="17"/>
              </w:rPr>
              <w:t>Evidence extracts</w:t>
            </w:r>
          </w:p>
        </w:tc>
        <w:tc>
          <w:tcPr>
            <w:tcW w:type="dxa" w:w="3816"/>
            <w:tcMar>
              <w:top w:w="100" w:type="dxa"/>
              <w:start w:w="120" w:type="dxa"/>
              <w:bottom w:w="100" w:type="dxa"/>
              <w:end w:w="120" w:type="dxa"/>
            </w:tcMar>
            <w:vAlign w:val="center"/>
          </w:tcPr>
          <w:p>
            <w:r>
              <w:rPr>
                <w:sz w:val="17"/>
              </w:rPr>
              <w:t>Create page/section/quote/table/image extracts with exact parent link.</w:t>
            </w:r>
          </w:p>
        </w:tc>
        <w:tc>
          <w:tcPr>
            <w:tcW w:type="dxa" w:w="3096"/>
            <w:tcMar>
              <w:top w:w="100" w:type="dxa"/>
              <w:start w:w="120" w:type="dxa"/>
              <w:bottom w:w="100" w:type="dxa"/>
              <w:end w:w="120" w:type="dxa"/>
            </w:tcMar>
            <w:vAlign w:val="center"/>
          </w:tcPr>
          <w:p>
            <w:r>
              <w:rPr>
                <w:sz w:val="17"/>
              </w:rPr>
              <w:t>Reviewer can navigate from extract to parent evidence and location.</w:t>
            </w:r>
          </w:p>
        </w:tc>
      </w:tr>
      <w:tr>
        <w:tc>
          <w:tcPr>
            <w:tcW w:type="dxa" w:w="1440"/>
            <w:tcMar>
              <w:top w:w="100" w:type="dxa"/>
              <w:start w:w="120" w:type="dxa"/>
              <w:bottom w:w="100" w:type="dxa"/>
              <w:end w:w="120" w:type="dxa"/>
            </w:tcMar>
            <w:vAlign w:val="center"/>
          </w:tcPr>
          <w:p>
            <w:r>
              <w:rPr>
                <w:sz w:val="17"/>
              </w:rPr>
              <w:t>FR-EVD-04</w:t>
            </w:r>
          </w:p>
        </w:tc>
        <w:tc>
          <w:tcPr>
            <w:tcW w:type="dxa" w:w="2304"/>
            <w:tcMar>
              <w:top w:w="100" w:type="dxa"/>
              <w:start w:w="120" w:type="dxa"/>
              <w:bottom w:w="100" w:type="dxa"/>
              <w:end w:w="120" w:type="dxa"/>
            </w:tcMar>
            <w:vAlign w:val="center"/>
          </w:tcPr>
          <w:p>
            <w:r>
              <w:rPr>
                <w:sz w:val="17"/>
              </w:rPr>
              <w:t>Derivative lineage</w:t>
            </w:r>
          </w:p>
        </w:tc>
        <w:tc>
          <w:tcPr>
            <w:tcW w:type="dxa" w:w="3816"/>
            <w:tcMar>
              <w:top w:w="100" w:type="dxa"/>
              <w:start w:w="120" w:type="dxa"/>
              <w:bottom w:w="100" w:type="dxa"/>
              <w:end w:w="120" w:type="dxa"/>
            </w:tcMar>
            <w:vAlign w:val="center"/>
          </w:tcPr>
          <w:p>
            <w:r>
              <w:rPr>
                <w:sz w:val="17"/>
              </w:rPr>
              <w:t>OCR, translation, crop, parsed data, or analyst dataset records parent and transformation metadata.</w:t>
            </w:r>
          </w:p>
        </w:tc>
        <w:tc>
          <w:tcPr>
            <w:tcW w:type="dxa" w:w="3096"/>
            <w:tcMar>
              <w:top w:w="100" w:type="dxa"/>
              <w:start w:w="120" w:type="dxa"/>
              <w:bottom w:w="100" w:type="dxa"/>
              <w:end w:w="120" w:type="dxa"/>
            </w:tcMar>
            <w:vAlign w:val="center"/>
          </w:tcPr>
          <w:p>
            <w:r>
              <w:rPr>
                <w:sz w:val="17"/>
              </w:rPr>
              <w:t>No derivative can be presented as an original.</w:t>
            </w:r>
          </w:p>
        </w:tc>
      </w:tr>
      <w:tr>
        <w:tc>
          <w:tcPr>
            <w:tcW w:type="dxa" w:w="1440"/>
            <w:tcMar>
              <w:top w:w="100" w:type="dxa"/>
              <w:start w:w="120" w:type="dxa"/>
              <w:bottom w:w="100" w:type="dxa"/>
              <w:end w:w="120" w:type="dxa"/>
            </w:tcMar>
            <w:vAlign w:val="center"/>
          </w:tcPr>
          <w:p>
            <w:r>
              <w:rPr>
                <w:sz w:val="17"/>
              </w:rPr>
              <w:t>FR-EVD-05</w:t>
            </w:r>
          </w:p>
        </w:tc>
        <w:tc>
          <w:tcPr>
            <w:tcW w:type="dxa" w:w="2304"/>
            <w:tcMar>
              <w:top w:w="100" w:type="dxa"/>
              <w:start w:w="120" w:type="dxa"/>
              <w:bottom w:w="100" w:type="dxa"/>
              <w:end w:w="120" w:type="dxa"/>
            </w:tcMar>
            <w:vAlign w:val="center"/>
          </w:tcPr>
          <w:p>
            <w:r>
              <w:rPr>
                <w:sz w:val="17"/>
              </w:rPr>
              <w:t>Source &amp; information evaluation</w:t>
            </w:r>
          </w:p>
        </w:tc>
        <w:tc>
          <w:tcPr>
            <w:tcW w:type="dxa" w:w="3816"/>
            <w:tcMar>
              <w:top w:w="100" w:type="dxa"/>
              <w:start w:w="120" w:type="dxa"/>
              <w:bottom w:w="100" w:type="dxa"/>
              <w:end w:w="120" w:type="dxa"/>
            </w:tcMar>
            <w:vAlign w:val="center"/>
          </w:tcPr>
          <w:p>
            <w:r>
              <w:rPr>
                <w:sz w:val="17"/>
              </w:rPr>
              <w:t>Record source reliability separately from information credibility.</w:t>
            </w:r>
          </w:p>
        </w:tc>
        <w:tc>
          <w:tcPr>
            <w:tcW w:type="dxa" w:w="3096"/>
            <w:tcMar>
              <w:top w:w="100" w:type="dxa"/>
              <w:start w:w="120" w:type="dxa"/>
              <w:bottom w:w="100" w:type="dxa"/>
              <w:end w:w="120" w:type="dxa"/>
            </w:tcMar>
            <w:vAlign w:val="center"/>
          </w:tcPr>
          <w:p>
            <w:r>
              <w:rPr>
                <w:sz w:val="17"/>
              </w:rPr>
              <w:t>UI displays both dimensions independently.</w:t>
            </w:r>
          </w:p>
        </w:tc>
      </w:tr>
    </w:tbl>
    <w:p>
      <w:pPr>
        <w:spacing w:after="20"/>
      </w:pPr>
    </w:p>
    <w:p>
      <w:pPr>
        <w:pStyle w:val="Heading2"/>
      </w:pPr>
      <w:r>
        <w:t>EPIC-03 Entity &amp; Relationship</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9304A"/>
            <w:tcMar>
              <w:top w:w="100" w:type="dxa"/>
              <w:start w:w="120" w:type="dxa"/>
              <w:bottom w:w="100" w:type="dxa"/>
              <w:end w:w="120" w:type="dxa"/>
            </w:tcMar>
            <w:vAlign w:val="center"/>
          </w:tcPr>
          <w:p>
            <w:r>
              <w:rPr>
                <w:b/>
                <w:color w:val="FFFFFF"/>
                <w:sz w:val="17"/>
              </w:rPr>
              <w:t>Req ID</w:t>
            </w:r>
          </w:p>
        </w:tc>
        <w:tc>
          <w:tcPr>
            <w:tcW w:type="dxa" w:w="2304"/>
            <w:shd w:fill="19304A"/>
            <w:tcMar>
              <w:top w:w="100" w:type="dxa"/>
              <w:start w:w="120" w:type="dxa"/>
              <w:bottom w:w="100" w:type="dxa"/>
              <w:end w:w="120" w:type="dxa"/>
            </w:tcMar>
            <w:vAlign w:val="center"/>
          </w:tcPr>
          <w:p>
            <w:r>
              <w:rPr>
                <w:b/>
                <w:color w:val="FFFFFF"/>
                <w:sz w:val="17"/>
              </w:rPr>
              <w:t>Requirement</w:t>
            </w:r>
          </w:p>
        </w:tc>
        <w:tc>
          <w:tcPr>
            <w:tcW w:type="dxa" w:w="3816"/>
            <w:shd w:fill="19304A"/>
            <w:tcMar>
              <w:top w:w="100" w:type="dxa"/>
              <w:start w:w="120" w:type="dxa"/>
              <w:bottom w:w="100" w:type="dxa"/>
              <w:end w:w="120" w:type="dxa"/>
            </w:tcMar>
            <w:vAlign w:val="center"/>
          </w:tcPr>
          <w:p>
            <w:r>
              <w:rPr>
                <w:b/>
                <w:color w:val="FFFFFF"/>
                <w:sz w:val="17"/>
              </w:rPr>
              <w:t>Product behaviour</w:t>
            </w:r>
          </w:p>
        </w:tc>
        <w:tc>
          <w:tcPr>
            <w:tcW w:type="dxa" w:w="3096"/>
            <w:shd w:fill="19304A"/>
            <w:tcMar>
              <w:top w:w="100" w:type="dxa"/>
              <w:start w:w="120" w:type="dxa"/>
              <w:bottom w:w="100" w:type="dxa"/>
              <w:end w:w="120" w:type="dxa"/>
            </w:tcMar>
            <w:vAlign w:val="center"/>
          </w:tcPr>
          <w:p>
            <w:r>
              <w:rPr>
                <w:b/>
                <w:color w:val="FFFFFF"/>
                <w:sz w:val="17"/>
              </w:rPr>
              <w:t>MVP acceptance</w:t>
            </w:r>
          </w:p>
        </w:tc>
      </w:tr>
      <w:tr>
        <w:tc>
          <w:tcPr>
            <w:tcW w:type="dxa" w:w="1440"/>
            <w:tcMar>
              <w:top w:w="100" w:type="dxa"/>
              <w:start w:w="120" w:type="dxa"/>
              <w:bottom w:w="100" w:type="dxa"/>
              <w:end w:w="120" w:type="dxa"/>
            </w:tcMar>
            <w:vAlign w:val="center"/>
          </w:tcPr>
          <w:p>
            <w:r>
              <w:rPr>
                <w:sz w:val="17"/>
              </w:rPr>
              <w:t>FR-ENT-01</w:t>
            </w:r>
          </w:p>
        </w:tc>
        <w:tc>
          <w:tcPr>
            <w:tcW w:type="dxa" w:w="2304"/>
            <w:tcMar>
              <w:top w:w="100" w:type="dxa"/>
              <w:start w:w="120" w:type="dxa"/>
              <w:bottom w:w="100" w:type="dxa"/>
              <w:end w:w="120" w:type="dxa"/>
            </w:tcMar>
            <w:vAlign w:val="center"/>
          </w:tcPr>
          <w:p>
            <w:r>
              <w:rPr>
                <w:sz w:val="17"/>
              </w:rPr>
              <w:t>Entity registry</w:t>
            </w:r>
          </w:p>
        </w:tc>
        <w:tc>
          <w:tcPr>
            <w:tcW w:type="dxa" w:w="3816"/>
            <w:tcMar>
              <w:top w:w="100" w:type="dxa"/>
              <w:start w:w="120" w:type="dxa"/>
              <w:bottom w:w="100" w:type="dxa"/>
              <w:end w:w="120" w:type="dxa"/>
            </w:tcMar>
            <w:vAlign w:val="center"/>
          </w:tcPr>
          <w:p>
            <w:r>
              <w:rPr>
                <w:sz w:val="17"/>
              </w:rPr>
              <w:t>Create reusable Person, Organization, Address, Account, Wallet, Asset-related and other supported entity objects.</w:t>
            </w:r>
          </w:p>
        </w:tc>
        <w:tc>
          <w:tcPr>
            <w:tcW w:type="dxa" w:w="3096"/>
            <w:tcMar>
              <w:top w:w="100" w:type="dxa"/>
              <w:start w:w="120" w:type="dxa"/>
              <w:bottom w:w="100" w:type="dxa"/>
              <w:end w:w="120" w:type="dxa"/>
            </w:tcMar>
            <w:vAlign w:val="center"/>
          </w:tcPr>
          <w:p>
            <w:r>
              <w:rPr>
                <w:sz w:val="17"/>
              </w:rPr>
              <w:t>Stable ID; aliases/identifiers; case links without entity duplication.</w:t>
            </w:r>
          </w:p>
        </w:tc>
      </w:tr>
      <w:tr>
        <w:tc>
          <w:tcPr>
            <w:tcW w:type="dxa" w:w="1440"/>
            <w:tcMar>
              <w:top w:w="100" w:type="dxa"/>
              <w:start w:w="120" w:type="dxa"/>
              <w:bottom w:w="100" w:type="dxa"/>
              <w:end w:w="120" w:type="dxa"/>
            </w:tcMar>
            <w:vAlign w:val="center"/>
          </w:tcPr>
          <w:p>
            <w:r>
              <w:rPr>
                <w:sz w:val="17"/>
              </w:rPr>
              <w:t>FR-ENT-02</w:t>
            </w:r>
          </w:p>
        </w:tc>
        <w:tc>
          <w:tcPr>
            <w:tcW w:type="dxa" w:w="2304"/>
            <w:tcMar>
              <w:top w:w="100" w:type="dxa"/>
              <w:start w:w="120" w:type="dxa"/>
              <w:bottom w:w="100" w:type="dxa"/>
              <w:end w:w="120" w:type="dxa"/>
            </w:tcMar>
            <w:vAlign w:val="center"/>
          </w:tcPr>
          <w:p>
            <w:r>
              <w:rPr>
                <w:sz w:val="17"/>
              </w:rPr>
              <w:t>Candidate matching</w:t>
            </w:r>
          </w:p>
        </w:tc>
        <w:tc>
          <w:tcPr>
            <w:tcW w:type="dxa" w:w="3816"/>
            <w:tcMar>
              <w:top w:w="100" w:type="dxa"/>
              <w:start w:w="120" w:type="dxa"/>
              <w:bottom w:w="100" w:type="dxa"/>
              <w:end w:w="120" w:type="dxa"/>
            </w:tcMar>
            <w:vAlign w:val="center"/>
          </w:tcPr>
          <w:p>
            <w:r>
              <w:rPr>
                <w:sz w:val="17"/>
              </w:rPr>
              <w:t>System surfaces possible duplicate entities using deterministic/fuzzy signals.</w:t>
            </w:r>
          </w:p>
        </w:tc>
        <w:tc>
          <w:tcPr>
            <w:tcW w:type="dxa" w:w="3096"/>
            <w:tcMar>
              <w:top w:w="100" w:type="dxa"/>
              <w:start w:w="120" w:type="dxa"/>
              <w:bottom w:w="100" w:type="dxa"/>
              <w:end w:w="120" w:type="dxa"/>
            </w:tcMar>
            <w:vAlign w:val="center"/>
          </w:tcPr>
          <w:p>
            <w:r>
              <w:rPr>
                <w:sz w:val="17"/>
              </w:rPr>
              <w:t>Candidate suggestion includes reasons; no automatic merge.</w:t>
            </w:r>
          </w:p>
        </w:tc>
      </w:tr>
      <w:tr>
        <w:tc>
          <w:tcPr>
            <w:tcW w:type="dxa" w:w="1440"/>
            <w:tcMar>
              <w:top w:w="100" w:type="dxa"/>
              <w:start w:w="120" w:type="dxa"/>
              <w:bottom w:w="100" w:type="dxa"/>
              <w:end w:w="120" w:type="dxa"/>
            </w:tcMar>
            <w:vAlign w:val="center"/>
          </w:tcPr>
          <w:p>
            <w:r>
              <w:rPr>
                <w:sz w:val="17"/>
              </w:rPr>
              <w:t>FR-ENT-03</w:t>
            </w:r>
          </w:p>
        </w:tc>
        <w:tc>
          <w:tcPr>
            <w:tcW w:type="dxa" w:w="2304"/>
            <w:tcMar>
              <w:top w:w="100" w:type="dxa"/>
              <w:start w:w="120" w:type="dxa"/>
              <w:bottom w:w="100" w:type="dxa"/>
              <w:end w:w="120" w:type="dxa"/>
            </w:tcMar>
            <w:vAlign w:val="center"/>
          </w:tcPr>
          <w:p>
            <w:r>
              <w:rPr>
                <w:sz w:val="17"/>
              </w:rPr>
              <w:t>Merge/unmerge</w:t>
            </w:r>
          </w:p>
        </w:tc>
        <w:tc>
          <w:tcPr>
            <w:tcW w:type="dxa" w:w="3816"/>
            <w:tcMar>
              <w:top w:w="100" w:type="dxa"/>
              <w:start w:w="120" w:type="dxa"/>
              <w:bottom w:w="100" w:type="dxa"/>
              <w:end w:w="120" w:type="dxa"/>
            </w:tcMar>
            <w:vAlign w:val="center"/>
          </w:tcPr>
          <w:p>
            <w:r>
              <w:rPr>
                <w:sz w:val="17"/>
              </w:rPr>
              <w:t>Reviewer-authorised entity merges preserve decision rationale, evidence, aliases, identifiers, and history.</w:t>
            </w:r>
          </w:p>
        </w:tc>
        <w:tc>
          <w:tcPr>
            <w:tcW w:type="dxa" w:w="3096"/>
            <w:tcMar>
              <w:top w:w="100" w:type="dxa"/>
              <w:start w:w="120" w:type="dxa"/>
              <w:bottom w:w="100" w:type="dxa"/>
              <w:end w:w="120" w:type="dxa"/>
            </w:tcMar>
            <w:vAlign w:val="center"/>
          </w:tcPr>
          <w:p>
            <w:r>
              <w:rPr>
                <w:sz w:val="17"/>
              </w:rPr>
              <w:t>Merge is reversible and audit logged.</w:t>
            </w:r>
          </w:p>
        </w:tc>
      </w:tr>
      <w:tr>
        <w:tc>
          <w:tcPr>
            <w:tcW w:type="dxa" w:w="1440"/>
            <w:tcMar>
              <w:top w:w="100" w:type="dxa"/>
              <w:start w:w="120" w:type="dxa"/>
              <w:bottom w:w="100" w:type="dxa"/>
              <w:end w:w="120" w:type="dxa"/>
            </w:tcMar>
            <w:vAlign w:val="center"/>
          </w:tcPr>
          <w:p>
            <w:r>
              <w:rPr>
                <w:sz w:val="17"/>
              </w:rPr>
              <w:t>FR-REL-01</w:t>
            </w:r>
          </w:p>
        </w:tc>
        <w:tc>
          <w:tcPr>
            <w:tcW w:type="dxa" w:w="2304"/>
            <w:tcMar>
              <w:top w:w="100" w:type="dxa"/>
              <w:start w:w="120" w:type="dxa"/>
              <w:bottom w:w="100" w:type="dxa"/>
              <w:end w:w="120" w:type="dxa"/>
            </w:tcMar>
            <w:vAlign w:val="center"/>
          </w:tcPr>
          <w:p>
            <w:r>
              <w:rPr>
                <w:sz w:val="17"/>
              </w:rPr>
              <w:t>Relationship records</w:t>
            </w:r>
          </w:p>
        </w:tc>
        <w:tc>
          <w:tcPr>
            <w:tcW w:type="dxa" w:w="3816"/>
            <w:tcMar>
              <w:top w:w="100" w:type="dxa"/>
              <w:start w:w="120" w:type="dxa"/>
              <w:bottom w:w="100" w:type="dxa"/>
              <w:end w:w="120" w:type="dxa"/>
            </w:tcMar>
            <w:vAlign w:val="center"/>
          </w:tcPr>
          <w:p>
            <w:r>
              <w:rPr>
                <w:sz w:val="17"/>
              </w:rPr>
              <w:t>Create relationship with typed endpoints, evidence, valid time, confidence, status.</w:t>
            </w:r>
          </w:p>
        </w:tc>
        <w:tc>
          <w:tcPr>
            <w:tcW w:type="dxa" w:w="3096"/>
            <w:tcMar>
              <w:top w:w="100" w:type="dxa"/>
              <w:start w:w="120" w:type="dxa"/>
              <w:bottom w:w="100" w:type="dxa"/>
              <w:end w:w="120" w:type="dxa"/>
            </w:tcMar>
            <w:vAlign w:val="center"/>
          </w:tcPr>
          <w:p>
            <w:r>
              <w:rPr>
                <w:sz w:val="17"/>
              </w:rPr>
              <w:t>Graph edge opens underlying relationship record and evidence.</w:t>
            </w:r>
          </w:p>
        </w:tc>
      </w:tr>
      <w:tr>
        <w:tc>
          <w:tcPr>
            <w:tcW w:type="dxa" w:w="1440"/>
            <w:tcMar>
              <w:top w:w="100" w:type="dxa"/>
              <w:start w:w="120" w:type="dxa"/>
              <w:bottom w:w="100" w:type="dxa"/>
              <w:end w:w="120" w:type="dxa"/>
            </w:tcMar>
            <w:vAlign w:val="center"/>
          </w:tcPr>
          <w:p>
            <w:r>
              <w:rPr>
                <w:sz w:val="17"/>
              </w:rPr>
              <w:t>FR-REL-02</w:t>
            </w:r>
          </w:p>
        </w:tc>
        <w:tc>
          <w:tcPr>
            <w:tcW w:type="dxa" w:w="2304"/>
            <w:tcMar>
              <w:top w:w="100" w:type="dxa"/>
              <w:start w:w="120" w:type="dxa"/>
              <w:bottom w:w="100" w:type="dxa"/>
              <w:end w:w="120" w:type="dxa"/>
            </w:tcMar>
            <w:vAlign w:val="center"/>
          </w:tcPr>
          <w:p>
            <w:r>
              <w:rPr>
                <w:sz w:val="17"/>
              </w:rPr>
              <w:t>Ownership/control</w:t>
            </w:r>
          </w:p>
        </w:tc>
        <w:tc>
          <w:tcPr>
            <w:tcW w:type="dxa" w:w="3816"/>
            <w:tcMar>
              <w:top w:w="100" w:type="dxa"/>
              <w:start w:w="120" w:type="dxa"/>
              <w:bottom w:w="100" w:type="dxa"/>
              <w:end w:w="120" w:type="dxa"/>
            </w:tcMar>
            <w:vAlign w:val="center"/>
          </w:tcPr>
          <w:p>
            <w:r>
              <w:rPr>
                <w:sz w:val="17"/>
              </w:rPr>
              <w:t>Represent legal ownership, beneficial ownership, control, use, and association separately.</w:t>
            </w:r>
          </w:p>
        </w:tc>
        <w:tc>
          <w:tcPr>
            <w:tcW w:type="dxa" w:w="3096"/>
            <w:tcMar>
              <w:top w:w="100" w:type="dxa"/>
              <w:start w:w="120" w:type="dxa"/>
              <w:bottom w:w="100" w:type="dxa"/>
              <w:end w:w="120" w:type="dxa"/>
            </w:tcMar>
            <w:vAlign w:val="center"/>
          </w:tcPr>
          <w:p>
            <w:r>
              <w:rPr>
                <w:sz w:val="17"/>
              </w:rPr>
              <w:t>UI cannot collapse these concepts into one generic “owns” state.</w:t>
            </w:r>
          </w:p>
        </w:tc>
      </w:tr>
    </w:tbl>
    <w:p>
      <w:pPr>
        <w:spacing w:after="20"/>
      </w:pPr>
    </w:p>
    <w:p>
      <w:pPr>
        <w:pStyle w:val="Heading2"/>
      </w:pPr>
      <w:r>
        <w:t>EPIC-04 Assets, Events &amp; Timeline</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9304A"/>
            <w:tcMar>
              <w:top w:w="100" w:type="dxa"/>
              <w:start w:w="120" w:type="dxa"/>
              <w:bottom w:w="100" w:type="dxa"/>
              <w:end w:w="120" w:type="dxa"/>
            </w:tcMar>
            <w:vAlign w:val="center"/>
          </w:tcPr>
          <w:p>
            <w:r>
              <w:rPr>
                <w:b/>
                <w:color w:val="FFFFFF"/>
                <w:sz w:val="17"/>
              </w:rPr>
              <w:t>Req ID</w:t>
            </w:r>
          </w:p>
        </w:tc>
        <w:tc>
          <w:tcPr>
            <w:tcW w:type="dxa" w:w="2304"/>
            <w:shd w:fill="19304A"/>
            <w:tcMar>
              <w:top w:w="100" w:type="dxa"/>
              <w:start w:w="120" w:type="dxa"/>
              <w:bottom w:w="100" w:type="dxa"/>
              <w:end w:w="120" w:type="dxa"/>
            </w:tcMar>
            <w:vAlign w:val="center"/>
          </w:tcPr>
          <w:p>
            <w:r>
              <w:rPr>
                <w:b/>
                <w:color w:val="FFFFFF"/>
                <w:sz w:val="17"/>
              </w:rPr>
              <w:t>Requirement</w:t>
            </w:r>
          </w:p>
        </w:tc>
        <w:tc>
          <w:tcPr>
            <w:tcW w:type="dxa" w:w="3816"/>
            <w:shd w:fill="19304A"/>
            <w:tcMar>
              <w:top w:w="100" w:type="dxa"/>
              <w:start w:w="120" w:type="dxa"/>
              <w:bottom w:w="100" w:type="dxa"/>
              <w:end w:w="120" w:type="dxa"/>
            </w:tcMar>
            <w:vAlign w:val="center"/>
          </w:tcPr>
          <w:p>
            <w:r>
              <w:rPr>
                <w:b/>
                <w:color w:val="FFFFFF"/>
                <w:sz w:val="17"/>
              </w:rPr>
              <w:t>Product behaviour</w:t>
            </w:r>
          </w:p>
        </w:tc>
        <w:tc>
          <w:tcPr>
            <w:tcW w:type="dxa" w:w="3096"/>
            <w:shd w:fill="19304A"/>
            <w:tcMar>
              <w:top w:w="100" w:type="dxa"/>
              <w:start w:w="120" w:type="dxa"/>
              <w:bottom w:w="100" w:type="dxa"/>
              <w:end w:w="120" w:type="dxa"/>
            </w:tcMar>
            <w:vAlign w:val="center"/>
          </w:tcPr>
          <w:p>
            <w:r>
              <w:rPr>
                <w:b/>
                <w:color w:val="FFFFFF"/>
                <w:sz w:val="17"/>
              </w:rPr>
              <w:t>MVP acceptance</w:t>
            </w:r>
          </w:p>
        </w:tc>
      </w:tr>
      <w:tr>
        <w:tc>
          <w:tcPr>
            <w:tcW w:type="dxa" w:w="1440"/>
            <w:tcMar>
              <w:top w:w="100" w:type="dxa"/>
              <w:start w:w="120" w:type="dxa"/>
              <w:bottom w:w="100" w:type="dxa"/>
              <w:end w:w="120" w:type="dxa"/>
            </w:tcMar>
            <w:vAlign w:val="center"/>
          </w:tcPr>
          <w:p>
            <w:r>
              <w:rPr>
                <w:sz w:val="17"/>
              </w:rPr>
              <w:t>FR-AST-01</w:t>
            </w:r>
          </w:p>
        </w:tc>
        <w:tc>
          <w:tcPr>
            <w:tcW w:type="dxa" w:w="2304"/>
            <w:tcMar>
              <w:top w:w="100" w:type="dxa"/>
              <w:start w:w="120" w:type="dxa"/>
              <w:bottom w:w="100" w:type="dxa"/>
              <w:end w:w="120" w:type="dxa"/>
            </w:tcMar>
            <w:vAlign w:val="center"/>
          </w:tcPr>
          <w:p>
            <w:r>
              <w:rPr>
                <w:sz w:val="17"/>
              </w:rPr>
              <w:t>Asset registry</w:t>
            </w:r>
          </w:p>
        </w:tc>
        <w:tc>
          <w:tcPr>
            <w:tcW w:type="dxa" w:w="3816"/>
            <w:tcMar>
              <w:top w:w="100" w:type="dxa"/>
              <w:start w:w="120" w:type="dxa"/>
              <w:bottom w:w="100" w:type="dxa"/>
              <w:end w:w="120" w:type="dxa"/>
            </w:tcMar>
            <w:vAlign w:val="center"/>
          </w:tcPr>
          <w:p>
            <w:r>
              <w:rPr>
                <w:sz w:val="17"/>
              </w:rPr>
              <w:t>Register property, vehicle, company share, vessel, crypto asset, or other assets with ownership/control/use distinctions.</w:t>
            </w:r>
          </w:p>
        </w:tc>
        <w:tc>
          <w:tcPr>
            <w:tcW w:type="dxa" w:w="3096"/>
            <w:tcMar>
              <w:top w:w="100" w:type="dxa"/>
              <w:start w:w="120" w:type="dxa"/>
              <w:bottom w:w="100" w:type="dxa"/>
              <w:end w:w="120" w:type="dxa"/>
            </w:tcMar>
            <w:vAlign w:val="center"/>
          </w:tcPr>
          <w:p>
            <w:r>
              <w:rPr>
                <w:sz w:val="17"/>
              </w:rPr>
              <w:t>Asset has stable ID, evidence, dates, and status.</w:t>
            </w:r>
          </w:p>
        </w:tc>
      </w:tr>
      <w:tr>
        <w:tc>
          <w:tcPr>
            <w:tcW w:type="dxa" w:w="1440"/>
            <w:tcMar>
              <w:top w:w="100" w:type="dxa"/>
              <w:start w:w="120" w:type="dxa"/>
              <w:bottom w:w="100" w:type="dxa"/>
              <w:end w:w="120" w:type="dxa"/>
            </w:tcMar>
            <w:vAlign w:val="center"/>
          </w:tcPr>
          <w:p>
            <w:r>
              <w:rPr>
                <w:sz w:val="17"/>
              </w:rPr>
              <w:t>FR-TIM-01</w:t>
            </w:r>
          </w:p>
        </w:tc>
        <w:tc>
          <w:tcPr>
            <w:tcW w:type="dxa" w:w="2304"/>
            <w:tcMar>
              <w:top w:w="100" w:type="dxa"/>
              <w:start w:w="120" w:type="dxa"/>
              <w:bottom w:w="100" w:type="dxa"/>
              <w:end w:w="120" w:type="dxa"/>
            </w:tcMar>
            <w:vAlign w:val="center"/>
          </w:tcPr>
          <w:p>
            <w:r>
              <w:rPr>
                <w:sz w:val="17"/>
              </w:rPr>
              <w:t>Event record</w:t>
            </w:r>
          </w:p>
        </w:tc>
        <w:tc>
          <w:tcPr>
            <w:tcW w:type="dxa" w:w="3816"/>
            <w:tcMar>
              <w:top w:w="100" w:type="dxa"/>
              <w:start w:w="120" w:type="dxa"/>
              <w:bottom w:w="100" w:type="dxa"/>
              <w:end w:w="120" w:type="dxa"/>
            </w:tcMar>
            <w:vAlign w:val="center"/>
          </w:tcPr>
          <w:p>
            <w:r>
              <w:rPr>
                <w:sz w:val="17"/>
              </w:rPr>
              <w:t>Create dated events linked to entities, assets, places, sources/evidence.</w:t>
            </w:r>
          </w:p>
        </w:tc>
        <w:tc>
          <w:tcPr>
            <w:tcW w:type="dxa" w:w="3096"/>
            <w:tcMar>
              <w:top w:w="100" w:type="dxa"/>
              <w:start w:w="120" w:type="dxa"/>
              <w:bottom w:w="100" w:type="dxa"/>
              <w:end w:w="120" w:type="dxa"/>
            </w:tcMar>
            <w:vAlign w:val="center"/>
          </w:tcPr>
          <w:p>
            <w:r>
              <w:rPr>
                <w:sz w:val="17"/>
              </w:rPr>
              <w:t>Date precision is explicit when exact date is unknown.</w:t>
            </w:r>
          </w:p>
        </w:tc>
      </w:tr>
      <w:tr>
        <w:tc>
          <w:tcPr>
            <w:tcW w:type="dxa" w:w="1440"/>
            <w:tcMar>
              <w:top w:w="100" w:type="dxa"/>
              <w:start w:w="120" w:type="dxa"/>
              <w:bottom w:w="100" w:type="dxa"/>
              <w:end w:w="120" w:type="dxa"/>
            </w:tcMar>
            <w:vAlign w:val="center"/>
          </w:tcPr>
          <w:p>
            <w:r>
              <w:rPr>
                <w:sz w:val="17"/>
              </w:rPr>
              <w:t>FR-TIM-02</w:t>
            </w:r>
          </w:p>
        </w:tc>
        <w:tc>
          <w:tcPr>
            <w:tcW w:type="dxa" w:w="2304"/>
            <w:tcMar>
              <w:top w:w="100" w:type="dxa"/>
              <w:start w:w="120" w:type="dxa"/>
              <w:bottom w:w="100" w:type="dxa"/>
              <w:end w:w="120" w:type="dxa"/>
            </w:tcMar>
            <w:vAlign w:val="center"/>
          </w:tcPr>
          <w:p>
            <w:r>
              <w:rPr>
                <w:sz w:val="17"/>
              </w:rPr>
              <w:t>Timeline view</w:t>
            </w:r>
          </w:p>
        </w:tc>
        <w:tc>
          <w:tcPr>
            <w:tcW w:type="dxa" w:w="3816"/>
            <w:tcMar>
              <w:top w:w="100" w:type="dxa"/>
              <w:start w:w="120" w:type="dxa"/>
              <w:bottom w:w="100" w:type="dxa"/>
              <w:end w:w="120" w:type="dxa"/>
            </w:tcMar>
            <w:vAlign w:val="center"/>
          </w:tcPr>
          <w:p>
            <w:r>
              <w:rPr>
                <w:sz w:val="17"/>
              </w:rPr>
              <w:t>Render case/entity timeline from canonical events.</w:t>
            </w:r>
          </w:p>
        </w:tc>
        <w:tc>
          <w:tcPr>
            <w:tcW w:type="dxa" w:w="3096"/>
            <w:tcMar>
              <w:top w:w="100" w:type="dxa"/>
              <w:start w:w="120" w:type="dxa"/>
              <w:bottom w:w="100" w:type="dxa"/>
              <w:end w:w="120" w:type="dxa"/>
            </w:tcMar>
            <w:vAlign w:val="center"/>
          </w:tcPr>
          <w:p>
            <w:r>
              <w:rPr>
                <w:sz w:val="17"/>
              </w:rPr>
              <w:t>Every timeline item can be opened to supporting record/evidence.</w:t>
            </w:r>
          </w:p>
        </w:tc>
      </w:tr>
    </w:tbl>
    <w:p>
      <w:pPr>
        <w:spacing w:after="20"/>
      </w:pPr>
    </w:p>
    <w:p>
      <w:pPr>
        <w:pStyle w:val="Heading2"/>
      </w:pPr>
      <w:r>
        <w:t>EPIC-05 Follow-the-Value</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9304A"/>
            <w:tcMar>
              <w:top w:w="100" w:type="dxa"/>
              <w:start w:w="120" w:type="dxa"/>
              <w:bottom w:w="100" w:type="dxa"/>
              <w:end w:w="120" w:type="dxa"/>
            </w:tcMar>
            <w:vAlign w:val="center"/>
          </w:tcPr>
          <w:p>
            <w:r>
              <w:rPr>
                <w:b/>
                <w:color w:val="FFFFFF"/>
                <w:sz w:val="17"/>
              </w:rPr>
              <w:t>Req ID</w:t>
            </w:r>
          </w:p>
        </w:tc>
        <w:tc>
          <w:tcPr>
            <w:tcW w:type="dxa" w:w="2304"/>
            <w:shd w:fill="19304A"/>
            <w:tcMar>
              <w:top w:w="100" w:type="dxa"/>
              <w:start w:w="120" w:type="dxa"/>
              <w:bottom w:w="100" w:type="dxa"/>
              <w:end w:w="120" w:type="dxa"/>
            </w:tcMar>
            <w:vAlign w:val="center"/>
          </w:tcPr>
          <w:p>
            <w:r>
              <w:rPr>
                <w:b/>
                <w:color w:val="FFFFFF"/>
                <w:sz w:val="17"/>
              </w:rPr>
              <w:t>Requirement</w:t>
            </w:r>
          </w:p>
        </w:tc>
        <w:tc>
          <w:tcPr>
            <w:tcW w:type="dxa" w:w="3816"/>
            <w:shd w:fill="19304A"/>
            <w:tcMar>
              <w:top w:w="100" w:type="dxa"/>
              <w:start w:w="120" w:type="dxa"/>
              <w:bottom w:w="100" w:type="dxa"/>
              <w:end w:w="120" w:type="dxa"/>
            </w:tcMar>
            <w:vAlign w:val="center"/>
          </w:tcPr>
          <w:p>
            <w:r>
              <w:rPr>
                <w:b/>
                <w:color w:val="FFFFFF"/>
                <w:sz w:val="17"/>
              </w:rPr>
              <w:t>Product behaviour</w:t>
            </w:r>
          </w:p>
        </w:tc>
        <w:tc>
          <w:tcPr>
            <w:tcW w:type="dxa" w:w="3096"/>
            <w:shd w:fill="19304A"/>
            <w:tcMar>
              <w:top w:w="100" w:type="dxa"/>
              <w:start w:w="120" w:type="dxa"/>
              <w:bottom w:w="100" w:type="dxa"/>
              <w:end w:w="120" w:type="dxa"/>
            </w:tcMar>
            <w:vAlign w:val="center"/>
          </w:tcPr>
          <w:p>
            <w:r>
              <w:rPr>
                <w:b/>
                <w:color w:val="FFFFFF"/>
                <w:sz w:val="17"/>
              </w:rPr>
              <w:t>MVP acceptance</w:t>
            </w:r>
          </w:p>
        </w:tc>
      </w:tr>
      <w:tr>
        <w:tc>
          <w:tcPr>
            <w:tcW w:type="dxa" w:w="1440"/>
            <w:tcMar>
              <w:top w:w="100" w:type="dxa"/>
              <w:start w:w="120" w:type="dxa"/>
              <w:bottom w:w="100" w:type="dxa"/>
              <w:end w:w="120" w:type="dxa"/>
            </w:tcMar>
            <w:vAlign w:val="center"/>
          </w:tcPr>
          <w:p>
            <w:r>
              <w:rPr>
                <w:sz w:val="17"/>
              </w:rPr>
              <w:t>FR-VAL-01</w:t>
            </w:r>
          </w:p>
        </w:tc>
        <w:tc>
          <w:tcPr>
            <w:tcW w:type="dxa" w:w="2304"/>
            <w:tcMar>
              <w:top w:w="100" w:type="dxa"/>
              <w:start w:w="120" w:type="dxa"/>
              <w:bottom w:w="100" w:type="dxa"/>
              <w:end w:w="120" w:type="dxa"/>
            </w:tcMar>
            <w:vAlign w:val="center"/>
          </w:tcPr>
          <w:p>
            <w:r>
              <w:rPr>
                <w:sz w:val="17"/>
              </w:rPr>
              <w:t>ValueFlow record</w:t>
            </w:r>
          </w:p>
        </w:tc>
        <w:tc>
          <w:tcPr>
            <w:tcW w:type="dxa" w:w="3816"/>
            <w:tcMar>
              <w:top w:w="100" w:type="dxa"/>
              <w:start w:w="120" w:type="dxa"/>
              <w:bottom w:w="100" w:type="dxa"/>
              <w:end w:w="120" w:type="dxa"/>
            </w:tcMar>
            <w:vAlign w:val="center"/>
          </w:tcPr>
          <w:p>
            <w:r>
              <w:rPr>
                <w:sz w:val="17"/>
              </w:rPr>
              <w:t>Record origin, destination, mechanism, date, amount/range/unknown, currency, evidence, confidence, and flow class.</w:t>
            </w:r>
          </w:p>
        </w:tc>
        <w:tc>
          <w:tcPr>
            <w:tcW w:type="dxa" w:w="3096"/>
            <w:tcMar>
              <w:top w:w="100" w:type="dxa"/>
              <w:start w:w="120" w:type="dxa"/>
              <w:bottom w:w="100" w:type="dxa"/>
              <w:end w:w="120" w:type="dxa"/>
            </w:tcMar>
            <w:vAlign w:val="center"/>
          </w:tcPr>
          <w:p>
            <w:r>
              <w:rPr>
                <w:sz w:val="17"/>
              </w:rPr>
              <w:t>Flow class is mandatory: DIRECT, DOCUMENTED, RECONSTRUCTED, HYPOTHETICAL.</w:t>
            </w:r>
          </w:p>
        </w:tc>
      </w:tr>
      <w:tr>
        <w:tc>
          <w:tcPr>
            <w:tcW w:type="dxa" w:w="1440"/>
            <w:tcMar>
              <w:top w:w="100" w:type="dxa"/>
              <w:start w:w="120" w:type="dxa"/>
              <w:bottom w:w="100" w:type="dxa"/>
              <w:end w:w="120" w:type="dxa"/>
            </w:tcMar>
            <w:vAlign w:val="center"/>
          </w:tcPr>
          <w:p>
            <w:r>
              <w:rPr>
                <w:sz w:val="17"/>
              </w:rPr>
              <w:t>FR-VAL-02</w:t>
            </w:r>
          </w:p>
        </w:tc>
        <w:tc>
          <w:tcPr>
            <w:tcW w:type="dxa" w:w="2304"/>
            <w:tcMar>
              <w:top w:w="100" w:type="dxa"/>
              <w:start w:w="120" w:type="dxa"/>
              <w:bottom w:w="100" w:type="dxa"/>
              <w:end w:w="120" w:type="dxa"/>
            </w:tcMar>
            <w:vAlign w:val="center"/>
          </w:tcPr>
          <w:p>
            <w:r>
              <w:rPr>
                <w:sz w:val="17"/>
              </w:rPr>
              <w:t>Multi-leg flow</w:t>
            </w:r>
          </w:p>
        </w:tc>
        <w:tc>
          <w:tcPr>
            <w:tcW w:type="dxa" w:w="3816"/>
            <w:tcMar>
              <w:top w:w="100" w:type="dxa"/>
              <w:start w:w="120" w:type="dxa"/>
              <w:bottom w:w="100" w:type="dxa"/>
              <w:end w:w="120" w:type="dxa"/>
            </w:tcMar>
            <w:vAlign w:val="center"/>
          </w:tcPr>
          <w:p>
            <w:r>
              <w:rPr>
                <w:sz w:val="17"/>
              </w:rPr>
              <w:t>Link multiple legs into a coherent value-flow chain without losing leg-level evidence.</w:t>
            </w:r>
          </w:p>
        </w:tc>
        <w:tc>
          <w:tcPr>
            <w:tcW w:type="dxa" w:w="3096"/>
            <w:tcMar>
              <w:top w:w="100" w:type="dxa"/>
              <w:start w:w="120" w:type="dxa"/>
              <w:bottom w:w="100" w:type="dxa"/>
              <w:end w:w="120" w:type="dxa"/>
            </w:tcMar>
            <w:vAlign w:val="center"/>
          </w:tcPr>
          <w:p>
            <w:r>
              <w:rPr>
                <w:sz w:val="17"/>
              </w:rPr>
              <w:t>Each leg retains its own class/evidence; chain does not upgrade certainty.</w:t>
            </w:r>
          </w:p>
        </w:tc>
      </w:tr>
      <w:tr>
        <w:tc>
          <w:tcPr>
            <w:tcW w:type="dxa" w:w="1440"/>
            <w:tcMar>
              <w:top w:w="100" w:type="dxa"/>
              <w:start w:w="120" w:type="dxa"/>
              <w:bottom w:w="100" w:type="dxa"/>
              <w:end w:w="120" w:type="dxa"/>
            </w:tcMar>
            <w:vAlign w:val="center"/>
          </w:tcPr>
          <w:p>
            <w:r>
              <w:rPr>
                <w:sz w:val="17"/>
              </w:rPr>
              <w:t>FR-VAL-03</w:t>
            </w:r>
          </w:p>
        </w:tc>
        <w:tc>
          <w:tcPr>
            <w:tcW w:type="dxa" w:w="2304"/>
            <w:tcMar>
              <w:top w:w="100" w:type="dxa"/>
              <w:start w:w="120" w:type="dxa"/>
              <w:bottom w:w="100" w:type="dxa"/>
              <w:end w:w="120" w:type="dxa"/>
            </w:tcMar>
            <w:vAlign w:val="center"/>
          </w:tcPr>
          <w:p>
            <w:r>
              <w:rPr>
                <w:sz w:val="17"/>
              </w:rPr>
              <w:t>Flow visualisation</w:t>
            </w:r>
          </w:p>
        </w:tc>
        <w:tc>
          <w:tcPr>
            <w:tcW w:type="dxa" w:w="3816"/>
            <w:tcMar>
              <w:top w:w="100" w:type="dxa"/>
              <w:start w:w="120" w:type="dxa"/>
              <w:bottom w:w="100" w:type="dxa"/>
              <w:end w:w="120" w:type="dxa"/>
            </w:tcMar>
            <w:vAlign w:val="center"/>
          </w:tcPr>
          <w:p>
            <w:r>
              <w:rPr>
                <w:sz w:val="17"/>
              </w:rPr>
              <w:t>Visualise value flow with visually distinct certainty classes.</w:t>
            </w:r>
          </w:p>
        </w:tc>
        <w:tc>
          <w:tcPr>
            <w:tcW w:type="dxa" w:w="3096"/>
            <w:tcMar>
              <w:top w:w="100" w:type="dxa"/>
              <w:start w:w="120" w:type="dxa"/>
              <w:bottom w:w="100" w:type="dxa"/>
              <w:end w:w="120" w:type="dxa"/>
            </w:tcMar>
            <w:vAlign w:val="center"/>
          </w:tcPr>
          <w:p>
            <w:r>
              <w:rPr>
                <w:sz w:val="17"/>
              </w:rPr>
              <w:t>Reviewer can distinguish direct vs reconstructed/hypothetical at first glance and via accessible labels.</w:t>
            </w:r>
          </w:p>
        </w:tc>
      </w:tr>
    </w:tbl>
    <w:p>
      <w:pPr>
        <w:spacing w:after="20"/>
      </w:pPr>
    </w:p>
    <w:p>
      <w:pPr>
        <w:pStyle w:val="Heading2"/>
      </w:pPr>
      <w:r>
        <w:t>EPIC-06 Typology &amp; Hypothesis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9304A"/>
            <w:tcMar>
              <w:top w:w="100" w:type="dxa"/>
              <w:start w:w="120" w:type="dxa"/>
              <w:bottom w:w="100" w:type="dxa"/>
              <w:end w:w="120" w:type="dxa"/>
            </w:tcMar>
            <w:vAlign w:val="center"/>
          </w:tcPr>
          <w:p>
            <w:r>
              <w:rPr>
                <w:b/>
                <w:color w:val="FFFFFF"/>
                <w:sz w:val="17"/>
              </w:rPr>
              <w:t>Req ID</w:t>
            </w:r>
          </w:p>
        </w:tc>
        <w:tc>
          <w:tcPr>
            <w:tcW w:type="dxa" w:w="2304"/>
            <w:shd w:fill="19304A"/>
            <w:tcMar>
              <w:top w:w="100" w:type="dxa"/>
              <w:start w:w="120" w:type="dxa"/>
              <w:bottom w:w="100" w:type="dxa"/>
              <w:end w:w="120" w:type="dxa"/>
            </w:tcMar>
            <w:vAlign w:val="center"/>
          </w:tcPr>
          <w:p>
            <w:r>
              <w:rPr>
                <w:b/>
                <w:color w:val="FFFFFF"/>
                <w:sz w:val="17"/>
              </w:rPr>
              <w:t>Requirement</w:t>
            </w:r>
          </w:p>
        </w:tc>
        <w:tc>
          <w:tcPr>
            <w:tcW w:type="dxa" w:w="3816"/>
            <w:shd w:fill="19304A"/>
            <w:tcMar>
              <w:top w:w="100" w:type="dxa"/>
              <w:start w:w="120" w:type="dxa"/>
              <w:bottom w:w="100" w:type="dxa"/>
              <w:end w:w="120" w:type="dxa"/>
            </w:tcMar>
            <w:vAlign w:val="center"/>
          </w:tcPr>
          <w:p>
            <w:r>
              <w:rPr>
                <w:b/>
                <w:color w:val="FFFFFF"/>
                <w:sz w:val="17"/>
              </w:rPr>
              <w:t>Product behaviour</w:t>
            </w:r>
          </w:p>
        </w:tc>
        <w:tc>
          <w:tcPr>
            <w:tcW w:type="dxa" w:w="3096"/>
            <w:shd w:fill="19304A"/>
            <w:tcMar>
              <w:top w:w="100" w:type="dxa"/>
              <w:start w:w="120" w:type="dxa"/>
              <w:bottom w:w="100" w:type="dxa"/>
              <w:end w:w="120" w:type="dxa"/>
            </w:tcMar>
            <w:vAlign w:val="center"/>
          </w:tcPr>
          <w:p>
            <w:r>
              <w:rPr>
                <w:b/>
                <w:color w:val="FFFFFF"/>
                <w:sz w:val="17"/>
              </w:rPr>
              <w:t>MVP acceptance</w:t>
            </w:r>
          </w:p>
        </w:tc>
      </w:tr>
      <w:tr>
        <w:tc>
          <w:tcPr>
            <w:tcW w:type="dxa" w:w="1440"/>
            <w:tcMar>
              <w:top w:w="100" w:type="dxa"/>
              <w:start w:w="120" w:type="dxa"/>
              <w:bottom w:w="100" w:type="dxa"/>
              <w:end w:w="120" w:type="dxa"/>
            </w:tcMar>
            <w:vAlign w:val="center"/>
          </w:tcPr>
          <w:p>
            <w:r>
              <w:rPr>
                <w:sz w:val="17"/>
              </w:rPr>
              <w:t>FR-TYP-01</w:t>
            </w:r>
          </w:p>
        </w:tc>
        <w:tc>
          <w:tcPr>
            <w:tcW w:type="dxa" w:w="2304"/>
            <w:tcMar>
              <w:top w:w="100" w:type="dxa"/>
              <w:start w:w="120" w:type="dxa"/>
              <w:bottom w:w="100" w:type="dxa"/>
              <w:end w:w="120" w:type="dxa"/>
            </w:tcMar>
            <w:vAlign w:val="center"/>
          </w:tcPr>
          <w:p>
            <w:r>
              <w:rPr>
                <w:sz w:val="17"/>
              </w:rPr>
              <w:t>Typology catalogue</w:t>
            </w:r>
          </w:p>
        </w:tc>
        <w:tc>
          <w:tcPr>
            <w:tcW w:type="dxa" w:w="3816"/>
            <w:tcMar>
              <w:top w:w="100" w:type="dxa"/>
              <w:start w:w="120" w:type="dxa"/>
              <w:bottom w:w="100" w:type="dxa"/>
              <w:end w:w="120" w:type="dxa"/>
            </w:tcMar>
            <w:vAlign w:val="center"/>
          </w:tcPr>
          <w:p>
            <w:r>
              <w:rPr>
                <w:sz w:val="17"/>
              </w:rPr>
              <w:t>Browse CS-AML typologies and indicators in-version.</w:t>
            </w:r>
          </w:p>
        </w:tc>
        <w:tc>
          <w:tcPr>
            <w:tcW w:type="dxa" w:w="3096"/>
            <w:tcMar>
              <w:top w:w="100" w:type="dxa"/>
              <w:start w:w="120" w:type="dxa"/>
              <w:bottom w:w="100" w:type="dxa"/>
              <w:end w:w="120" w:type="dxa"/>
            </w:tcMar>
            <w:vAlign w:val="center"/>
          </w:tcPr>
          <w:p>
            <w:r>
              <w:rPr>
                <w:sz w:val="17"/>
              </w:rPr>
              <w:t>Case records typology catalogue version used.</w:t>
            </w:r>
          </w:p>
        </w:tc>
      </w:tr>
      <w:tr>
        <w:tc>
          <w:tcPr>
            <w:tcW w:type="dxa" w:w="1440"/>
            <w:tcMar>
              <w:top w:w="100" w:type="dxa"/>
              <w:start w:w="120" w:type="dxa"/>
              <w:bottom w:w="100" w:type="dxa"/>
              <w:end w:w="120" w:type="dxa"/>
            </w:tcMar>
            <w:vAlign w:val="center"/>
          </w:tcPr>
          <w:p>
            <w:r>
              <w:rPr>
                <w:sz w:val="17"/>
              </w:rPr>
              <w:t>FR-TYP-02</w:t>
            </w:r>
          </w:p>
        </w:tc>
        <w:tc>
          <w:tcPr>
            <w:tcW w:type="dxa" w:w="2304"/>
            <w:tcMar>
              <w:top w:w="100" w:type="dxa"/>
              <w:start w:w="120" w:type="dxa"/>
              <w:bottom w:w="100" w:type="dxa"/>
              <w:end w:w="120" w:type="dxa"/>
            </w:tcMar>
            <w:vAlign w:val="center"/>
          </w:tcPr>
          <w:p>
            <w:r>
              <w:rPr>
                <w:sz w:val="17"/>
              </w:rPr>
              <w:t>Typology match worksheet</w:t>
            </w:r>
          </w:p>
        </w:tc>
        <w:tc>
          <w:tcPr>
            <w:tcW w:type="dxa" w:w="3816"/>
            <w:tcMar>
              <w:top w:w="100" w:type="dxa"/>
              <w:start w:w="120" w:type="dxa"/>
              <w:bottom w:w="100" w:type="dxa"/>
              <w:end w:w="120" w:type="dxa"/>
            </w:tcMar>
            <w:vAlign w:val="center"/>
          </w:tcPr>
          <w:p>
            <w:r>
              <w:rPr>
                <w:sz w:val="17"/>
              </w:rPr>
              <w:t>Map observed indicators/counter-indicators and assessment level.</w:t>
            </w:r>
          </w:p>
        </w:tc>
        <w:tc>
          <w:tcPr>
            <w:tcW w:type="dxa" w:w="3096"/>
            <w:tcMar>
              <w:top w:w="100" w:type="dxa"/>
              <w:start w:w="120" w:type="dxa"/>
              <w:bottom w:w="100" w:type="dxa"/>
              <w:end w:w="120" w:type="dxa"/>
            </w:tcMar>
            <w:vAlign w:val="center"/>
          </w:tcPr>
          <w:p>
            <w:r>
              <w:rPr>
                <w:sz w:val="17"/>
              </w:rPr>
              <w:t>System prevents typology match from being labelled as proof.</w:t>
            </w:r>
          </w:p>
        </w:tc>
      </w:tr>
      <w:tr>
        <w:tc>
          <w:tcPr>
            <w:tcW w:type="dxa" w:w="1440"/>
            <w:tcMar>
              <w:top w:w="100" w:type="dxa"/>
              <w:start w:w="120" w:type="dxa"/>
              <w:bottom w:w="100" w:type="dxa"/>
              <w:end w:w="120" w:type="dxa"/>
            </w:tcMar>
            <w:vAlign w:val="center"/>
          </w:tcPr>
          <w:p>
            <w:r>
              <w:rPr>
                <w:sz w:val="17"/>
              </w:rPr>
              <w:t>FR-HYP-01</w:t>
            </w:r>
          </w:p>
        </w:tc>
        <w:tc>
          <w:tcPr>
            <w:tcW w:type="dxa" w:w="2304"/>
            <w:tcMar>
              <w:top w:w="100" w:type="dxa"/>
              <w:start w:w="120" w:type="dxa"/>
              <w:bottom w:w="100" w:type="dxa"/>
              <w:end w:w="120" w:type="dxa"/>
            </w:tcMar>
            <w:vAlign w:val="center"/>
          </w:tcPr>
          <w:p>
            <w:r>
              <w:rPr>
                <w:sz w:val="17"/>
              </w:rPr>
              <w:t>Hypothesis workspace</w:t>
            </w:r>
          </w:p>
        </w:tc>
        <w:tc>
          <w:tcPr>
            <w:tcW w:type="dxa" w:w="3816"/>
            <w:tcMar>
              <w:top w:w="100" w:type="dxa"/>
              <w:start w:w="120" w:type="dxa"/>
              <w:bottom w:w="100" w:type="dxa"/>
              <w:end w:w="120" w:type="dxa"/>
            </w:tcMar>
            <w:vAlign w:val="center"/>
          </w:tcPr>
          <w:p>
            <w:r>
              <w:rPr>
                <w:sz w:val="17"/>
              </w:rPr>
              <w:t>Create competing hypotheses and link supporting, contradicting, neutral evidence.</w:t>
            </w:r>
          </w:p>
        </w:tc>
        <w:tc>
          <w:tcPr>
            <w:tcW w:type="dxa" w:w="3096"/>
            <w:tcMar>
              <w:top w:w="100" w:type="dxa"/>
              <w:start w:w="120" w:type="dxa"/>
              <w:bottom w:w="100" w:type="dxa"/>
              <w:end w:w="120" w:type="dxa"/>
            </w:tcMar>
            <w:vAlign w:val="center"/>
          </w:tcPr>
          <w:p>
            <w:r>
              <w:rPr>
                <w:sz w:val="17"/>
              </w:rPr>
              <w:t>At least one alternative explanation can be recorded; status changes audited.</w:t>
            </w:r>
          </w:p>
        </w:tc>
      </w:tr>
      <w:tr>
        <w:tc>
          <w:tcPr>
            <w:tcW w:type="dxa" w:w="1440"/>
            <w:tcMar>
              <w:top w:w="100" w:type="dxa"/>
              <w:start w:w="120" w:type="dxa"/>
              <w:bottom w:w="100" w:type="dxa"/>
              <w:end w:w="120" w:type="dxa"/>
            </w:tcMar>
            <w:vAlign w:val="center"/>
          </w:tcPr>
          <w:p>
            <w:r>
              <w:rPr>
                <w:sz w:val="17"/>
              </w:rPr>
              <w:t>FR-HYP-02</w:t>
            </w:r>
          </w:p>
        </w:tc>
        <w:tc>
          <w:tcPr>
            <w:tcW w:type="dxa" w:w="2304"/>
            <w:tcMar>
              <w:top w:w="100" w:type="dxa"/>
              <w:start w:w="120" w:type="dxa"/>
              <w:bottom w:w="100" w:type="dxa"/>
              <w:end w:w="120" w:type="dxa"/>
            </w:tcMar>
            <w:vAlign w:val="center"/>
          </w:tcPr>
          <w:p>
            <w:r>
              <w:rPr>
                <w:sz w:val="17"/>
              </w:rPr>
              <w:t>Intelligence gaps</w:t>
            </w:r>
          </w:p>
        </w:tc>
        <w:tc>
          <w:tcPr>
            <w:tcW w:type="dxa" w:w="3816"/>
            <w:tcMar>
              <w:top w:w="100" w:type="dxa"/>
              <w:start w:w="120" w:type="dxa"/>
              <w:bottom w:w="100" w:type="dxa"/>
              <w:end w:w="120" w:type="dxa"/>
            </w:tcMar>
            <w:vAlign w:val="center"/>
          </w:tcPr>
          <w:p>
            <w:r>
              <w:rPr>
                <w:sz w:val="17"/>
              </w:rPr>
              <w:t>Record unknowns that could materially change judgement.</w:t>
            </w:r>
          </w:p>
        </w:tc>
        <w:tc>
          <w:tcPr>
            <w:tcW w:type="dxa" w:w="3096"/>
            <w:tcMar>
              <w:top w:w="100" w:type="dxa"/>
              <w:start w:w="120" w:type="dxa"/>
              <w:bottom w:w="100" w:type="dxa"/>
              <w:end w:w="120" w:type="dxa"/>
            </w:tcMar>
            <w:vAlign w:val="center"/>
          </w:tcPr>
          <w:p>
            <w:r>
              <w:rPr>
                <w:sz w:val="17"/>
              </w:rPr>
              <w:t>Gaps appear in assessment and review views.</w:t>
            </w:r>
          </w:p>
        </w:tc>
      </w:tr>
      <w:tr>
        <w:tc>
          <w:tcPr>
            <w:tcW w:type="dxa" w:w="1440"/>
            <w:tcMar>
              <w:top w:w="100" w:type="dxa"/>
              <w:start w:w="120" w:type="dxa"/>
              <w:bottom w:w="100" w:type="dxa"/>
              <w:end w:w="120" w:type="dxa"/>
            </w:tcMar>
            <w:vAlign w:val="center"/>
          </w:tcPr>
          <w:p>
            <w:r>
              <w:rPr>
                <w:sz w:val="17"/>
              </w:rPr>
              <w:t>FR-ASM-01</w:t>
            </w:r>
          </w:p>
        </w:tc>
        <w:tc>
          <w:tcPr>
            <w:tcW w:type="dxa" w:w="2304"/>
            <w:tcMar>
              <w:top w:w="100" w:type="dxa"/>
              <w:start w:w="120" w:type="dxa"/>
              <w:bottom w:w="100" w:type="dxa"/>
              <w:end w:w="120" w:type="dxa"/>
            </w:tcMar>
            <w:vAlign w:val="center"/>
          </w:tcPr>
          <w:p>
            <w:r>
              <w:rPr>
                <w:sz w:val="17"/>
              </w:rPr>
              <w:t>Assessment &amp; confidence</w:t>
            </w:r>
          </w:p>
        </w:tc>
        <w:tc>
          <w:tcPr>
            <w:tcW w:type="dxa" w:w="3816"/>
            <w:tcMar>
              <w:top w:w="100" w:type="dxa"/>
              <w:start w:w="120" w:type="dxa"/>
              <w:bottom w:w="100" w:type="dxa"/>
              <w:end w:w="120" w:type="dxa"/>
            </w:tcMar>
            <w:vAlign w:val="center"/>
          </w:tcPr>
          <w:p>
            <w:r>
              <w:rPr>
                <w:sz w:val="17"/>
              </w:rPr>
              <w:t>Create judgement with confidence, basis, assumptions, alternatives, and gaps.</w:t>
            </w:r>
          </w:p>
        </w:tc>
        <w:tc>
          <w:tcPr>
            <w:tcW w:type="dxa" w:w="3096"/>
            <w:tcMar>
              <w:top w:w="100" w:type="dxa"/>
              <w:start w:w="120" w:type="dxa"/>
              <w:bottom w:w="100" w:type="dxa"/>
              <w:end w:w="120" w:type="dxa"/>
            </w:tcMar>
            <w:vAlign w:val="center"/>
          </w:tcPr>
          <w:p>
            <w:r>
              <w:rPr>
                <w:sz w:val="17"/>
              </w:rPr>
              <w:t>Assessment cannot be final without evidence basis and confidence rationale.</w:t>
            </w:r>
          </w:p>
        </w:tc>
      </w:tr>
    </w:tbl>
    <w:p>
      <w:pPr>
        <w:spacing w:after="20"/>
      </w:pPr>
    </w:p>
    <w:p>
      <w:pPr>
        <w:pStyle w:val="Heading2"/>
      </w:pPr>
      <w:r>
        <w:t>EPIC-07 Search &amp; Graph</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9304A"/>
            <w:tcMar>
              <w:top w:w="100" w:type="dxa"/>
              <w:start w:w="120" w:type="dxa"/>
              <w:bottom w:w="100" w:type="dxa"/>
              <w:end w:w="120" w:type="dxa"/>
            </w:tcMar>
            <w:vAlign w:val="center"/>
          </w:tcPr>
          <w:p>
            <w:r>
              <w:rPr>
                <w:b/>
                <w:color w:val="FFFFFF"/>
                <w:sz w:val="17"/>
              </w:rPr>
              <w:t>Req ID</w:t>
            </w:r>
          </w:p>
        </w:tc>
        <w:tc>
          <w:tcPr>
            <w:tcW w:type="dxa" w:w="2304"/>
            <w:shd w:fill="19304A"/>
            <w:tcMar>
              <w:top w:w="100" w:type="dxa"/>
              <w:start w:w="120" w:type="dxa"/>
              <w:bottom w:w="100" w:type="dxa"/>
              <w:end w:w="120" w:type="dxa"/>
            </w:tcMar>
            <w:vAlign w:val="center"/>
          </w:tcPr>
          <w:p>
            <w:r>
              <w:rPr>
                <w:b/>
                <w:color w:val="FFFFFF"/>
                <w:sz w:val="17"/>
              </w:rPr>
              <w:t>Requirement</w:t>
            </w:r>
          </w:p>
        </w:tc>
        <w:tc>
          <w:tcPr>
            <w:tcW w:type="dxa" w:w="3816"/>
            <w:shd w:fill="19304A"/>
            <w:tcMar>
              <w:top w:w="100" w:type="dxa"/>
              <w:start w:w="120" w:type="dxa"/>
              <w:bottom w:w="100" w:type="dxa"/>
              <w:end w:w="120" w:type="dxa"/>
            </w:tcMar>
            <w:vAlign w:val="center"/>
          </w:tcPr>
          <w:p>
            <w:r>
              <w:rPr>
                <w:b/>
                <w:color w:val="FFFFFF"/>
                <w:sz w:val="17"/>
              </w:rPr>
              <w:t>Product behaviour</w:t>
            </w:r>
          </w:p>
        </w:tc>
        <w:tc>
          <w:tcPr>
            <w:tcW w:type="dxa" w:w="3096"/>
            <w:shd w:fill="19304A"/>
            <w:tcMar>
              <w:top w:w="100" w:type="dxa"/>
              <w:start w:w="120" w:type="dxa"/>
              <w:bottom w:w="100" w:type="dxa"/>
              <w:end w:w="120" w:type="dxa"/>
            </w:tcMar>
            <w:vAlign w:val="center"/>
          </w:tcPr>
          <w:p>
            <w:r>
              <w:rPr>
                <w:b/>
                <w:color w:val="FFFFFF"/>
                <w:sz w:val="17"/>
              </w:rPr>
              <w:t>MVP acceptance</w:t>
            </w:r>
          </w:p>
        </w:tc>
      </w:tr>
      <w:tr>
        <w:tc>
          <w:tcPr>
            <w:tcW w:type="dxa" w:w="1440"/>
            <w:tcMar>
              <w:top w:w="100" w:type="dxa"/>
              <w:start w:w="120" w:type="dxa"/>
              <w:bottom w:w="100" w:type="dxa"/>
              <w:end w:w="120" w:type="dxa"/>
            </w:tcMar>
            <w:vAlign w:val="center"/>
          </w:tcPr>
          <w:p>
            <w:r>
              <w:rPr>
                <w:sz w:val="17"/>
              </w:rPr>
              <w:t>FR-SCH-01</w:t>
            </w:r>
          </w:p>
        </w:tc>
        <w:tc>
          <w:tcPr>
            <w:tcW w:type="dxa" w:w="2304"/>
            <w:tcMar>
              <w:top w:w="100" w:type="dxa"/>
              <w:start w:w="120" w:type="dxa"/>
              <w:bottom w:w="100" w:type="dxa"/>
              <w:end w:w="120" w:type="dxa"/>
            </w:tcMar>
            <w:vAlign w:val="center"/>
          </w:tcPr>
          <w:p>
            <w:r>
              <w:rPr>
                <w:sz w:val="17"/>
              </w:rPr>
              <w:t>Full-text search</w:t>
            </w:r>
          </w:p>
        </w:tc>
        <w:tc>
          <w:tcPr>
            <w:tcW w:type="dxa" w:w="3816"/>
            <w:tcMar>
              <w:top w:w="100" w:type="dxa"/>
              <w:start w:w="120" w:type="dxa"/>
              <w:bottom w:w="100" w:type="dxa"/>
              <w:end w:w="120" w:type="dxa"/>
            </w:tcMar>
            <w:vAlign w:val="center"/>
          </w:tcPr>
          <w:p>
            <w:r>
              <w:rPr>
                <w:sz w:val="17"/>
              </w:rPr>
              <w:t>Search permitted evidence/documents and analytical records.</w:t>
            </w:r>
          </w:p>
        </w:tc>
        <w:tc>
          <w:tcPr>
            <w:tcW w:type="dxa" w:w="3096"/>
            <w:tcMar>
              <w:top w:w="100" w:type="dxa"/>
              <w:start w:w="120" w:type="dxa"/>
              <w:bottom w:w="100" w:type="dxa"/>
              <w:end w:w="120" w:type="dxa"/>
            </w:tcMar>
            <w:vAlign w:val="center"/>
          </w:tcPr>
          <w:p>
            <w:r>
              <w:rPr>
                <w:sz w:val="17"/>
              </w:rPr>
              <w:t>Results respect object-level access and classification.</w:t>
            </w:r>
          </w:p>
        </w:tc>
      </w:tr>
      <w:tr>
        <w:tc>
          <w:tcPr>
            <w:tcW w:type="dxa" w:w="1440"/>
            <w:tcMar>
              <w:top w:w="100" w:type="dxa"/>
              <w:start w:w="120" w:type="dxa"/>
              <w:bottom w:w="100" w:type="dxa"/>
              <w:end w:w="120" w:type="dxa"/>
            </w:tcMar>
            <w:vAlign w:val="center"/>
          </w:tcPr>
          <w:p>
            <w:r>
              <w:rPr>
                <w:sz w:val="17"/>
              </w:rPr>
              <w:t>FR-SCH-02</w:t>
            </w:r>
          </w:p>
        </w:tc>
        <w:tc>
          <w:tcPr>
            <w:tcW w:type="dxa" w:w="2304"/>
            <w:tcMar>
              <w:top w:w="100" w:type="dxa"/>
              <w:start w:w="120" w:type="dxa"/>
              <w:bottom w:w="100" w:type="dxa"/>
              <w:end w:w="120" w:type="dxa"/>
            </w:tcMar>
            <w:vAlign w:val="center"/>
          </w:tcPr>
          <w:p>
            <w:r>
              <w:rPr>
                <w:sz w:val="17"/>
              </w:rPr>
              <w:t>Structured search</w:t>
            </w:r>
          </w:p>
        </w:tc>
        <w:tc>
          <w:tcPr>
            <w:tcW w:type="dxa" w:w="3816"/>
            <w:tcMar>
              <w:top w:w="100" w:type="dxa"/>
              <w:start w:w="120" w:type="dxa"/>
              <w:bottom w:w="100" w:type="dxa"/>
              <w:end w:w="120" w:type="dxa"/>
            </w:tcMar>
            <w:vAlign w:val="center"/>
          </w:tcPr>
          <w:p>
            <w:r>
              <w:rPr>
                <w:sz w:val="17"/>
              </w:rPr>
              <w:t>Filter by entity type, identifiers, dates, relationship type, case, source, status.</w:t>
            </w:r>
          </w:p>
        </w:tc>
        <w:tc>
          <w:tcPr>
            <w:tcW w:type="dxa" w:w="3096"/>
            <w:tcMar>
              <w:top w:w="100" w:type="dxa"/>
              <w:start w:w="120" w:type="dxa"/>
              <w:bottom w:w="100" w:type="dxa"/>
              <w:end w:w="120" w:type="dxa"/>
            </w:tcMar>
            <w:vAlign w:val="center"/>
          </w:tcPr>
          <w:p>
            <w:r>
              <w:rPr>
                <w:sz w:val="17"/>
              </w:rPr>
              <w:t>Results link to canonical records.</w:t>
            </w:r>
          </w:p>
        </w:tc>
      </w:tr>
      <w:tr>
        <w:tc>
          <w:tcPr>
            <w:tcW w:type="dxa" w:w="1440"/>
            <w:tcMar>
              <w:top w:w="100" w:type="dxa"/>
              <w:start w:w="120" w:type="dxa"/>
              <w:bottom w:w="100" w:type="dxa"/>
              <w:end w:w="120" w:type="dxa"/>
            </w:tcMar>
            <w:vAlign w:val="center"/>
          </w:tcPr>
          <w:p>
            <w:r>
              <w:rPr>
                <w:sz w:val="17"/>
              </w:rPr>
              <w:t>FR-GRF-01</w:t>
            </w:r>
          </w:p>
        </w:tc>
        <w:tc>
          <w:tcPr>
            <w:tcW w:type="dxa" w:w="2304"/>
            <w:tcMar>
              <w:top w:w="100" w:type="dxa"/>
              <w:start w:w="120" w:type="dxa"/>
              <w:bottom w:w="100" w:type="dxa"/>
              <w:end w:w="120" w:type="dxa"/>
            </w:tcMar>
            <w:vAlign w:val="center"/>
          </w:tcPr>
          <w:p>
            <w:r>
              <w:rPr>
                <w:sz w:val="17"/>
              </w:rPr>
              <w:t>Graph exploration</w:t>
            </w:r>
          </w:p>
        </w:tc>
        <w:tc>
          <w:tcPr>
            <w:tcW w:type="dxa" w:w="3816"/>
            <w:tcMar>
              <w:top w:w="100" w:type="dxa"/>
              <w:start w:w="120" w:type="dxa"/>
              <w:bottom w:w="100" w:type="dxa"/>
              <w:end w:w="120" w:type="dxa"/>
            </w:tcMar>
            <w:vAlign w:val="center"/>
          </w:tcPr>
          <w:p>
            <w:r>
              <w:rPr>
                <w:sz w:val="17"/>
              </w:rPr>
              <w:t>Explore entities and evidence-backed relationships interactively.</w:t>
            </w:r>
          </w:p>
        </w:tc>
        <w:tc>
          <w:tcPr>
            <w:tcW w:type="dxa" w:w="3096"/>
            <w:tcMar>
              <w:top w:w="100" w:type="dxa"/>
              <w:start w:w="120" w:type="dxa"/>
              <w:bottom w:w="100" w:type="dxa"/>
              <w:end w:w="120" w:type="dxa"/>
            </w:tcMar>
            <w:vAlign w:val="center"/>
          </w:tcPr>
          <w:p>
            <w:r>
              <w:rPr>
                <w:sz w:val="17"/>
              </w:rPr>
              <w:t>Graph never creates canonical relationships by display alone; inferred/suggested items visibly distinguished.</w:t>
            </w:r>
          </w:p>
        </w:tc>
      </w:tr>
    </w:tbl>
    <w:p>
      <w:pPr>
        <w:spacing w:after="20"/>
      </w:pPr>
    </w:p>
    <w:p>
      <w:pPr>
        <w:pStyle w:val="Heading2"/>
      </w:pPr>
      <w:r>
        <w:t>EPIC-08 Review, Product &amp; Dissemination</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9304A"/>
            <w:tcMar>
              <w:top w:w="100" w:type="dxa"/>
              <w:start w:w="120" w:type="dxa"/>
              <w:bottom w:w="100" w:type="dxa"/>
              <w:end w:w="120" w:type="dxa"/>
            </w:tcMar>
            <w:vAlign w:val="center"/>
          </w:tcPr>
          <w:p>
            <w:r>
              <w:rPr>
                <w:b/>
                <w:color w:val="FFFFFF"/>
                <w:sz w:val="17"/>
              </w:rPr>
              <w:t>Req ID</w:t>
            </w:r>
          </w:p>
        </w:tc>
        <w:tc>
          <w:tcPr>
            <w:tcW w:type="dxa" w:w="2304"/>
            <w:shd w:fill="19304A"/>
            <w:tcMar>
              <w:top w:w="100" w:type="dxa"/>
              <w:start w:w="120" w:type="dxa"/>
              <w:bottom w:w="100" w:type="dxa"/>
              <w:end w:w="120" w:type="dxa"/>
            </w:tcMar>
            <w:vAlign w:val="center"/>
          </w:tcPr>
          <w:p>
            <w:r>
              <w:rPr>
                <w:b/>
                <w:color w:val="FFFFFF"/>
                <w:sz w:val="17"/>
              </w:rPr>
              <w:t>Requirement</w:t>
            </w:r>
          </w:p>
        </w:tc>
        <w:tc>
          <w:tcPr>
            <w:tcW w:type="dxa" w:w="3816"/>
            <w:shd w:fill="19304A"/>
            <w:tcMar>
              <w:top w:w="100" w:type="dxa"/>
              <w:start w:w="120" w:type="dxa"/>
              <w:bottom w:w="100" w:type="dxa"/>
              <w:end w:w="120" w:type="dxa"/>
            </w:tcMar>
            <w:vAlign w:val="center"/>
          </w:tcPr>
          <w:p>
            <w:r>
              <w:rPr>
                <w:b/>
                <w:color w:val="FFFFFF"/>
                <w:sz w:val="17"/>
              </w:rPr>
              <w:t>Product behaviour</w:t>
            </w:r>
          </w:p>
        </w:tc>
        <w:tc>
          <w:tcPr>
            <w:tcW w:type="dxa" w:w="3096"/>
            <w:shd w:fill="19304A"/>
            <w:tcMar>
              <w:top w:w="100" w:type="dxa"/>
              <w:start w:w="120" w:type="dxa"/>
              <w:bottom w:w="100" w:type="dxa"/>
              <w:end w:w="120" w:type="dxa"/>
            </w:tcMar>
            <w:vAlign w:val="center"/>
          </w:tcPr>
          <w:p>
            <w:r>
              <w:rPr>
                <w:b/>
                <w:color w:val="FFFFFF"/>
                <w:sz w:val="17"/>
              </w:rPr>
              <w:t>MVP acceptance</w:t>
            </w:r>
          </w:p>
        </w:tc>
      </w:tr>
      <w:tr>
        <w:tc>
          <w:tcPr>
            <w:tcW w:type="dxa" w:w="1440"/>
            <w:tcMar>
              <w:top w:w="100" w:type="dxa"/>
              <w:start w:w="120" w:type="dxa"/>
              <w:bottom w:w="100" w:type="dxa"/>
              <w:end w:w="120" w:type="dxa"/>
            </w:tcMar>
            <w:vAlign w:val="center"/>
          </w:tcPr>
          <w:p>
            <w:r>
              <w:rPr>
                <w:sz w:val="17"/>
              </w:rPr>
              <w:t>FR-REV-01</w:t>
            </w:r>
          </w:p>
        </w:tc>
        <w:tc>
          <w:tcPr>
            <w:tcW w:type="dxa" w:w="2304"/>
            <w:tcMar>
              <w:top w:w="100" w:type="dxa"/>
              <w:start w:w="120" w:type="dxa"/>
              <w:bottom w:w="100" w:type="dxa"/>
              <w:end w:w="120" w:type="dxa"/>
            </w:tcMar>
            <w:vAlign w:val="center"/>
          </w:tcPr>
          <w:p>
            <w:r>
              <w:rPr>
                <w:sz w:val="17"/>
              </w:rPr>
              <w:t>Peer review</w:t>
            </w:r>
          </w:p>
        </w:tc>
        <w:tc>
          <w:tcPr>
            <w:tcW w:type="dxa" w:w="3816"/>
            <w:tcMar>
              <w:top w:w="100" w:type="dxa"/>
              <w:start w:w="120" w:type="dxa"/>
              <w:bottom w:w="100" w:type="dxa"/>
              <w:end w:w="120" w:type="dxa"/>
            </w:tcMar>
            <w:vAlign w:val="center"/>
          </w:tcPr>
          <w:p>
            <w:r>
              <w:rPr>
                <w:sz w:val="17"/>
              </w:rPr>
              <w:t>Independent reviewer records findings, required changes, and approval/rejection.</w:t>
            </w:r>
          </w:p>
        </w:tc>
        <w:tc>
          <w:tcPr>
            <w:tcW w:type="dxa" w:w="3096"/>
            <w:tcMar>
              <w:top w:w="100" w:type="dxa"/>
              <w:start w:w="120" w:type="dxa"/>
              <w:bottom w:w="100" w:type="dxa"/>
              <w:end w:w="120" w:type="dxa"/>
            </w:tcMar>
            <w:vAlign w:val="center"/>
          </w:tcPr>
          <w:p>
            <w:r>
              <w:rPr>
                <w:sz w:val="17"/>
              </w:rPr>
              <w:t>Author cannot satisfy mandatory independent review alone.</w:t>
            </w:r>
          </w:p>
        </w:tc>
      </w:tr>
      <w:tr>
        <w:tc>
          <w:tcPr>
            <w:tcW w:type="dxa" w:w="1440"/>
            <w:tcMar>
              <w:top w:w="100" w:type="dxa"/>
              <w:start w:w="120" w:type="dxa"/>
              <w:bottom w:w="100" w:type="dxa"/>
              <w:end w:w="120" w:type="dxa"/>
            </w:tcMar>
            <w:vAlign w:val="center"/>
          </w:tcPr>
          <w:p>
            <w:r>
              <w:rPr>
                <w:sz w:val="17"/>
              </w:rPr>
              <w:t>FR-PRD-01</w:t>
            </w:r>
          </w:p>
        </w:tc>
        <w:tc>
          <w:tcPr>
            <w:tcW w:type="dxa" w:w="2304"/>
            <w:tcMar>
              <w:top w:w="100" w:type="dxa"/>
              <w:start w:w="120" w:type="dxa"/>
              <w:bottom w:w="100" w:type="dxa"/>
              <w:end w:w="120" w:type="dxa"/>
            </w:tcMar>
            <w:vAlign w:val="center"/>
          </w:tcPr>
          <w:p>
            <w:r>
              <w:rPr>
                <w:sz w:val="17"/>
              </w:rPr>
              <w:t>Intelligence product</w:t>
            </w:r>
          </w:p>
        </w:tc>
        <w:tc>
          <w:tcPr>
            <w:tcW w:type="dxa" w:w="3816"/>
            <w:tcMar>
              <w:top w:w="100" w:type="dxa"/>
              <w:start w:w="120" w:type="dxa"/>
              <w:bottom w:w="100" w:type="dxa"/>
              <w:end w:w="120" w:type="dxa"/>
            </w:tcMar>
            <w:vAlign w:val="center"/>
          </w:tcPr>
          <w:p>
            <w:r>
              <w:rPr>
                <w:sz w:val="17"/>
              </w:rPr>
              <w:t>Generate product from approved assessment, key facts, evidence index, alternatives, gaps, confidence, handling classification.</w:t>
            </w:r>
          </w:p>
        </w:tc>
        <w:tc>
          <w:tcPr>
            <w:tcW w:type="dxa" w:w="3096"/>
            <w:tcMar>
              <w:top w:w="100" w:type="dxa"/>
              <w:start w:w="120" w:type="dxa"/>
              <w:bottom w:w="100" w:type="dxa"/>
              <w:end w:w="120" w:type="dxa"/>
            </w:tcMar>
            <w:vAlign w:val="center"/>
          </w:tcPr>
          <w:p>
            <w:r>
              <w:rPr>
                <w:sz w:val="17"/>
              </w:rPr>
              <w:t>Output preserves analytical qualifiers and stable evidence references.</w:t>
            </w:r>
          </w:p>
        </w:tc>
      </w:tr>
      <w:tr>
        <w:tc>
          <w:tcPr>
            <w:tcW w:type="dxa" w:w="1440"/>
            <w:tcMar>
              <w:top w:w="100" w:type="dxa"/>
              <w:start w:w="120" w:type="dxa"/>
              <w:bottom w:w="100" w:type="dxa"/>
              <w:end w:w="120" w:type="dxa"/>
            </w:tcMar>
            <w:vAlign w:val="center"/>
          </w:tcPr>
          <w:p>
            <w:r>
              <w:rPr>
                <w:sz w:val="17"/>
              </w:rPr>
              <w:t>FR-PRD-02</w:t>
            </w:r>
          </w:p>
        </w:tc>
        <w:tc>
          <w:tcPr>
            <w:tcW w:type="dxa" w:w="2304"/>
            <w:tcMar>
              <w:top w:w="100" w:type="dxa"/>
              <w:start w:w="120" w:type="dxa"/>
              <w:bottom w:w="100" w:type="dxa"/>
              <w:end w:w="120" w:type="dxa"/>
            </w:tcMar>
            <w:vAlign w:val="center"/>
          </w:tcPr>
          <w:p>
            <w:r>
              <w:rPr>
                <w:sz w:val="17"/>
              </w:rPr>
              <w:t>Versioning/corrections</w:t>
            </w:r>
          </w:p>
        </w:tc>
        <w:tc>
          <w:tcPr>
            <w:tcW w:type="dxa" w:w="3816"/>
            <w:tcMar>
              <w:top w:w="100" w:type="dxa"/>
              <w:start w:w="120" w:type="dxa"/>
              <w:bottom w:w="100" w:type="dxa"/>
              <w:end w:w="120" w:type="dxa"/>
            </w:tcMar>
            <w:vAlign w:val="center"/>
          </w:tcPr>
          <w:p>
            <w:r>
              <w:rPr>
                <w:sz w:val="17"/>
              </w:rPr>
              <w:t>Products are versioned; corrections/supersession do not erase prior issued version.</w:t>
            </w:r>
          </w:p>
        </w:tc>
        <w:tc>
          <w:tcPr>
            <w:tcW w:type="dxa" w:w="3096"/>
            <w:tcMar>
              <w:top w:w="100" w:type="dxa"/>
              <w:start w:w="120" w:type="dxa"/>
              <w:bottom w:w="100" w:type="dxa"/>
              <w:end w:w="120" w:type="dxa"/>
            </w:tcMar>
            <w:vAlign w:val="center"/>
          </w:tcPr>
          <w:p>
            <w:r>
              <w:rPr>
                <w:sz w:val="17"/>
              </w:rPr>
              <w:t>Change history and reason are visible.</w:t>
            </w:r>
          </w:p>
        </w:tc>
      </w:tr>
      <w:tr>
        <w:tc>
          <w:tcPr>
            <w:tcW w:type="dxa" w:w="1440"/>
            <w:tcMar>
              <w:top w:w="100" w:type="dxa"/>
              <w:start w:w="120" w:type="dxa"/>
              <w:bottom w:w="100" w:type="dxa"/>
              <w:end w:w="120" w:type="dxa"/>
            </w:tcMar>
            <w:vAlign w:val="center"/>
          </w:tcPr>
          <w:p>
            <w:r>
              <w:rPr>
                <w:sz w:val="17"/>
              </w:rPr>
              <w:t>FR-DIS-01</w:t>
            </w:r>
          </w:p>
        </w:tc>
        <w:tc>
          <w:tcPr>
            <w:tcW w:type="dxa" w:w="2304"/>
            <w:tcMar>
              <w:top w:w="100" w:type="dxa"/>
              <w:start w:w="120" w:type="dxa"/>
              <w:bottom w:w="100" w:type="dxa"/>
              <w:end w:w="120" w:type="dxa"/>
            </w:tcMar>
            <w:vAlign w:val="center"/>
          </w:tcPr>
          <w:p>
            <w:r>
              <w:rPr>
                <w:sz w:val="17"/>
              </w:rPr>
              <w:t>Dissemination approval</w:t>
            </w:r>
          </w:p>
        </w:tc>
        <w:tc>
          <w:tcPr>
            <w:tcW w:type="dxa" w:w="3816"/>
            <w:tcMar>
              <w:top w:w="100" w:type="dxa"/>
              <w:start w:w="120" w:type="dxa"/>
              <w:bottom w:w="100" w:type="dxa"/>
              <w:end w:w="120" w:type="dxa"/>
            </w:tcMar>
            <w:vAlign w:val="center"/>
          </w:tcPr>
          <w:p>
            <w:r>
              <w:rPr>
                <w:sz w:val="17"/>
              </w:rPr>
              <w:t>External dissemination requires authorised decision and handling rules.</w:t>
            </w:r>
          </w:p>
        </w:tc>
        <w:tc>
          <w:tcPr>
            <w:tcW w:type="dxa" w:w="3096"/>
            <w:tcMar>
              <w:top w:w="100" w:type="dxa"/>
              <w:start w:w="120" w:type="dxa"/>
              <w:bottom w:w="100" w:type="dxa"/>
              <w:end w:w="120" w:type="dxa"/>
            </w:tcMar>
            <w:vAlign w:val="center"/>
          </w:tcPr>
          <w:p>
            <w:r>
              <w:rPr>
                <w:sz w:val="17"/>
              </w:rPr>
              <w:t>Export/referral action creates approval and audit record.</w:t>
            </w:r>
          </w:p>
        </w:tc>
      </w:tr>
      <w:tr>
        <w:tc>
          <w:tcPr>
            <w:tcW w:type="dxa" w:w="1440"/>
            <w:tcMar>
              <w:top w:w="100" w:type="dxa"/>
              <w:start w:w="120" w:type="dxa"/>
              <w:bottom w:w="100" w:type="dxa"/>
              <w:end w:w="120" w:type="dxa"/>
            </w:tcMar>
            <w:vAlign w:val="center"/>
          </w:tcPr>
          <w:p>
            <w:r>
              <w:rPr>
                <w:sz w:val="17"/>
              </w:rPr>
              <w:t>FR-DIS-02</w:t>
            </w:r>
          </w:p>
        </w:tc>
        <w:tc>
          <w:tcPr>
            <w:tcW w:type="dxa" w:w="2304"/>
            <w:tcMar>
              <w:top w:w="100" w:type="dxa"/>
              <w:start w:w="120" w:type="dxa"/>
              <w:bottom w:w="100" w:type="dxa"/>
              <w:end w:w="120" w:type="dxa"/>
            </w:tcMar>
            <w:vAlign w:val="center"/>
          </w:tcPr>
          <w:p>
            <w:r>
              <w:rPr>
                <w:sz w:val="17"/>
              </w:rPr>
              <w:t>Secure export/referral</w:t>
            </w:r>
          </w:p>
        </w:tc>
        <w:tc>
          <w:tcPr>
            <w:tcW w:type="dxa" w:w="3816"/>
            <w:tcMar>
              <w:top w:w="100" w:type="dxa"/>
              <w:start w:w="120" w:type="dxa"/>
              <w:bottom w:w="100" w:type="dxa"/>
              <w:end w:w="120" w:type="dxa"/>
            </w:tcMar>
            <w:vAlign w:val="center"/>
          </w:tcPr>
          <w:p>
            <w:r>
              <w:rPr>
                <w:sz w:val="17"/>
              </w:rPr>
              <w:t>Generate controlled package for legitimate recipient.</w:t>
            </w:r>
          </w:p>
        </w:tc>
        <w:tc>
          <w:tcPr>
            <w:tcW w:type="dxa" w:w="3096"/>
            <w:tcMar>
              <w:top w:w="100" w:type="dxa"/>
              <w:start w:w="120" w:type="dxa"/>
              <w:bottom w:w="100" w:type="dxa"/>
              <w:end w:w="120" w:type="dxa"/>
            </w:tcMar>
            <w:vAlign w:val="center"/>
          </w:tcPr>
          <w:p>
            <w:r>
              <w:rPr>
                <w:sz w:val="17"/>
              </w:rPr>
              <w:t>Package includes classification/handling and evidence index appropriate to recipient.</w:t>
            </w:r>
          </w:p>
        </w:tc>
      </w:tr>
    </w:tbl>
    <w:p>
      <w:pPr>
        <w:spacing w:after="20"/>
      </w:pPr>
    </w:p>
    <w:p>
      <w:pPr>
        <w:pStyle w:val="Heading2"/>
      </w:pPr>
      <w:r>
        <w:t>EPIC-09 Security, Privacy &amp; Operations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9304A"/>
            <w:tcMar>
              <w:top w:w="100" w:type="dxa"/>
              <w:start w:w="120" w:type="dxa"/>
              <w:bottom w:w="100" w:type="dxa"/>
              <w:end w:w="120" w:type="dxa"/>
            </w:tcMar>
            <w:vAlign w:val="center"/>
          </w:tcPr>
          <w:p>
            <w:r>
              <w:rPr>
                <w:b/>
                <w:color w:val="FFFFFF"/>
                <w:sz w:val="17"/>
              </w:rPr>
              <w:t>Req ID</w:t>
            </w:r>
          </w:p>
        </w:tc>
        <w:tc>
          <w:tcPr>
            <w:tcW w:type="dxa" w:w="2304"/>
            <w:shd w:fill="19304A"/>
            <w:tcMar>
              <w:top w:w="100" w:type="dxa"/>
              <w:start w:w="120" w:type="dxa"/>
              <w:bottom w:w="100" w:type="dxa"/>
              <w:end w:w="120" w:type="dxa"/>
            </w:tcMar>
            <w:vAlign w:val="center"/>
          </w:tcPr>
          <w:p>
            <w:r>
              <w:rPr>
                <w:b/>
                <w:color w:val="FFFFFF"/>
                <w:sz w:val="17"/>
              </w:rPr>
              <w:t>Requirement</w:t>
            </w:r>
          </w:p>
        </w:tc>
        <w:tc>
          <w:tcPr>
            <w:tcW w:type="dxa" w:w="3816"/>
            <w:shd w:fill="19304A"/>
            <w:tcMar>
              <w:top w:w="100" w:type="dxa"/>
              <w:start w:w="120" w:type="dxa"/>
              <w:bottom w:w="100" w:type="dxa"/>
              <w:end w:w="120" w:type="dxa"/>
            </w:tcMar>
            <w:vAlign w:val="center"/>
          </w:tcPr>
          <w:p>
            <w:r>
              <w:rPr>
                <w:b/>
                <w:color w:val="FFFFFF"/>
                <w:sz w:val="17"/>
              </w:rPr>
              <w:t>Product behaviour</w:t>
            </w:r>
          </w:p>
        </w:tc>
        <w:tc>
          <w:tcPr>
            <w:tcW w:type="dxa" w:w="3096"/>
            <w:shd w:fill="19304A"/>
            <w:tcMar>
              <w:top w:w="100" w:type="dxa"/>
              <w:start w:w="120" w:type="dxa"/>
              <w:bottom w:w="100" w:type="dxa"/>
              <w:end w:w="120" w:type="dxa"/>
            </w:tcMar>
            <w:vAlign w:val="center"/>
          </w:tcPr>
          <w:p>
            <w:r>
              <w:rPr>
                <w:b/>
                <w:color w:val="FFFFFF"/>
                <w:sz w:val="17"/>
              </w:rPr>
              <w:t>MVP acceptance</w:t>
            </w:r>
          </w:p>
        </w:tc>
      </w:tr>
      <w:tr>
        <w:tc>
          <w:tcPr>
            <w:tcW w:type="dxa" w:w="1440"/>
            <w:tcMar>
              <w:top w:w="100" w:type="dxa"/>
              <w:start w:w="120" w:type="dxa"/>
              <w:bottom w:w="100" w:type="dxa"/>
              <w:end w:w="120" w:type="dxa"/>
            </w:tcMar>
            <w:vAlign w:val="center"/>
          </w:tcPr>
          <w:p>
            <w:r>
              <w:rPr>
                <w:sz w:val="17"/>
              </w:rPr>
              <w:t>FR-SEC-01</w:t>
            </w:r>
          </w:p>
        </w:tc>
        <w:tc>
          <w:tcPr>
            <w:tcW w:type="dxa" w:w="2304"/>
            <w:tcMar>
              <w:top w:w="100" w:type="dxa"/>
              <w:start w:w="120" w:type="dxa"/>
              <w:bottom w:w="100" w:type="dxa"/>
              <w:end w:w="120" w:type="dxa"/>
            </w:tcMar>
            <w:vAlign w:val="center"/>
          </w:tcPr>
          <w:p>
            <w:r>
              <w:rPr>
                <w:sz w:val="17"/>
              </w:rPr>
              <w:t>Authentication</w:t>
            </w:r>
          </w:p>
        </w:tc>
        <w:tc>
          <w:tcPr>
            <w:tcW w:type="dxa" w:w="3816"/>
            <w:tcMar>
              <w:top w:w="100" w:type="dxa"/>
              <w:start w:w="120" w:type="dxa"/>
              <w:bottom w:w="100" w:type="dxa"/>
              <w:end w:w="120" w:type="dxa"/>
            </w:tcMar>
            <w:vAlign w:val="center"/>
          </w:tcPr>
          <w:p>
            <w:r>
              <w:rPr>
                <w:sz w:val="17"/>
              </w:rPr>
              <w:t>OIDC with MFA for privileged and sensitive access.</w:t>
            </w:r>
          </w:p>
        </w:tc>
        <w:tc>
          <w:tcPr>
            <w:tcW w:type="dxa" w:w="3096"/>
            <w:tcMar>
              <w:top w:w="100" w:type="dxa"/>
              <w:start w:w="120" w:type="dxa"/>
              <w:bottom w:w="100" w:type="dxa"/>
              <w:end w:w="120" w:type="dxa"/>
            </w:tcMar>
            <w:vAlign w:val="center"/>
          </w:tcPr>
          <w:p>
            <w:r>
              <w:rPr>
                <w:sz w:val="17"/>
              </w:rPr>
              <w:t>Failed/privileged auth events logged; session security enforced.</w:t>
            </w:r>
          </w:p>
        </w:tc>
      </w:tr>
      <w:tr>
        <w:tc>
          <w:tcPr>
            <w:tcW w:type="dxa" w:w="1440"/>
            <w:tcMar>
              <w:top w:w="100" w:type="dxa"/>
              <w:start w:w="120" w:type="dxa"/>
              <w:bottom w:w="100" w:type="dxa"/>
              <w:end w:w="120" w:type="dxa"/>
            </w:tcMar>
            <w:vAlign w:val="center"/>
          </w:tcPr>
          <w:p>
            <w:r>
              <w:rPr>
                <w:sz w:val="17"/>
              </w:rPr>
              <w:t>FR-SEC-02</w:t>
            </w:r>
          </w:p>
        </w:tc>
        <w:tc>
          <w:tcPr>
            <w:tcW w:type="dxa" w:w="2304"/>
            <w:tcMar>
              <w:top w:w="100" w:type="dxa"/>
              <w:start w:w="120" w:type="dxa"/>
              <w:bottom w:w="100" w:type="dxa"/>
              <w:end w:w="120" w:type="dxa"/>
            </w:tcMar>
            <w:vAlign w:val="center"/>
          </w:tcPr>
          <w:p>
            <w:r>
              <w:rPr>
                <w:sz w:val="17"/>
              </w:rPr>
              <w:t>Access control</w:t>
            </w:r>
          </w:p>
        </w:tc>
        <w:tc>
          <w:tcPr>
            <w:tcW w:type="dxa" w:w="3816"/>
            <w:tcMar>
              <w:top w:w="100" w:type="dxa"/>
              <w:start w:w="120" w:type="dxa"/>
              <w:bottom w:w="100" w:type="dxa"/>
              <w:end w:w="120" w:type="dxa"/>
            </w:tcMar>
            <w:vAlign w:val="center"/>
          </w:tcPr>
          <w:p>
            <w:r>
              <w:rPr>
                <w:sz w:val="17"/>
              </w:rPr>
              <w:t>Role + need-to-know/object-level access.</w:t>
            </w:r>
          </w:p>
        </w:tc>
        <w:tc>
          <w:tcPr>
            <w:tcW w:type="dxa" w:w="3096"/>
            <w:tcMar>
              <w:top w:w="100" w:type="dxa"/>
              <w:start w:w="120" w:type="dxa"/>
              <w:bottom w:w="100" w:type="dxa"/>
              <w:end w:w="120" w:type="dxa"/>
            </w:tcMar>
            <w:vAlign w:val="center"/>
          </w:tcPr>
          <w:p>
            <w:r>
              <w:rPr>
                <w:sz w:val="17"/>
              </w:rPr>
              <w:t>Unauthorised case/entity/evidence is not discoverable through search, graph, API, export, or logs.</w:t>
            </w:r>
          </w:p>
        </w:tc>
      </w:tr>
      <w:tr>
        <w:tc>
          <w:tcPr>
            <w:tcW w:type="dxa" w:w="1440"/>
            <w:tcMar>
              <w:top w:w="100" w:type="dxa"/>
              <w:start w:w="120" w:type="dxa"/>
              <w:bottom w:w="100" w:type="dxa"/>
              <w:end w:w="120" w:type="dxa"/>
            </w:tcMar>
            <w:vAlign w:val="center"/>
          </w:tcPr>
          <w:p>
            <w:r>
              <w:rPr>
                <w:sz w:val="17"/>
              </w:rPr>
              <w:t>FR-SEC-03</w:t>
            </w:r>
          </w:p>
        </w:tc>
        <w:tc>
          <w:tcPr>
            <w:tcW w:type="dxa" w:w="2304"/>
            <w:tcMar>
              <w:top w:w="100" w:type="dxa"/>
              <w:start w:w="120" w:type="dxa"/>
              <w:bottom w:w="100" w:type="dxa"/>
              <w:end w:w="120" w:type="dxa"/>
            </w:tcMar>
            <w:vAlign w:val="center"/>
          </w:tcPr>
          <w:p>
            <w:r>
              <w:rPr>
                <w:sz w:val="17"/>
              </w:rPr>
              <w:t>Protected-source compartment</w:t>
            </w:r>
          </w:p>
        </w:tc>
        <w:tc>
          <w:tcPr>
            <w:tcW w:type="dxa" w:w="3816"/>
            <w:tcMar>
              <w:top w:w="100" w:type="dxa"/>
              <w:start w:w="120" w:type="dxa"/>
              <w:bottom w:w="100" w:type="dxa"/>
              <w:end w:w="120" w:type="dxa"/>
            </w:tcMar>
            <w:vAlign w:val="center"/>
          </w:tcPr>
          <w:p>
            <w:r>
              <w:rPr>
                <w:sz w:val="17"/>
              </w:rPr>
              <w:t>Protected source identity stored separately with more restrictive access.</w:t>
            </w:r>
          </w:p>
        </w:tc>
        <w:tc>
          <w:tcPr>
            <w:tcW w:type="dxa" w:w="3096"/>
            <w:tcMar>
              <w:top w:w="100" w:type="dxa"/>
              <w:start w:w="120" w:type="dxa"/>
              <w:bottom w:w="100" w:type="dxa"/>
              <w:end w:w="120" w:type="dxa"/>
            </w:tcMar>
            <w:vAlign w:val="center"/>
          </w:tcPr>
          <w:p>
            <w:r>
              <w:rPr>
                <w:sz w:val="17"/>
              </w:rPr>
              <w:t>Routine analyst can use sanitised source reference without viewing identity.</w:t>
            </w:r>
          </w:p>
        </w:tc>
      </w:tr>
      <w:tr>
        <w:tc>
          <w:tcPr>
            <w:tcW w:type="dxa" w:w="1440"/>
            <w:tcMar>
              <w:top w:w="100" w:type="dxa"/>
              <w:start w:w="120" w:type="dxa"/>
              <w:bottom w:w="100" w:type="dxa"/>
              <w:end w:w="120" w:type="dxa"/>
            </w:tcMar>
            <w:vAlign w:val="center"/>
          </w:tcPr>
          <w:p>
            <w:r>
              <w:rPr>
                <w:sz w:val="17"/>
              </w:rPr>
              <w:t>FR-AUD-01</w:t>
            </w:r>
          </w:p>
        </w:tc>
        <w:tc>
          <w:tcPr>
            <w:tcW w:type="dxa" w:w="2304"/>
            <w:tcMar>
              <w:top w:w="100" w:type="dxa"/>
              <w:start w:w="120" w:type="dxa"/>
              <w:bottom w:w="100" w:type="dxa"/>
              <w:end w:w="120" w:type="dxa"/>
            </w:tcMar>
            <w:vAlign w:val="center"/>
          </w:tcPr>
          <w:p>
            <w:r>
              <w:rPr>
                <w:sz w:val="17"/>
              </w:rPr>
              <w:t>Audit trail</w:t>
            </w:r>
          </w:p>
        </w:tc>
        <w:tc>
          <w:tcPr>
            <w:tcW w:type="dxa" w:w="3816"/>
            <w:tcMar>
              <w:top w:w="100" w:type="dxa"/>
              <w:start w:w="120" w:type="dxa"/>
              <w:bottom w:w="100" w:type="dxa"/>
              <w:end w:w="120" w:type="dxa"/>
            </w:tcMar>
            <w:vAlign w:val="center"/>
          </w:tcPr>
          <w:p>
            <w:r>
              <w:rPr>
                <w:sz w:val="17"/>
              </w:rPr>
              <w:t>Record material create/update/delete/merge/review/export/dissemination actions.</w:t>
            </w:r>
          </w:p>
        </w:tc>
        <w:tc>
          <w:tcPr>
            <w:tcW w:type="dxa" w:w="3096"/>
            <w:tcMar>
              <w:top w:w="100" w:type="dxa"/>
              <w:start w:w="120" w:type="dxa"/>
              <w:bottom w:w="100" w:type="dxa"/>
              <w:end w:w="120" w:type="dxa"/>
            </w:tcMar>
            <w:vAlign w:val="center"/>
          </w:tcPr>
          <w:p>
            <w:r>
              <w:rPr>
                <w:sz w:val="17"/>
              </w:rPr>
              <w:t>Audit record is append-only to normal users and queryable for review.</w:t>
            </w:r>
          </w:p>
        </w:tc>
      </w:tr>
      <w:tr>
        <w:tc>
          <w:tcPr>
            <w:tcW w:type="dxa" w:w="1440"/>
            <w:tcMar>
              <w:top w:w="100" w:type="dxa"/>
              <w:start w:w="120" w:type="dxa"/>
              <w:bottom w:w="100" w:type="dxa"/>
              <w:end w:w="120" w:type="dxa"/>
            </w:tcMar>
            <w:vAlign w:val="center"/>
          </w:tcPr>
          <w:p>
            <w:r>
              <w:rPr>
                <w:sz w:val="17"/>
              </w:rPr>
              <w:t>FR-OPS-01</w:t>
            </w:r>
          </w:p>
        </w:tc>
        <w:tc>
          <w:tcPr>
            <w:tcW w:type="dxa" w:w="2304"/>
            <w:tcMar>
              <w:top w:w="100" w:type="dxa"/>
              <w:start w:w="120" w:type="dxa"/>
              <w:bottom w:w="100" w:type="dxa"/>
              <w:end w:w="120" w:type="dxa"/>
            </w:tcMar>
            <w:vAlign w:val="center"/>
          </w:tcPr>
          <w:p>
            <w:r>
              <w:rPr>
                <w:sz w:val="17"/>
              </w:rPr>
              <w:t>Backup/restore</w:t>
            </w:r>
          </w:p>
        </w:tc>
        <w:tc>
          <w:tcPr>
            <w:tcW w:type="dxa" w:w="3816"/>
            <w:tcMar>
              <w:top w:w="100" w:type="dxa"/>
              <w:start w:w="120" w:type="dxa"/>
              <w:bottom w:w="100" w:type="dxa"/>
              <w:end w:w="120" w:type="dxa"/>
            </w:tcMar>
            <w:vAlign w:val="center"/>
          </w:tcPr>
          <w:p>
            <w:r>
              <w:rPr>
                <w:sz w:val="17"/>
              </w:rPr>
              <w:t>Back up canonical DB and evidence; test restoration.</w:t>
            </w:r>
          </w:p>
        </w:tc>
        <w:tc>
          <w:tcPr>
            <w:tcW w:type="dxa" w:w="3096"/>
            <w:tcMar>
              <w:top w:w="100" w:type="dxa"/>
              <w:start w:w="120" w:type="dxa"/>
              <w:bottom w:w="100" w:type="dxa"/>
              <w:end w:w="120" w:type="dxa"/>
            </w:tcMar>
            <w:vAlign w:val="center"/>
          </w:tcPr>
          <w:p>
            <w:r>
              <w:rPr>
                <w:sz w:val="17"/>
              </w:rPr>
              <w:t>Documented restoration test successfully recovers selected case/evidence.</w:t>
            </w:r>
          </w:p>
        </w:tc>
      </w:tr>
    </w:tbl>
    <w:p>
      <w:pPr>
        <w:spacing w:after="20"/>
      </w:pPr>
    </w:p>
    <w:p>
      <w:pPr>
        <w:pStyle w:val="Heading1"/>
      </w:pPr>
      <w:r>
        <w:t>10. UX / Information Architecture Requirements</w:t>
      </w:r>
    </w:p>
    <w:p>
      <w:pPr>
        <w:pStyle w:val="Heading2"/>
      </w:pPr>
      <w:r>
        <w:t>10.1 Primary navigation</w:t>
      </w:r>
    </w:p>
    <w:p>
      <w:pPr>
        <w:pStyle w:val="ListBullet"/>
      </w:pPr>
      <w:r>
        <w:t>Home / work queue</w:t>
      </w:r>
    </w:p>
    <w:p>
      <w:pPr>
        <w:pStyle w:val="ListBullet"/>
      </w:pPr>
      <w:r>
        <w:t>Cases</w:t>
      </w:r>
    </w:p>
    <w:p>
      <w:pPr>
        <w:pStyle w:val="ListBullet"/>
      </w:pPr>
      <w:r>
        <w:t>Entities</w:t>
      </w:r>
    </w:p>
    <w:p>
      <w:pPr>
        <w:pStyle w:val="ListBullet"/>
      </w:pPr>
      <w:r>
        <w:t>Evidence &amp; Sources</w:t>
      </w:r>
    </w:p>
    <w:p>
      <w:pPr>
        <w:pStyle w:val="ListBullet"/>
      </w:pPr>
      <w:r>
        <w:t>Graph</w:t>
      </w:r>
    </w:p>
    <w:p>
      <w:pPr>
        <w:pStyle w:val="ListBullet"/>
      </w:pPr>
      <w:r>
        <w:t>Search</w:t>
      </w:r>
    </w:p>
    <w:p>
      <w:pPr>
        <w:pStyle w:val="ListBullet"/>
      </w:pPr>
      <w:r>
        <w:t>Typologies</w:t>
      </w:r>
    </w:p>
    <w:p>
      <w:pPr>
        <w:pStyle w:val="ListBullet"/>
      </w:pPr>
      <w:r>
        <w:t>Reviews</w:t>
      </w:r>
    </w:p>
    <w:p>
      <w:pPr>
        <w:pStyle w:val="ListBullet"/>
      </w:pPr>
      <w:r>
        <w:t>Products / Dissemination</w:t>
      </w:r>
    </w:p>
    <w:p>
      <w:pPr>
        <w:pStyle w:val="ListBullet"/>
      </w:pPr>
      <w:r>
        <w:t>Administration</w:t>
      </w:r>
    </w:p>
    <w:p>
      <w:pPr>
        <w:pStyle w:val="Heading2"/>
      </w:pPr>
      <w:r>
        <w:t>10.2 Case workspace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19304A"/>
            <w:tcMar>
              <w:top w:w="100" w:type="dxa"/>
              <w:start w:w="120" w:type="dxa"/>
              <w:bottom w:w="100" w:type="dxa"/>
              <w:end w:w="120" w:type="dxa"/>
            </w:tcMar>
            <w:vAlign w:val="center"/>
          </w:tcPr>
          <w:p>
            <w:r>
              <w:rPr>
                <w:b/>
                <w:color w:val="FFFFFF"/>
                <w:sz w:val="18"/>
              </w:rPr>
              <w:t>Surface</w:t>
            </w:r>
          </w:p>
        </w:tc>
        <w:tc>
          <w:tcPr>
            <w:tcW w:type="dxa" w:w="7920"/>
            <w:shd w:fill="19304A"/>
            <w:tcMar>
              <w:top w:w="100" w:type="dxa"/>
              <w:start w:w="120" w:type="dxa"/>
              <w:bottom w:w="100" w:type="dxa"/>
              <w:end w:w="120" w:type="dxa"/>
            </w:tcMar>
            <w:vAlign w:val="center"/>
          </w:tcPr>
          <w:p>
            <w:r>
              <w:rPr>
                <w:b/>
                <w:color w:val="FFFFFF"/>
                <w:sz w:val="18"/>
              </w:rPr>
              <w:t>Minimum content</w:t>
            </w:r>
          </w:p>
        </w:tc>
      </w:tr>
      <w:tr>
        <w:tc>
          <w:tcPr>
            <w:tcW w:type="dxa" w:w="2448"/>
            <w:tcMar>
              <w:top w:w="100" w:type="dxa"/>
              <w:start w:w="120" w:type="dxa"/>
              <w:bottom w:w="100" w:type="dxa"/>
              <w:end w:w="120" w:type="dxa"/>
            </w:tcMar>
            <w:vAlign w:val="center"/>
          </w:tcPr>
          <w:p>
            <w:r>
              <w:rPr>
                <w:sz w:val="18"/>
              </w:rPr>
              <w:t>Overview</w:t>
            </w:r>
          </w:p>
        </w:tc>
        <w:tc>
          <w:tcPr>
            <w:tcW w:type="dxa" w:w="7920"/>
            <w:tcMar>
              <w:top w:w="100" w:type="dxa"/>
              <w:start w:w="120" w:type="dxa"/>
              <w:bottom w:w="100" w:type="dxa"/>
              <w:end w:w="120" w:type="dxa"/>
            </w:tcMar>
            <w:vAlign w:val="center"/>
          </w:tcPr>
          <w:p>
            <w:r>
              <w:rPr>
                <w:sz w:val="18"/>
              </w:rPr>
              <w:t>Question, scope, owner, sensitivity, status, gates, critical gaps</w:t>
            </w:r>
          </w:p>
        </w:tc>
      </w:tr>
      <w:tr>
        <w:tc>
          <w:tcPr>
            <w:tcW w:type="dxa" w:w="2448"/>
            <w:tcMar>
              <w:top w:w="100" w:type="dxa"/>
              <w:start w:w="120" w:type="dxa"/>
              <w:bottom w:w="100" w:type="dxa"/>
              <w:end w:w="120" w:type="dxa"/>
            </w:tcMar>
            <w:vAlign w:val="center"/>
          </w:tcPr>
          <w:p>
            <w:r>
              <w:rPr>
                <w:sz w:val="18"/>
              </w:rPr>
              <w:t>Evidence</w:t>
            </w:r>
          </w:p>
        </w:tc>
        <w:tc>
          <w:tcPr>
            <w:tcW w:type="dxa" w:w="7920"/>
            <w:tcMar>
              <w:top w:w="100" w:type="dxa"/>
              <w:start w:w="120" w:type="dxa"/>
              <w:bottom w:w="100" w:type="dxa"/>
              <w:end w:w="120" w:type="dxa"/>
            </w:tcMar>
            <w:vAlign w:val="center"/>
          </w:tcPr>
          <w:p>
            <w:r>
              <w:rPr>
                <w:sz w:val="18"/>
              </w:rPr>
              <w:t>Sources, evidence, extracts, derivatives, provenance</w:t>
            </w:r>
          </w:p>
        </w:tc>
      </w:tr>
      <w:tr>
        <w:tc>
          <w:tcPr>
            <w:tcW w:type="dxa" w:w="2448"/>
            <w:tcMar>
              <w:top w:w="100" w:type="dxa"/>
              <w:start w:w="120" w:type="dxa"/>
              <w:bottom w:w="100" w:type="dxa"/>
              <w:end w:w="120" w:type="dxa"/>
            </w:tcMar>
            <w:vAlign w:val="center"/>
          </w:tcPr>
          <w:p>
            <w:r>
              <w:rPr>
                <w:sz w:val="18"/>
              </w:rPr>
              <w:t>Entities</w:t>
            </w:r>
          </w:p>
        </w:tc>
        <w:tc>
          <w:tcPr>
            <w:tcW w:type="dxa" w:w="7920"/>
            <w:tcMar>
              <w:top w:w="100" w:type="dxa"/>
              <w:start w:w="120" w:type="dxa"/>
              <w:bottom w:w="100" w:type="dxa"/>
              <w:end w:w="120" w:type="dxa"/>
            </w:tcMar>
            <w:vAlign w:val="center"/>
          </w:tcPr>
          <w:p>
            <w:r>
              <w:rPr>
                <w:sz w:val="18"/>
              </w:rPr>
              <w:t>Subjects, organisations, accounts/wallets, addresses, identifiers</w:t>
            </w:r>
          </w:p>
        </w:tc>
      </w:tr>
      <w:tr>
        <w:tc>
          <w:tcPr>
            <w:tcW w:type="dxa" w:w="2448"/>
            <w:tcMar>
              <w:top w:w="100" w:type="dxa"/>
              <w:start w:w="120" w:type="dxa"/>
              <w:bottom w:w="100" w:type="dxa"/>
              <w:end w:w="120" w:type="dxa"/>
            </w:tcMar>
            <w:vAlign w:val="center"/>
          </w:tcPr>
          <w:p>
            <w:r>
              <w:rPr>
                <w:sz w:val="18"/>
              </w:rPr>
              <w:t>Relationships / Graph</w:t>
            </w:r>
          </w:p>
        </w:tc>
        <w:tc>
          <w:tcPr>
            <w:tcW w:type="dxa" w:w="7920"/>
            <w:tcMar>
              <w:top w:w="100" w:type="dxa"/>
              <w:start w:w="120" w:type="dxa"/>
              <w:bottom w:w="100" w:type="dxa"/>
              <w:end w:w="120" w:type="dxa"/>
            </w:tcMar>
            <w:vAlign w:val="center"/>
          </w:tcPr>
          <w:p>
            <w:r>
              <w:rPr>
                <w:sz w:val="18"/>
              </w:rPr>
              <w:t>Evidence-backed network with confidence/status filters</w:t>
            </w:r>
          </w:p>
        </w:tc>
      </w:tr>
      <w:tr>
        <w:tc>
          <w:tcPr>
            <w:tcW w:type="dxa" w:w="2448"/>
            <w:tcMar>
              <w:top w:w="100" w:type="dxa"/>
              <w:start w:w="120" w:type="dxa"/>
              <w:bottom w:w="100" w:type="dxa"/>
              <w:end w:w="120" w:type="dxa"/>
            </w:tcMar>
            <w:vAlign w:val="center"/>
          </w:tcPr>
          <w:p>
            <w:r>
              <w:rPr>
                <w:sz w:val="18"/>
              </w:rPr>
              <w:t>Assets</w:t>
            </w:r>
          </w:p>
        </w:tc>
        <w:tc>
          <w:tcPr>
            <w:tcW w:type="dxa" w:w="7920"/>
            <w:tcMar>
              <w:top w:w="100" w:type="dxa"/>
              <w:start w:w="120" w:type="dxa"/>
              <w:bottom w:w="100" w:type="dxa"/>
              <w:end w:w="120" w:type="dxa"/>
            </w:tcMar>
            <w:vAlign w:val="center"/>
          </w:tcPr>
          <w:p>
            <w:r>
              <w:rPr>
                <w:sz w:val="18"/>
              </w:rPr>
              <w:t>Ownership/control/use, valuation where present</w:t>
            </w:r>
          </w:p>
        </w:tc>
      </w:tr>
      <w:tr>
        <w:tc>
          <w:tcPr>
            <w:tcW w:type="dxa" w:w="2448"/>
            <w:tcMar>
              <w:top w:w="100" w:type="dxa"/>
              <w:start w:w="120" w:type="dxa"/>
              <w:bottom w:w="100" w:type="dxa"/>
              <w:end w:w="120" w:type="dxa"/>
            </w:tcMar>
            <w:vAlign w:val="center"/>
          </w:tcPr>
          <w:p>
            <w:r>
              <w:rPr>
                <w:sz w:val="18"/>
              </w:rPr>
              <w:t>Timeline</w:t>
            </w:r>
          </w:p>
        </w:tc>
        <w:tc>
          <w:tcPr>
            <w:tcW w:type="dxa" w:w="7920"/>
            <w:tcMar>
              <w:top w:w="100" w:type="dxa"/>
              <w:start w:w="120" w:type="dxa"/>
              <w:bottom w:w="100" w:type="dxa"/>
              <w:end w:w="120" w:type="dxa"/>
            </w:tcMar>
            <w:vAlign w:val="center"/>
          </w:tcPr>
          <w:p>
            <w:r>
              <w:rPr>
                <w:sz w:val="18"/>
              </w:rPr>
              <w:t>Events with evidence and precision</w:t>
            </w:r>
          </w:p>
        </w:tc>
      </w:tr>
      <w:tr>
        <w:tc>
          <w:tcPr>
            <w:tcW w:type="dxa" w:w="2448"/>
            <w:tcMar>
              <w:top w:w="100" w:type="dxa"/>
              <w:start w:w="120" w:type="dxa"/>
              <w:bottom w:w="100" w:type="dxa"/>
              <w:end w:w="120" w:type="dxa"/>
            </w:tcMar>
            <w:vAlign w:val="center"/>
          </w:tcPr>
          <w:p>
            <w:r>
              <w:rPr>
                <w:sz w:val="18"/>
              </w:rPr>
              <w:t>Value Flow</w:t>
            </w:r>
          </w:p>
        </w:tc>
        <w:tc>
          <w:tcPr>
            <w:tcW w:type="dxa" w:w="7920"/>
            <w:tcMar>
              <w:top w:w="100" w:type="dxa"/>
              <w:start w:w="120" w:type="dxa"/>
              <w:bottom w:w="100" w:type="dxa"/>
              <w:end w:w="120" w:type="dxa"/>
            </w:tcMar>
            <w:vAlign w:val="center"/>
          </w:tcPr>
          <w:p>
            <w:r>
              <w:rPr>
                <w:sz w:val="18"/>
              </w:rPr>
              <w:t>Flow chain with certainty class</w:t>
            </w:r>
          </w:p>
        </w:tc>
      </w:tr>
      <w:tr>
        <w:tc>
          <w:tcPr>
            <w:tcW w:type="dxa" w:w="2448"/>
            <w:tcMar>
              <w:top w:w="100" w:type="dxa"/>
              <w:start w:w="120" w:type="dxa"/>
              <w:bottom w:w="100" w:type="dxa"/>
              <w:end w:w="120" w:type="dxa"/>
            </w:tcMar>
            <w:vAlign w:val="center"/>
          </w:tcPr>
          <w:p>
            <w:r>
              <w:rPr>
                <w:sz w:val="18"/>
              </w:rPr>
              <w:t>Typologies</w:t>
            </w:r>
          </w:p>
        </w:tc>
        <w:tc>
          <w:tcPr>
            <w:tcW w:type="dxa" w:w="7920"/>
            <w:tcMar>
              <w:top w:w="100" w:type="dxa"/>
              <w:start w:w="120" w:type="dxa"/>
              <w:bottom w:w="100" w:type="dxa"/>
              <w:end w:w="120" w:type="dxa"/>
            </w:tcMar>
            <w:vAlign w:val="center"/>
          </w:tcPr>
          <w:p>
            <w:r>
              <w:rPr>
                <w:sz w:val="18"/>
              </w:rPr>
              <w:t>Indicators/counter-indicators and catalogue version</w:t>
            </w:r>
          </w:p>
        </w:tc>
      </w:tr>
      <w:tr>
        <w:tc>
          <w:tcPr>
            <w:tcW w:type="dxa" w:w="2448"/>
            <w:tcMar>
              <w:top w:w="100" w:type="dxa"/>
              <w:start w:w="120" w:type="dxa"/>
              <w:bottom w:w="100" w:type="dxa"/>
              <w:end w:w="120" w:type="dxa"/>
            </w:tcMar>
            <w:vAlign w:val="center"/>
          </w:tcPr>
          <w:p>
            <w:r>
              <w:rPr>
                <w:sz w:val="18"/>
              </w:rPr>
              <w:t>Hypotheses</w:t>
            </w:r>
          </w:p>
        </w:tc>
        <w:tc>
          <w:tcPr>
            <w:tcW w:type="dxa" w:w="7920"/>
            <w:tcMar>
              <w:top w:w="100" w:type="dxa"/>
              <w:start w:w="120" w:type="dxa"/>
              <w:bottom w:w="100" w:type="dxa"/>
              <w:end w:w="120" w:type="dxa"/>
            </w:tcMar>
            <w:vAlign w:val="center"/>
          </w:tcPr>
          <w:p>
            <w:r>
              <w:rPr>
                <w:sz w:val="18"/>
              </w:rPr>
              <w:t>Competing explanations and evidence matrix</w:t>
            </w:r>
          </w:p>
        </w:tc>
      </w:tr>
      <w:tr>
        <w:tc>
          <w:tcPr>
            <w:tcW w:type="dxa" w:w="2448"/>
            <w:tcMar>
              <w:top w:w="100" w:type="dxa"/>
              <w:start w:w="120" w:type="dxa"/>
              <w:bottom w:w="100" w:type="dxa"/>
              <w:end w:w="120" w:type="dxa"/>
            </w:tcMar>
            <w:vAlign w:val="center"/>
          </w:tcPr>
          <w:p>
            <w:r>
              <w:rPr>
                <w:sz w:val="18"/>
              </w:rPr>
              <w:t>Assessment</w:t>
            </w:r>
          </w:p>
        </w:tc>
        <w:tc>
          <w:tcPr>
            <w:tcW w:type="dxa" w:w="7920"/>
            <w:tcMar>
              <w:top w:w="100" w:type="dxa"/>
              <w:start w:w="120" w:type="dxa"/>
              <w:bottom w:w="100" w:type="dxa"/>
              <w:end w:w="120" w:type="dxa"/>
            </w:tcMar>
            <w:vAlign w:val="center"/>
          </w:tcPr>
          <w:p>
            <w:r>
              <w:rPr>
                <w:sz w:val="18"/>
              </w:rPr>
              <w:t>Judgement, confidence, basis, gaps, alternatives</w:t>
            </w:r>
          </w:p>
        </w:tc>
      </w:tr>
      <w:tr>
        <w:tc>
          <w:tcPr>
            <w:tcW w:type="dxa" w:w="2448"/>
            <w:tcMar>
              <w:top w:w="100" w:type="dxa"/>
              <w:start w:w="120" w:type="dxa"/>
              <w:bottom w:w="100" w:type="dxa"/>
              <w:end w:w="120" w:type="dxa"/>
            </w:tcMar>
            <w:vAlign w:val="center"/>
          </w:tcPr>
          <w:p>
            <w:r>
              <w:rPr>
                <w:sz w:val="18"/>
              </w:rPr>
              <w:t>Review</w:t>
            </w:r>
          </w:p>
        </w:tc>
        <w:tc>
          <w:tcPr>
            <w:tcW w:type="dxa" w:w="7920"/>
            <w:tcMar>
              <w:top w:w="100" w:type="dxa"/>
              <w:start w:w="120" w:type="dxa"/>
              <w:bottom w:w="100" w:type="dxa"/>
              <w:end w:w="120" w:type="dxa"/>
            </w:tcMar>
            <w:vAlign w:val="center"/>
          </w:tcPr>
          <w:p>
            <w:r>
              <w:rPr>
                <w:sz w:val="18"/>
              </w:rPr>
              <w:t>Peer/red-team comments, disposition, sign-off</w:t>
            </w:r>
          </w:p>
        </w:tc>
      </w:tr>
      <w:tr>
        <w:tc>
          <w:tcPr>
            <w:tcW w:type="dxa" w:w="2448"/>
            <w:tcMar>
              <w:top w:w="100" w:type="dxa"/>
              <w:start w:w="120" w:type="dxa"/>
              <w:bottom w:w="100" w:type="dxa"/>
              <w:end w:w="120" w:type="dxa"/>
            </w:tcMar>
            <w:vAlign w:val="center"/>
          </w:tcPr>
          <w:p>
            <w:r>
              <w:rPr>
                <w:sz w:val="18"/>
              </w:rPr>
              <w:t>Product</w:t>
            </w:r>
          </w:p>
        </w:tc>
        <w:tc>
          <w:tcPr>
            <w:tcW w:type="dxa" w:w="7920"/>
            <w:tcMar>
              <w:top w:w="100" w:type="dxa"/>
              <w:start w:w="120" w:type="dxa"/>
              <w:bottom w:w="100" w:type="dxa"/>
              <w:end w:w="120" w:type="dxa"/>
            </w:tcMar>
            <w:vAlign w:val="center"/>
          </w:tcPr>
          <w:p>
            <w:r>
              <w:rPr>
                <w:sz w:val="18"/>
              </w:rPr>
              <w:t>Draft/final intelligence products, exports, sharing log</w:t>
            </w:r>
          </w:p>
        </w:tc>
      </w:tr>
    </w:tbl>
    <w:p>
      <w:pPr>
        <w:spacing w:after="20"/>
      </w:pPr>
    </w:p>
    <w:p>
      <w:pPr>
        <w:pStyle w:val="Heading2"/>
      </w:pPr>
      <w:r>
        <w:t>10.3 UX safety requirements</w:t>
      </w:r>
    </w:p>
    <w:p>
      <w:pPr>
        <w:pStyle w:val="ListBullet"/>
      </w:pPr>
      <w:r>
        <w:t>Fact, inference, hypothesis, and assessment SHALL use distinct labels and visual treatment.</w:t>
      </w:r>
    </w:p>
    <w:p>
      <w:pPr>
        <w:pStyle w:val="ListBullet"/>
      </w:pPr>
      <w:r>
        <w:t>Reconstructed and hypothetical flows SHALL never use the same visual style as direct flows.</w:t>
      </w:r>
    </w:p>
    <w:p>
      <w:pPr>
        <w:pStyle w:val="ListBullet"/>
      </w:pPr>
      <w:r>
        <w:t>Graph and search suggestions SHALL be labelled as suggestions until promoted by a human into canonical records.</w:t>
      </w:r>
    </w:p>
    <w:p>
      <w:pPr>
        <w:pStyle w:val="ListBullet"/>
      </w:pPr>
      <w:r>
        <w:t>Destructive or high-impact actions (merge, disseminate, delete/retention disposal) SHALL require explicit confirmation and role checks.</w:t>
      </w:r>
    </w:p>
    <w:p>
      <w:pPr>
        <w:pStyle w:val="ListBullet"/>
      </w:pPr>
      <w:r>
        <w:t>Protected-source identities SHALL never appear in global search snippets, generic logs, or exported reports unless specifically authorised.</w:t>
      </w:r>
    </w:p>
    <w:p>
      <w:pPr>
        <w:pStyle w:val="Heading1"/>
      </w:pPr>
      <w:r>
        <w:t>11. Non-Functional Requirements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296"/>
            <w:shd w:fill="19304A"/>
            <w:tcMar>
              <w:top w:w="100" w:type="dxa"/>
              <w:start w:w="120" w:type="dxa"/>
              <w:bottom w:w="100" w:type="dxa"/>
              <w:end w:w="120" w:type="dxa"/>
            </w:tcMar>
            <w:vAlign w:val="center"/>
          </w:tcPr>
          <w:p>
            <w:r>
              <w:rPr>
                <w:b/>
                <w:color w:val="FFFFFF"/>
                <w:sz w:val="17"/>
              </w:rPr>
              <w:t>ID</w:t>
            </w:r>
          </w:p>
        </w:tc>
        <w:tc>
          <w:tcPr>
            <w:tcW w:type="dxa" w:w="1944"/>
            <w:shd w:fill="19304A"/>
            <w:tcMar>
              <w:top w:w="100" w:type="dxa"/>
              <w:start w:w="120" w:type="dxa"/>
              <w:bottom w:w="100" w:type="dxa"/>
              <w:end w:w="120" w:type="dxa"/>
            </w:tcMar>
            <w:vAlign w:val="center"/>
          </w:tcPr>
          <w:p>
            <w:r>
              <w:rPr>
                <w:b/>
                <w:color w:val="FFFFFF"/>
                <w:sz w:val="17"/>
              </w:rPr>
              <w:t>Area</w:t>
            </w:r>
          </w:p>
        </w:tc>
        <w:tc>
          <w:tcPr>
            <w:tcW w:type="dxa" w:w="7272"/>
            <w:shd w:fill="19304A"/>
            <w:tcMar>
              <w:top w:w="100" w:type="dxa"/>
              <w:start w:w="120" w:type="dxa"/>
              <w:bottom w:w="100" w:type="dxa"/>
              <w:end w:w="120" w:type="dxa"/>
            </w:tcMar>
            <w:vAlign w:val="center"/>
          </w:tcPr>
          <w:p>
            <w:r>
              <w:rPr>
                <w:b/>
                <w:color w:val="FFFFFF"/>
                <w:sz w:val="17"/>
              </w:rPr>
              <w:t>Requirement</w:t>
            </w:r>
          </w:p>
        </w:tc>
      </w:tr>
      <w:tr>
        <w:tc>
          <w:tcPr>
            <w:tcW w:type="dxa" w:w="1296"/>
            <w:tcMar>
              <w:top w:w="100" w:type="dxa"/>
              <w:start w:w="120" w:type="dxa"/>
              <w:bottom w:w="100" w:type="dxa"/>
              <w:end w:w="120" w:type="dxa"/>
            </w:tcMar>
            <w:vAlign w:val="center"/>
          </w:tcPr>
          <w:p>
            <w:r>
              <w:rPr>
                <w:sz w:val="17"/>
              </w:rPr>
              <w:t>NFR-01 Security</w:t>
            </w:r>
          </w:p>
        </w:tc>
        <w:tc>
          <w:tcPr>
            <w:tcW w:type="dxa" w:w="1944"/>
            <w:tcMar>
              <w:top w:w="100" w:type="dxa"/>
              <w:start w:w="120" w:type="dxa"/>
              <w:bottom w:w="100" w:type="dxa"/>
              <w:end w:w="120" w:type="dxa"/>
            </w:tcMar>
            <w:vAlign w:val="center"/>
          </w:tcPr>
          <w:p>
            <w:r>
              <w:rPr>
                <w:sz w:val="17"/>
              </w:rPr>
              <w:t>Encryption in transit; protected storage for restricted evidence; strong authentication; least privilege; secure secrets management.</w:t>
            </w:r>
          </w:p>
        </w:tc>
        <w:tc>
          <w:tcPr>
            <w:tcW w:type="dxa" w:w="7272"/>
          </w:tcPr>
          <w:p/>
        </w:tc>
      </w:tr>
      <w:tr>
        <w:tc>
          <w:tcPr>
            <w:tcW w:type="dxa" w:w="1296"/>
            <w:tcMar>
              <w:top w:w="100" w:type="dxa"/>
              <w:start w:w="120" w:type="dxa"/>
              <w:bottom w:w="100" w:type="dxa"/>
              <w:end w:w="120" w:type="dxa"/>
            </w:tcMar>
            <w:vAlign w:val="center"/>
          </w:tcPr>
          <w:p>
            <w:r>
              <w:rPr>
                <w:sz w:val="17"/>
              </w:rPr>
              <w:t>NFR-02 Privacy</w:t>
            </w:r>
          </w:p>
        </w:tc>
        <w:tc>
          <w:tcPr>
            <w:tcW w:type="dxa" w:w="1944"/>
            <w:tcMar>
              <w:top w:w="100" w:type="dxa"/>
              <w:start w:w="120" w:type="dxa"/>
              <w:bottom w:w="100" w:type="dxa"/>
              <w:end w:w="120" w:type="dxa"/>
            </w:tcMar>
            <w:vAlign w:val="center"/>
          </w:tcPr>
          <w:p>
            <w:r>
              <w:rPr>
                <w:sz w:val="17"/>
              </w:rPr>
              <w:t>Purpose binding, minimisation, classification, retention/disposition, access logging for high-sensitivity material.</w:t>
            </w:r>
          </w:p>
        </w:tc>
        <w:tc>
          <w:tcPr>
            <w:tcW w:type="dxa" w:w="7272"/>
          </w:tcPr>
          <w:p/>
        </w:tc>
      </w:tr>
      <w:tr>
        <w:tc>
          <w:tcPr>
            <w:tcW w:type="dxa" w:w="1296"/>
            <w:tcMar>
              <w:top w:w="100" w:type="dxa"/>
              <w:start w:w="120" w:type="dxa"/>
              <w:bottom w:w="100" w:type="dxa"/>
              <w:end w:w="120" w:type="dxa"/>
            </w:tcMar>
            <w:vAlign w:val="center"/>
          </w:tcPr>
          <w:p>
            <w:r>
              <w:rPr>
                <w:sz w:val="17"/>
              </w:rPr>
              <w:t>NFR-03 Auditability</w:t>
            </w:r>
          </w:p>
        </w:tc>
        <w:tc>
          <w:tcPr>
            <w:tcW w:type="dxa" w:w="1944"/>
            <w:tcMar>
              <w:top w:w="100" w:type="dxa"/>
              <w:start w:w="120" w:type="dxa"/>
              <w:bottom w:w="100" w:type="dxa"/>
              <w:end w:w="120" w:type="dxa"/>
            </w:tcMar>
            <w:vAlign w:val="center"/>
          </w:tcPr>
          <w:p>
            <w:r>
              <w:rPr>
                <w:sz w:val="17"/>
              </w:rPr>
              <w:t>Material analytical and dissemination changes reconstructable from audit/version history.</w:t>
            </w:r>
          </w:p>
        </w:tc>
        <w:tc>
          <w:tcPr>
            <w:tcW w:type="dxa" w:w="7272"/>
          </w:tcPr>
          <w:p/>
        </w:tc>
      </w:tr>
      <w:tr>
        <w:tc>
          <w:tcPr>
            <w:tcW w:type="dxa" w:w="1296"/>
            <w:tcMar>
              <w:top w:w="100" w:type="dxa"/>
              <w:start w:w="120" w:type="dxa"/>
              <w:bottom w:w="100" w:type="dxa"/>
              <w:end w:w="120" w:type="dxa"/>
            </w:tcMar>
            <w:vAlign w:val="center"/>
          </w:tcPr>
          <w:p>
            <w:r>
              <w:rPr>
                <w:sz w:val="17"/>
              </w:rPr>
              <w:t>NFR-04 Availability</w:t>
            </w:r>
          </w:p>
        </w:tc>
        <w:tc>
          <w:tcPr>
            <w:tcW w:type="dxa" w:w="1944"/>
            <w:tcMar>
              <w:top w:w="100" w:type="dxa"/>
              <w:start w:w="120" w:type="dxa"/>
              <w:bottom w:w="100" w:type="dxa"/>
              <w:end w:w="120" w:type="dxa"/>
            </w:tcMar>
            <w:vAlign w:val="center"/>
          </w:tcPr>
          <w:p>
            <w:r>
              <w:rPr>
                <w:sz w:val="17"/>
              </w:rPr>
              <w:t>MVP target: reliable single-organisation service with documented maintenance; restore capability prioritised over high availability.</w:t>
            </w:r>
          </w:p>
        </w:tc>
        <w:tc>
          <w:tcPr>
            <w:tcW w:type="dxa" w:w="7272"/>
          </w:tcPr>
          <w:p/>
        </w:tc>
      </w:tr>
      <w:tr>
        <w:tc>
          <w:tcPr>
            <w:tcW w:type="dxa" w:w="1296"/>
            <w:tcMar>
              <w:top w:w="100" w:type="dxa"/>
              <w:start w:w="120" w:type="dxa"/>
              <w:bottom w:w="100" w:type="dxa"/>
              <w:end w:w="120" w:type="dxa"/>
            </w:tcMar>
            <w:vAlign w:val="center"/>
          </w:tcPr>
          <w:p>
            <w:r>
              <w:rPr>
                <w:sz w:val="17"/>
              </w:rPr>
              <w:t>NFR-05 Backup/DR</w:t>
            </w:r>
          </w:p>
        </w:tc>
        <w:tc>
          <w:tcPr>
            <w:tcW w:type="dxa" w:w="1944"/>
            <w:tcMar>
              <w:top w:w="100" w:type="dxa"/>
              <w:start w:w="120" w:type="dxa"/>
              <w:bottom w:w="100" w:type="dxa"/>
              <w:end w:w="120" w:type="dxa"/>
            </w:tcMar>
            <w:vAlign w:val="center"/>
          </w:tcPr>
          <w:p>
            <w:r>
              <w:rPr>
                <w:sz w:val="17"/>
              </w:rPr>
              <w:t>Automated backups; encrypted backup copies; tested restore; RPO/RTO documented before production deployment.</w:t>
            </w:r>
          </w:p>
        </w:tc>
        <w:tc>
          <w:tcPr>
            <w:tcW w:type="dxa" w:w="7272"/>
          </w:tcPr>
          <w:p/>
        </w:tc>
      </w:tr>
      <w:tr>
        <w:tc>
          <w:tcPr>
            <w:tcW w:type="dxa" w:w="1296"/>
            <w:tcMar>
              <w:top w:w="100" w:type="dxa"/>
              <w:start w:w="120" w:type="dxa"/>
              <w:bottom w:w="100" w:type="dxa"/>
              <w:end w:w="120" w:type="dxa"/>
            </w:tcMar>
            <w:vAlign w:val="center"/>
          </w:tcPr>
          <w:p>
            <w:r>
              <w:rPr>
                <w:sz w:val="17"/>
              </w:rPr>
              <w:t>NFR-06 Performance</w:t>
            </w:r>
          </w:p>
        </w:tc>
        <w:tc>
          <w:tcPr>
            <w:tcW w:type="dxa" w:w="1944"/>
            <w:tcMar>
              <w:top w:w="100" w:type="dxa"/>
              <w:start w:w="120" w:type="dxa"/>
              <w:bottom w:w="100" w:type="dxa"/>
              <w:end w:w="120" w:type="dxa"/>
            </w:tcMar>
            <w:vAlign w:val="center"/>
          </w:tcPr>
          <w:p>
            <w:r>
              <w:rPr>
                <w:sz w:val="17"/>
              </w:rPr>
              <w:t>Common case/entity/search pages responsive for expected NGO-scale workloads; long analytics handled asynchronously.</w:t>
            </w:r>
          </w:p>
        </w:tc>
        <w:tc>
          <w:tcPr>
            <w:tcW w:type="dxa" w:w="7272"/>
          </w:tcPr>
          <w:p/>
        </w:tc>
      </w:tr>
      <w:tr>
        <w:tc>
          <w:tcPr>
            <w:tcW w:type="dxa" w:w="1296"/>
            <w:tcMar>
              <w:top w:w="100" w:type="dxa"/>
              <w:start w:w="120" w:type="dxa"/>
              <w:bottom w:w="100" w:type="dxa"/>
              <w:end w:w="120" w:type="dxa"/>
            </w:tcMar>
            <w:vAlign w:val="center"/>
          </w:tcPr>
          <w:p>
            <w:r>
              <w:rPr>
                <w:sz w:val="17"/>
              </w:rPr>
              <w:t>NFR-07 Accessibility</w:t>
            </w:r>
          </w:p>
        </w:tc>
        <w:tc>
          <w:tcPr>
            <w:tcW w:type="dxa" w:w="1944"/>
            <w:tcMar>
              <w:top w:w="100" w:type="dxa"/>
              <w:start w:w="120" w:type="dxa"/>
              <w:bottom w:w="100" w:type="dxa"/>
              <w:end w:w="120" w:type="dxa"/>
            </w:tcMar>
            <w:vAlign w:val="center"/>
          </w:tcPr>
          <w:p>
            <w:r>
              <w:rPr>
                <w:sz w:val="17"/>
              </w:rPr>
              <w:t>Keyboard-accessible core workflow, readable labels, non-colour-only certainty/status encoding.</w:t>
            </w:r>
          </w:p>
        </w:tc>
        <w:tc>
          <w:tcPr>
            <w:tcW w:type="dxa" w:w="7272"/>
          </w:tcPr>
          <w:p/>
        </w:tc>
      </w:tr>
      <w:tr>
        <w:tc>
          <w:tcPr>
            <w:tcW w:type="dxa" w:w="1296"/>
            <w:tcMar>
              <w:top w:w="100" w:type="dxa"/>
              <w:start w:w="120" w:type="dxa"/>
              <w:bottom w:w="100" w:type="dxa"/>
              <w:end w:w="120" w:type="dxa"/>
            </w:tcMar>
            <w:vAlign w:val="center"/>
          </w:tcPr>
          <w:p>
            <w:r>
              <w:rPr>
                <w:sz w:val="17"/>
              </w:rPr>
              <w:t>NFR-08 Interoperability</w:t>
            </w:r>
          </w:p>
        </w:tc>
        <w:tc>
          <w:tcPr>
            <w:tcW w:type="dxa" w:w="1944"/>
            <w:tcMar>
              <w:top w:w="100" w:type="dxa"/>
              <w:start w:w="120" w:type="dxa"/>
              <w:bottom w:w="100" w:type="dxa"/>
              <w:end w:w="120" w:type="dxa"/>
            </w:tcMar>
            <w:vAlign w:val="center"/>
          </w:tcPr>
          <w:p>
            <w:r>
              <w:rPr>
                <w:sz w:val="17"/>
              </w:rPr>
              <w:t>Stable IDs; API/export formats; no requirement that graph/search projections become system of record.</w:t>
            </w:r>
          </w:p>
        </w:tc>
        <w:tc>
          <w:tcPr>
            <w:tcW w:type="dxa" w:w="7272"/>
          </w:tcPr>
          <w:p/>
        </w:tc>
      </w:tr>
      <w:tr>
        <w:tc>
          <w:tcPr>
            <w:tcW w:type="dxa" w:w="1296"/>
            <w:tcMar>
              <w:top w:w="100" w:type="dxa"/>
              <w:start w:w="120" w:type="dxa"/>
              <w:bottom w:w="100" w:type="dxa"/>
              <w:end w:w="120" w:type="dxa"/>
            </w:tcMar>
            <w:vAlign w:val="center"/>
          </w:tcPr>
          <w:p>
            <w:r>
              <w:rPr>
                <w:sz w:val="17"/>
              </w:rPr>
              <w:t>NFR-09 Explainability</w:t>
            </w:r>
          </w:p>
        </w:tc>
        <w:tc>
          <w:tcPr>
            <w:tcW w:type="dxa" w:w="1944"/>
            <w:tcMar>
              <w:top w:w="100" w:type="dxa"/>
              <w:start w:w="120" w:type="dxa"/>
              <w:bottom w:w="100" w:type="dxa"/>
              <w:end w:w="120" w:type="dxa"/>
            </w:tcMar>
            <w:vAlign w:val="center"/>
          </w:tcPr>
          <w:p>
            <w:r>
              <w:rPr>
                <w:sz w:val="17"/>
              </w:rPr>
              <w:t>Any material automated score/suggestion exposes contributing signals/version/limitations where applicable.</w:t>
            </w:r>
          </w:p>
        </w:tc>
        <w:tc>
          <w:tcPr>
            <w:tcW w:type="dxa" w:w="7272"/>
          </w:tcPr>
          <w:p/>
        </w:tc>
      </w:tr>
      <w:tr>
        <w:tc>
          <w:tcPr>
            <w:tcW w:type="dxa" w:w="1296"/>
            <w:tcMar>
              <w:top w:w="100" w:type="dxa"/>
              <w:start w:w="120" w:type="dxa"/>
              <w:bottom w:w="100" w:type="dxa"/>
              <w:end w:w="120" w:type="dxa"/>
            </w:tcMar>
            <w:vAlign w:val="center"/>
          </w:tcPr>
          <w:p>
            <w:r>
              <w:rPr>
                <w:sz w:val="17"/>
              </w:rPr>
              <w:t>NFR-10 Maintainability</w:t>
            </w:r>
          </w:p>
        </w:tc>
        <w:tc>
          <w:tcPr>
            <w:tcW w:type="dxa" w:w="1944"/>
            <w:tcMar>
              <w:top w:w="100" w:type="dxa"/>
              <w:start w:w="120" w:type="dxa"/>
              <w:bottom w:w="100" w:type="dxa"/>
              <w:end w:w="120" w:type="dxa"/>
            </w:tcMar>
            <w:vAlign w:val="center"/>
          </w:tcPr>
          <w:p>
            <w:r>
              <w:rPr>
                <w:sz w:val="17"/>
              </w:rPr>
              <w:t>Schema migrations, versioned vocabularies, configuration history, environment separation, automated tests.</w:t>
            </w:r>
          </w:p>
        </w:tc>
        <w:tc>
          <w:tcPr>
            <w:tcW w:type="dxa" w:w="7272"/>
          </w:tcPr>
          <w:p/>
        </w:tc>
      </w:tr>
    </w:tbl>
    <w:p>
      <w:pPr>
        <w:spacing w:after="20"/>
      </w:pPr>
    </w:p>
    <w:p>
      <w:pPr>
        <w:pStyle w:val="Heading1"/>
      </w:pPr>
      <w:r>
        <w:t>12. Data Requirements</w:t>
      </w:r>
    </w:p>
    <w:p>
      <w:pPr>
        <w:pStyle w:val="Heading2"/>
      </w:pPr>
      <w:r>
        <w:t>12.1 Minimum canonical objects</w:t>
      </w:r>
    </w:p>
    <w:p>
      <w:r>
        <w:t>Case, Source, EvidenceItem, EvidenceExtract, Fact, Entity, Relationship, Asset, Event, ValueFlow, Indicator, TypologyMatch, Hypothesis, IntelligenceGap, Assessment, IntelligenceProduct, Review, Dissemination, AuditEvent.</w:t>
      </w:r>
    </w:p>
    <w:p>
      <w:pPr>
        <w:pStyle w:val="Heading2"/>
      </w:pPr>
      <w:r>
        <w:t>12.2 Mandatory analytical chain</w:t>
      </w:r>
    </w:p>
    <w:tbl>
      <w:tblPr>
        <w:tblStyle w:val="TableGrid"/>
        <w:tblW w:type="auto" w:w="0"/>
        <w:jc w:val="center"/>
        <w:tblLook w:firstColumn="1" w:firstRow="1" w:lastColumn="0" w:lastRow="0" w:noHBand="0" w:noVBand="1" w:val="04A0"/>
      </w:tblPr>
      <w:tblGrid>
        <w:gridCol w:w="9878"/>
      </w:tblGrid>
      <w:tr>
        <w:tc>
          <w:tcPr>
            <w:tcW w:type="dxa" w:w="9878"/>
            <w:shd w:fill="EAF1F6"/>
            <w:tcMar>
              <w:top w:w="150" w:type="dxa"/>
              <w:start w:w="180" w:type="dxa"/>
              <w:bottom w:w="150" w:type="dxa"/>
              <w:end w:w="180" w:type="dxa"/>
            </w:tcMar>
          </w:tcPr>
          <w:p>
            <w:r>
              <w:rPr>
                <w:b/>
                <w:color w:val="19304A"/>
                <w:sz w:val="22"/>
              </w:rPr>
              <w:t>Canonical chain</w:t>
              <w:br/>
            </w:r>
            <w:r>
              <w:rPr>
                <w:sz w:val="20"/>
              </w:rPr>
              <w:t>SOURCE → EVIDENCE → CLAIM/FACT → INDICATOR → HYPOTHESIS → ASSESSMENT → INTELLIGENCE PRODUCT</w:t>
            </w:r>
          </w:p>
        </w:tc>
      </w:tr>
    </w:tbl>
    <w:p>
      <w:pPr>
        <w:spacing w:after="40"/>
      </w:pPr>
    </w:p>
    <w:p>
      <w:pPr>
        <w:pStyle w:val="Heading2"/>
      </w:pPr>
      <w:r>
        <w:t>12.3 Data integrity constraints</w:t>
      </w:r>
    </w:p>
    <w:p>
      <w:pPr>
        <w:pStyle w:val="ListBullet"/>
      </w:pPr>
      <w:r>
        <w:t>Material Relationship objects require evidence reference or explicit analytical status explaining why evidence is unavailable.</w:t>
      </w:r>
    </w:p>
    <w:p>
      <w:pPr>
        <w:pStyle w:val="ListBullet"/>
      </w:pPr>
      <w:r>
        <w:t>Merge decisions require match rationale, supporting/conflicting attributes, reviewer where configured, and reversibility.</w:t>
      </w:r>
    </w:p>
    <w:p>
      <w:pPr>
        <w:pStyle w:val="ListBullet"/>
      </w:pPr>
      <w:r>
        <w:t>ValueFlow requires flow_class and may record amount as exact, range, or unknown.</w:t>
      </w:r>
    </w:p>
    <w:p>
      <w:pPr>
        <w:pStyle w:val="ListBullet"/>
      </w:pPr>
      <w:r>
        <w:t>Assessment requires confidence and basis; high-impact assessment requires review record.</w:t>
      </w:r>
    </w:p>
    <w:p>
      <w:pPr>
        <w:pStyle w:val="ListBullet"/>
      </w:pPr>
      <w:r>
        <w:t>Derivatives require parent evidence; original evidence cannot be silently replaced.</w:t>
      </w:r>
    </w:p>
    <w:p>
      <w:pPr>
        <w:pStyle w:val="ListBullet"/>
      </w:pPr>
      <w:r>
        <w:t>All canonical objects use stable IDs and version/audit semantics defined by the Data Model Specification.</w:t>
      </w:r>
    </w:p>
    <w:p>
      <w:pPr>
        <w:pStyle w:val="Heading1"/>
      </w:pPr>
      <w:r>
        <w:t>13. Integration Strategy</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872"/>
            <w:shd w:fill="19304A"/>
            <w:tcMar>
              <w:top w:w="100" w:type="dxa"/>
              <w:start w:w="120" w:type="dxa"/>
              <w:bottom w:w="100" w:type="dxa"/>
              <w:end w:w="120" w:type="dxa"/>
            </w:tcMar>
            <w:vAlign w:val="center"/>
          </w:tcPr>
          <w:p>
            <w:r>
              <w:rPr>
                <w:b/>
                <w:color w:val="FFFFFF"/>
                <w:sz w:val="17"/>
              </w:rPr>
              <w:t>System</w:t>
            </w:r>
          </w:p>
        </w:tc>
        <w:tc>
          <w:tcPr>
            <w:tcW w:type="dxa" w:w="1080"/>
            <w:shd w:fill="19304A"/>
            <w:tcMar>
              <w:top w:w="100" w:type="dxa"/>
              <w:start w:w="120" w:type="dxa"/>
              <w:bottom w:w="100" w:type="dxa"/>
              <w:end w:w="120" w:type="dxa"/>
            </w:tcMar>
            <w:vAlign w:val="center"/>
          </w:tcPr>
          <w:p>
            <w:r>
              <w:rPr>
                <w:b/>
                <w:color w:val="FFFFFF"/>
                <w:sz w:val="17"/>
              </w:rPr>
              <w:t>Phase</w:t>
            </w:r>
          </w:p>
        </w:tc>
        <w:tc>
          <w:tcPr>
            <w:tcW w:type="dxa" w:w="3168"/>
            <w:shd w:fill="19304A"/>
            <w:tcMar>
              <w:top w:w="100" w:type="dxa"/>
              <w:start w:w="120" w:type="dxa"/>
              <w:bottom w:w="100" w:type="dxa"/>
              <w:end w:w="120" w:type="dxa"/>
            </w:tcMar>
            <w:vAlign w:val="center"/>
          </w:tcPr>
          <w:p>
            <w:r>
              <w:rPr>
                <w:b/>
                <w:color w:val="FFFFFF"/>
                <w:sz w:val="17"/>
              </w:rPr>
              <w:t>Purpose</w:t>
            </w:r>
          </w:p>
        </w:tc>
        <w:tc>
          <w:tcPr>
            <w:tcW w:type="dxa" w:w="4320"/>
            <w:shd w:fill="19304A"/>
            <w:tcMar>
              <w:top w:w="100" w:type="dxa"/>
              <w:start w:w="120" w:type="dxa"/>
              <w:bottom w:w="100" w:type="dxa"/>
              <w:end w:w="120" w:type="dxa"/>
            </w:tcMar>
            <w:vAlign w:val="center"/>
          </w:tcPr>
          <w:p>
            <w:r>
              <w:rPr>
                <w:b/>
                <w:color w:val="FFFFFF"/>
                <w:sz w:val="17"/>
              </w:rPr>
              <w:t>Product rule</w:t>
            </w:r>
          </w:p>
        </w:tc>
      </w:tr>
      <w:tr>
        <w:tc>
          <w:tcPr>
            <w:tcW w:type="dxa" w:w="1872"/>
            <w:tcMar>
              <w:top w:w="100" w:type="dxa"/>
              <w:start w:w="120" w:type="dxa"/>
              <w:bottom w:w="100" w:type="dxa"/>
              <w:end w:w="120" w:type="dxa"/>
            </w:tcMar>
            <w:vAlign w:val="center"/>
          </w:tcPr>
          <w:p>
            <w:r>
              <w:rPr>
                <w:sz w:val="17"/>
              </w:rPr>
              <w:t>OpenAleph</w:t>
            </w:r>
          </w:p>
        </w:tc>
        <w:tc>
          <w:tcPr>
            <w:tcW w:type="dxa" w:w="1080"/>
            <w:tcMar>
              <w:top w:w="100" w:type="dxa"/>
              <w:start w:w="120" w:type="dxa"/>
              <w:bottom w:w="100" w:type="dxa"/>
              <w:end w:w="120" w:type="dxa"/>
            </w:tcMar>
            <w:vAlign w:val="center"/>
          </w:tcPr>
          <w:p>
            <w:r>
              <w:rPr>
                <w:sz w:val="17"/>
              </w:rPr>
              <w:t>Phase 2</w:t>
            </w:r>
          </w:p>
        </w:tc>
        <w:tc>
          <w:tcPr>
            <w:tcW w:type="dxa" w:w="3168"/>
            <w:tcMar>
              <w:top w:w="100" w:type="dxa"/>
              <w:start w:w="120" w:type="dxa"/>
              <w:bottom w:w="100" w:type="dxa"/>
              <w:end w:w="120" w:type="dxa"/>
            </w:tcMar>
            <w:vAlign w:val="center"/>
          </w:tcPr>
          <w:p>
            <w:r>
              <w:rPr>
                <w:sz w:val="17"/>
              </w:rPr>
              <w:t>Document ingestion/search/investigative workspace reference or connector</w:t>
            </w:r>
          </w:p>
        </w:tc>
        <w:tc>
          <w:tcPr>
            <w:tcW w:type="dxa" w:w="4320"/>
            <w:tcMar>
              <w:top w:w="100" w:type="dxa"/>
              <w:start w:w="120" w:type="dxa"/>
              <w:bottom w:w="100" w:type="dxa"/>
              <w:end w:w="120" w:type="dxa"/>
            </w:tcMar>
            <w:vAlign w:val="center"/>
          </w:tcPr>
          <w:p>
            <w:r>
              <w:rPr>
                <w:sz w:val="17"/>
              </w:rPr>
              <w:t>Do not duplicate mature document-processing capabilities if integration satisfies provenance/access requirements.</w:t>
            </w:r>
          </w:p>
        </w:tc>
      </w:tr>
      <w:tr>
        <w:tc>
          <w:tcPr>
            <w:tcW w:type="dxa" w:w="1872"/>
            <w:tcMar>
              <w:top w:w="100" w:type="dxa"/>
              <w:start w:w="120" w:type="dxa"/>
              <w:bottom w:w="100" w:type="dxa"/>
              <w:end w:w="120" w:type="dxa"/>
            </w:tcMar>
            <w:vAlign w:val="center"/>
          </w:tcPr>
          <w:p>
            <w:r>
              <w:rPr>
                <w:sz w:val="17"/>
              </w:rPr>
              <w:t>FollowTheMoney</w:t>
            </w:r>
          </w:p>
        </w:tc>
        <w:tc>
          <w:tcPr>
            <w:tcW w:type="dxa" w:w="1080"/>
            <w:tcMar>
              <w:top w:w="100" w:type="dxa"/>
              <w:start w:w="120" w:type="dxa"/>
              <w:bottom w:w="100" w:type="dxa"/>
              <w:end w:w="120" w:type="dxa"/>
            </w:tcMar>
            <w:vAlign w:val="center"/>
          </w:tcPr>
          <w:p>
            <w:r>
              <w:rPr>
                <w:sz w:val="17"/>
              </w:rPr>
              <w:t>Phase 2</w:t>
            </w:r>
          </w:p>
        </w:tc>
        <w:tc>
          <w:tcPr>
            <w:tcW w:type="dxa" w:w="3168"/>
            <w:tcMar>
              <w:top w:w="100" w:type="dxa"/>
              <w:start w:w="120" w:type="dxa"/>
              <w:bottom w:w="100" w:type="dxa"/>
              <w:end w:w="120" w:type="dxa"/>
            </w:tcMar>
            <w:vAlign w:val="center"/>
          </w:tcPr>
          <w:p>
            <w:r>
              <w:rPr>
                <w:sz w:val="17"/>
              </w:rPr>
              <w:t>Ontology/interoperability mapping</w:t>
            </w:r>
          </w:p>
        </w:tc>
        <w:tc>
          <w:tcPr>
            <w:tcW w:type="dxa" w:w="4320"/>
            <w:tcMar>
              <w:top w:w="100" w:type="dxa"/>
              <w:start w:w="120" w:type="dxa"/>
              <w:bottom w:w="100" w:type="dxa"/>
              <w:end w:w="120" w:type="dxa"/>
            </w:tcMar>
            <w:vAlign w:val="center"/>
          </w:tcPr>
          <w:p>
            <w:r>
              <w:rPr>
                <w:sz w:val="17"/>
              </w:rPr>
              <w:t>Map where compatible; preserve CS-AML-specific Evidence/Hypothesis/Assessment semantics.</w:t>
            </w:r>
          </w:p>
        </w:tc>
      </w:tr>
      <w:tr>
        <w:tc>
          <w:tcPr>
            <w:tcW w:type="dxa" w:w="1872"/>
            <w:tcMar>
              <w:top w:w="100" w:type="dxa"/>
              <w:start w:w="120" w:type="dxa"/>
              <w:bottom w:w="100" w:type="dxa"/>
              <w:end w:w="120" w:type="dxa"/>
            </w:tcMar>
            <w:vAlign w:val="center"/>
          </w:tcPr>
          <w:p>
            <w:r>
              <w:rPr>
                <w:sz w:val="17"/>
              </w:rPr>
              <w:t>OpenSanctions</w:t>
            </w:r>
          </w:p>
        </w:tc>
        <w:tc>
          <w:tcPr>
            <w:tcW w:type="dxa" w:w="1080"/>
            <w:tcMar>
              <w:top w:w="100" w:type="dxa"/>
              <w:start w:w="120" w:type="dxa"/>
              <w:bottom w:w="100" w:type="dxa"/>
              <w:end w:w="120" w:type="dxa"/>
            </w:tcMar>
            <w:vAlign w:val="center"/>
          </w:tcPr>
          <w:p>
            <w:r>
              <w:rPr>
                <w:sz w:val="17"/>
              </w:rPr>
              <w:t>Phase 2</w:t>
            </w:r>
          </w:p>
        </w:tc>
        <w:tc>
          <w:tcPr>
            <w:tcW w:type="dxa" w:w="3168"/>
            <w:tcMar>
              <w:top w:w="100" w:type="dxa"/>
              <w:start w:w="120" w:type="dxa"/>
              <w:bottom w:w="100" w:type="dxa"/>
              <w:end w:w="120" w:type="dxa"/>
            </w:tcMar>
            <w:vAlign w:val="center"/>
          </w:tcPr>
          <w:p>
            <w:r>
              <w:rPr>
                <w:sz w:val="17"/>
              </w:rPr>
              <w:t>PEP/sanctions/entity matching</w:t>
            </w:r>
          </w:p>
        </w:tc>
        <w:tc>
          <w:tcPr>
            <w:tcW w:type="dxa" w:w="4320"/>
            <w:tcMar>
              <w:top w:w="100" w:type="dxa"/>
              <w:start w:w="120" w:type="dxa"/>
              <w:bottom w:w="100" w:type="dxa"/>
              <w:end w:w="120" w:type="dxa"/>
            </w:tcMar>
            <w:vAlign w:val="center"/>
          </w:tcPr>
          <w:p>
            <w:r>
              <w:rPr>
                <w:sz w:val="17"/>
              </w:rPr>
              <w:t>Screening is contextual signal, not proof of wrongdoing.</w:t>
            </w:r>
          </w:p>
        </w:tc>
      </w:tr>
      <w:tr>
        <w:tc>
          <w:tcPr>
            <w:tcW w:type="dxa" w:w="1872"/>
            <w:tcMar>
              <w:top w:w="100" w:type="dxa"/>
              <w:start w:w="120" w:type="dxa"/>
              <w:bottom w:w="100" w:type="dxa"/>
              <w:end w:w="120" w:type="dxa"/>
            </w:tcMar>
            <w:vAlign w:val="center"/>
          </w:tcPr>
          <w:p>
            <w:r>
              <w:rPr>
                <w:sz w:val="17"/>
              </w:rPr>
              <w:t>Neo4j / Memgraph</w:t>
            </w:r>
          </w:p>
        </w:tc>
        <w:tc>
          <w:tcPr>
            <w:tcW w:type="dxa" w:w="1080"/>
            <w:tcMar>
              <w:top w:w="100" w:type="dxa"/>
              <w:start w:w="120" w:type="dxa"/>
              <w:bottom w:w="100" w:type="dxa"/>
              <w:end w:w="120" w:type="dxa"/>
            </w:tcMar>
            <w:vAlign w:val="center"/>
          </w:tcPr>
          <w:p>
            <w:r>
              <w:rPr>
                <w:sz w:val="17"/>
              </w:rPr>
              <w:t>Phase 2</w:t>
            </w:r>
          </w:p>
        </w:tc>
        <w:tc>
          <w:tcPr>
            <w:tcW w:type="dxa" w:w="3168"/>
            <w:tcMar>
              <w:top w:w="100" w:type="dxa"/>
              <w:start w:w="120" w:type="dxa"/>
              <w:bottom w:w="100" w:type="dxa"/>
              <w:end w:w="120" w:type="dxa"/>
            </w:tcMar>
            <w:vAlign w:val="center"/>
          </w:tcPr>
          <w:p>
            <w:r>
              <w:rPr>
                <w:sz w:val="17"/>
              </w:rPr>
              <w:t>Derived graph projection / analytics</w:t>
            </w:r>
          </w:p>
        </w:tc>
        <w:tc>
          <w:tcPr>
            <w:tcW w:type="dxa" w:w="4320"/>
            <w:tcMar>
              <w:top w:w="100" w:type="dxa"/>
              <w:start w:w="120" w:type="dxa"/>
              <w:bottom w:w="100" w:type="dxa"/>
              <w:end w:w="120" w:type="dxa"/>
            </w:tcMar>
            <w:vAlign w:val="center"/>
          </w:tcPr>
          <w:p>
            <w:r>
              <w:rPr>
                <w:sz w:val="17"/>
              </w:rPr>
              <w:t>Canonical Relationship remains source of truth.</w:t>
            </w:r>
          </w:p>
        </w:tc>
      </w:tr>
      <w:tr>
        <w:tc>
          <w:tcPr>
            <w:tcW w:type="dxa" w:w="1872"/>
            <w:tcMar>
              <w:top w:w="100" w:type="dxa"/>
              <w:start w:w="120" w:type="dxa"/>
              <w:bottom w:w="100" w:type="dxa"/>
              <w:end w:w="120" w:type="dxa"/>
            </w:tcMar>
            <w:vAlign w:val="center"/>
          </w:tcPr>
          <w:p>
            <w:r>
              <w:rPr>
                <w:sz w:val="17"/>
              </w:rPr>
              <w:t>Flowintel</w:t>
            </w:r>
          </w:p>
        </w:tc>
        <w:tc>
          <w:tcPr>
            <w:tcW w:type="dxa" w:w="1080"/>
            <w:tcMar>
              <w:top w:w="100" w:type="dxa"/>
              <w:start w:w="120" w:type="dxa"/>
              <w:bottom w:w="100" w:type="dxa"/>
              <w:end w:w="120" w:type="dxa"/>
            </w:tcMar>
            <w:vAlign w:val="center"/>
          </w:tcPr>
          <w:p>
            <w:r>
              <w:rPr>
                <w:sz w:val="17"/>
              </w:rPr>
              <w:t>Phase 3</w:t>
            </w:r>
          </w:p>
        </w:tc>
        <w:tc>
          <w:tcPr>
            <w:tcW w:type="dxa" w:w="3168"/>
            <w:tcMar>
              <w:top w:w="100" w:type="dxa"/>
              <w:start w:w="120" w:type="dxa"/>
              <w:bottom w:w="100" w:type="dxa"/>
              <w:end w:w="120" w:type="dxa"/>
            </w:tcMar>
            <w:vAlign w:val="center"/>
          </w:tcPr>
          <w:p>
            <w:r>
              <w:rPr>
                <w:sz w:val="17"/>
              </w:rPr>
              <w:t>Case/task interoperability</w:t>
            </w:r>
          </w:p>
        </w:tc>
        <w:tc>
          <w:tcPr>
            <w:tcW w:type="dxa" w:w="4320"/>
            <w:tcMar>
              <w:top w:w="100" w:type="dxa"/>
              <w:start w:w="120" w:type="dxa"/>
              <w:bottom w:w="100" w:type="dxa"/>
              <w:end w:w="120" w:type="dxa"/>
            </w:tcMar>
            <w:vAlign w:val="center"/>
          </w:tcPr>
          <w:p>
            <w:r>
              <w:rPr>
                <w:sz w:val="17"/>
              </w:rPr>
              <w:t>Use only if workflow interoperability provides value without duplicating CS-AML analytical state.</w:t>
            </w:r>
          </w:p>
        </w:tc>
      </w:tr>
      <w:tr>
        <w:tc>
          <w:tcPr>
            <w:tcW w:type="dxa" w:w="1872"/>
            <w:tcMar>
              <w:top w:w="100" w:type="dxa"/>
              <w:start w:w="120" w:type="dxa"/>
              <w:bottom w:w="100" w:type="dxa"/>
              <w:end w:w="120" w:type="dxa"/>
            </w:tcMar>
            <w:vAlign w:val="center"/>
          </w:tcPr>
          <w:p>
            <w:r>
              <w:rPr>
                <w:sz w:val="17"/>
              </w:rPr>
              <w:t>GraphSense</w:t>
            </w:r>
          </w:p>
        </w:tc>
        <w:tc>
          <w:tcPr>
            <w:tcW w:type="dxa" w:w="1080"/>
            <w:tcMar>
              <w:top w:w="100" w:type="dxa"/>
              <w:start w:w="120" w:type="dxa"/>
              <w:bottom w:w="100" w:type="dxa"/>
              <w:end w:w="120" w:type="dxa"/>
            </w:tcMar>
            <w:vAlign w:val="center"/>
          </w:tcPr>
          <w:p>
            <w:r>
              <w:rPr>
                <w:sz w:val="17"/>
              </w:rPr>
              <w:t>Phase 3</w:t>
            </w:r>
          </w:p>
        </w:tc>
        <w:tc>
          <w:tcPr>
            <w:tcW w:type="dxa" w:w="3168"/>
            <w:tcMar>
              <w:top w:w="100" w:type="dxa"/>
              <w:start w:w="120" w:type="dxa"/>
              <w:bottom w:w="100" w:type="dxa"/>
              <w:end w:w="120" w:type="dxa"/>
            </w:tcMar>
            <w:vAlign w:val="center"/>
          </w:tcPr>
          <w:p>
            <w:r>
              <w:rPr>
                <w:sz w:val="17"/>
              </w:rPr>
              <w:t>Cryptoasset analytics</w:t>
            </w:r>
          </w:p>
        </w:tc>
        <w:tc>
          <w:tcPr>
            <w:tcW w:type="dxa" w:w="4320"/>
            <w:tcMar>
              <w:top w:w="100" w:type="dxa"/>
              <w:start w:w="120" w:type="dxa"/>
              <w:bottom w:w="100" w:type="dxa"/>
              <w:end w:w="120" w:type="dxa"/>
            </w:tcMar>
            <w:vAlign w:val="center"/>
          </w:tcPr>
          <w:p>
            <w:r>
              <w:rPr>
                <w:sz w:val="17"/>
              </w:rPr>
              <w:t>Connector rather than building chain analytics.</w:t>
            </w:r>
          </w:p>
        </w:tc>
      </w:tr>
      <w:tr>
        <w:tc>
          <w:tcPr>
            <w:tcW w:type="dxa" w:w="1872"/>
            <w:tcMar>
              <w:top w:w="100" w:type="dxa"/>
              <w:start w:w="120" w:type="dxa"/>
              <w:bottom w:w="100" w:type="dxa"/>
              <w:end w:w="120" w:type="dxa"/>
            </w:tcMar>
            <w:vAlign w:val="center"/>
          </w:tcPr>
          <w:p>
            <w:r>
              <w:rPr>
                <w:sz w:val="17"/>
              </w:rPr>
              <w:t>OIDC / Keycloak-compatible</w:t>
            </w:r>
          </w:p>
        </w:tc>
        <w:tc>
          <w:tcPr>
            <w:tcW w:type="dxa" w:w="1080"/>
            <w:tcMar>
              <w:top w:w="100" w:type="dxa"/>
              <w:start w:w="120" w:type="dxa"/>
              <w:bottom w:w="100" w:type="dxa"/>
              <w:end w:w="120" w:type="dxa"/>
            </w:tcMar>
            <w:vAlign w:val="center"/>
          </w:tcPr>
          <w:p>
            <w:r>
              <w:rPr>
                <w:sz w:val="17"/>
              </w:rPr>
              <w:t>MVP</w:t>
            </w:r>
          </w:p>
        </w:tc>
        <w:tc>
          <w:tcPr>
            <w:tcW w:type="dxa" w:w="3168"/>
            <w:tcMar>
              <w:top w:w="100" w:type="dxa"/>
              <w:start w:w="120" w:type="dxa"/>
              <w:bottom w:w="100" w:type="dxa"/>
              <w:end w:w="120" w:type="dxa"/>
            </w:tcMar>
            <w:vAlign w:val="center"/>
          </w:tcPr>
          <w:p>
            <w:r>
              <w:rPr>
                <w:sz w:val="17"/>
              </w:rPr>
              <w:t>Authentication/identity</w:t>
            </w:r>
          </w:p>
        </w:tc>
        <w:tc>
          <w:tcPr>
            <w:tcW w:type="dxa" w:w="4320"/>
            <w:tcMar>
              <w:top w:w="100" w:type="dxa"/>
              <w:start w:w="120" w:type="dxa"/>
              <w:bottom w:w="100" w:type="dxa"/>
              <w:end w:w="120" w:type="dxa"/>
            </w:tcMar>
            <w:vAlign w:val="center"/>
          </w:tcPr>
          <w:p>
            <w:r>
              <w:rPr>
                <w:sz w:val="17"/>
              </w:rPr>
              <w:t>Use standards-based IAM; MFA and role claims supported.</w:t>
            </w:r>
          </w:p>
        </w:tc>
      </w:tr>
    </w:tbl>
    <w:p>
      <w:pPr>
        <w:spacing w:after="20"/>
      </w:pPr>
    </w:p>
    <w:p>
      <w:pPr>
        <w:pStyle w:val="Heading1"/>
      </w:pPr>
      <w:r>
        <w:t>14. AI and Automation Requirements</w:t>
      </w:r>
    </w:p>
    <w:p>
      <w:pPr>
        <w:pStyle w:val="Heading2"/>
      </w:pPr>
      <w:r>
        <w:t>14.1 Permitted assistive uses</w:t>
      </w:r>
    </w:p>
    <w:p>
      <w:pPr>
        <w:pStyle w:val="ListBullet"/>
      </w:pPr>
      <w:r>
        <w:t>OCR/text extraction assistance</w:t>
      </w:r>
    </w:p>
    <w:p>
      <w:pPr>
        <w:pStyle w:val="ListBullet"/>
      </w:pPr>
      <w:r>
        <w:t>Translation assistance</w:t>
      </w:r>
    </w:p>
    <w:p>
      <w:pPr>
        <w:pStyle w:val="ListBullet"/>
      </w:pPr>
      <w:r>
        <w:t>Entity candidate extraction</w:t>
      </w:r>
    </w:p>
    <w:p>
      <w:pPr>
        <w:pStyle w:val="ListBullet"/>
      </w:pPr>
      <w:r>
        <w:t>Summarisation with source links</w:t>
      </w:r>
    </w:p>
    <w:p>
      <w:pPr>
        <w:pStyle w:val="ListBullet"/>
      </w:pPr>
      <w:r>
        <w:t>Search/query assistance</w:t>
      </w:r>
    </w:p>
    <w:p>
      <w:pPr>
        <w:pStyle w:val="ListBullet"/>
      </w:pPr>
      <w:r>
        <w:t>Suggested relationship or typology candidates</w:t>
      </w:r>
    </w:p>
    <w:p>
      <w:pPr>
        <w:pStyle w:val="ListBullet"/>
      </w:pPr>
      <w:r>
        <w:t>Drafting assistance for analyst-controlled products</w:t>
      </w:r>
    </w:p>
    <w:p>
      <w:pPr>
        <w:pStyle w:val="Heading2"/>
      </w:pPr>
      <w:r>
        <w:t>14.2 Prohibited autonomous decisions</w:t>
      </w:r>
    </w:p>
    <w:p>
      <w:pPr>
        <w:pStyle w:val="ListBullet"/>
      </w:pPr>
      <w:r>
        <w:t>Determining guilt or criminality</w:t>
      </w:r>
    </w:p>
    <w:p>
      <w:pPr>
        <w:pStyle w:val="ListBullet"/>
      </w:pPr>
      <w:r>
        <w:t>Publishing/referring a case</w:t>
      </w:r>
    </w:p>
    <w:p>
      <w:pPr>
        <w:pStyle w:val="ListBullet"/>
      </w:pPr>
      <w:r>
        <w:t>Merging entities without human decision</w:t>
      </w:r>
    </w:p>
    <w:p>
      <w:pPr>
        <w:pStyle w:val="ListBullet"/>
      </w:pPr>
      <w:r>
        <w:t>Converting a suggestion/inference into a material fact</w:t>
      </w:r>
    </w:p>
    <w:p>
      <w:pPr>
        <w:pStyle w:val="ListBullet"/>
      </w:pPr>
      <w:r>
        <w:t>Revealing protected-source identity</w:t>
      </w:r>
    </w:p>
    <w:p>
      <w:pPr>
        <w:pStyle w:val="ListBullet"/>
      </w:pPr>
      <w:r>
        <w:t>Overriding access controls or case compartmentalisation</w:t>
      </w:r>
    </w:p>
    <w:p>
      <w:pPr>
        <w:pStyle w:val="Heading2"/>
      </w:pPr>
      <w:r>
        <w:t>14.3 Verification</w:t>
      </w:r>
    </w:p>
    <w:p>
      <w:r>
        <w:t>AI output used materially SHALL remain a derived analytical artefact until verified against underlying evidence. The system SHOULD retain model/tool version and prompt/context provenance when needed for reproducibility without exposing unnecessary sensitive content.</w:t>
      </w:r>
    </w:p>
    <w:p>
      <w:pPr>
        <w:pStyle w:val="Heading1"/>
      </w:pPr>
      <w:r>
        <w:t>15. Success Metrics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9304A"/>
            <w:tcMar>
              <w:top w:w="100" w:type="dxa"/>
              <w:start w:w="120" w:type="dxa"/>
              <w:bottom w:w="100" w:type="dxa"/>
              <w:end w:w="120" w:type="dxa"/>
            </w:tcMar>
            <w:vAlign w:val="center"/>
          </w:tcPr>
          <w:p>
            <w:r>
              <w:rPr>
                <w:b/>
                <w:color w:val="FFFFFF"/>
                <w:sz w:val="18"/>
              </w:rPr>
              <w:t>Metric</w:t>
            </w:r>
          </w:p>
        </w:tc>
        <w:tc>
          <w:tcPr>
            <w:tcW w:type="dxa" w:w="7488"/>
            <w:shd w:fill="19304A"/>
            <w:tcMar>
              <w:top w:w="100" w:type="dxa"/>
              <w:start w:w="120" w:type="dxa"/>
              <w:bottom w:w="100" w:type="dxa"/>
              <w:end w:w="120" w:type="dxa"/>
            </w:tcMar>
            <w:vAlign w:val="center"/>
          </w:tcPr>
          <w:p>
            <w:r>
              <w:rPr>
                <w:b/>
                <w:color w:val="FFFFFF"/>
                <w:sz w:val="18"/>
              </w:rPr>
              <w:t>Target / interpretation</w:t>
            </w:r>
          </w:p>
        </w:tc>
      </w:tr>
      <w:tr>
        <w:tc>
          <w:tcPr>
            <w:tcW w:type="dxa" w:w="2880"/>
            <w:tcMar>
              <w:top w:w="100" w:type="dxa"/>
              <w:start w:w="120" w:type="dxa"/>
              <w:bottom w:w="100" w:type="dxa"/>
              <w:end w:w="120" w:type="dxa"/>
            </w:tcMar>
            <w:vAlign w:val="center"/>
          </w:tcPr>
          <w:p>
            <w:r>
              <w:rPr>
                <w:sz w:val="18"/>
              </w:rPr>
              <w:t>Provenance coverage</w:t>
            </w:r>
          </w:p>
        </w:tc>
        <w:tc>
          <w:tcPr>
            <w:tcW w:type="dxa" w:w="7488"/>
            <w:tcMar>
              <w:top w:w="100" w:type="dxa"/>
              <w:start w:w="120" w:type="dxa"/>
              <w:bottom w:w="100" w:type="dxa"/>
              <w:end w:w="120" w:type="dxa"/>
            </w:tcMar>
            <w:vAlign w:val="center"/>
          </w:tcPr>
          <w:p>
            <w:r>
              <w:rPr>
                <w:sz w:val="18"/>
              </w:rPr>
              <w:t>≥95% of material facts in pilot products trace to registered evidence.</w:t>
            </w:r>
          </w:p>
        </w:tc>
      </w:tr>
      <w:tr>
        <w:tc>
          <w:tcPr>
            <w:tcW w:type="dxa" w:w="2880"/>
            <w:tcMar>
              <w:top w:w="100" w:type="dxa"/>
              <w:start w:w="120" w:type="dxa"/>
              <w:bottom w:w="100" w:type="dxa"/>
              <w:end w:w="120" w:type="dxa"/>
            </w:tcMar>
            <w:vAlign w:val="center"/>
          </w:tcPr>
          <w:p>
            <w:r>
              <w:rPr>
                <w:sz w:val="18"/>
              </w:rPr>
              <w:t>Review completeness</w:t>
            </w:r>
          </w:p>
        </w:tc>
        <w:tc>
          <w:tcPr>
            <w:tcW w:type="dxa" w:w="7488"/>
            <w:tcMar>
              <w:top w:w="100" w:type="dxa"/>
              <w:start w:w="120" w:type="dxa"/>
              <w:bottom w:w="100" w:type="dxa"/>
              <w:end w:w="120" w:type="dxa"/>
            </w:tcMar>
            <w:vAlign w:val="center"/>
          </w:tcPr>
          <w:p>
            <w:r>
              <w:rPr>
                <w:sz w:val="18"/>
              </w:rPr>
              <w:t>100% of high-impact products have independent review before dissemination.</w:t>
            </w:r>
          </w:p>
        </w:tc>
      </w:tr>
      <w:tr>
        <w:tc>
          <w:tcPr>
            <w:tcW w:type="dxa" w:w="2880"/>
            <w:tcMar>
              <w:top w:w="100" w:type="dxa"/>
              <w:start w:w="120" w:type="dxa"/>
              <w:bottom w:w="100" w:type="dxa"/>
              <w:end w:w="120" w:type="dxa"/>
            </w:tcMar>
            <w:vAlign w:val="center"/>
          </w:tcPr>
          <w:p>
            <w:r>
              <w:rPr>
                <w:sz w:val="18"/>
              </w:rPr>
              <w:t>Entity resolution quality</w:t>
            </w:r>
          </w:p>
        </w:tc>
        <w:tc>
          <w:tcPr>
            <w:tcW w:type="dxa" w:w="7488"/>
            <w:tcMar>
              <w:top w:w="100" w:type="dxa"/>
              <w:start w:w="120" w:type="dxa"/>
              <w:bottom w:w="100" w:type="dxa"/>
              <w:end w:w="120" w:type="dxa"/>
            </w:tcMar>
            <w:vAlign w:val="center"/>
          </w:tcPr>
          <w:p>
            <w:r>
              <w:rPr>
                <w:sz w:val="18"/>
              </w:rPr>
              <w:t>All merged high-impact entities have recorded rationale; correction/unmerge rate monitored.</w:t>
            </w:r>
          </w:p>
        </w:tc>
      </w:tr>
      <w:tr>
        <w:tc>
          <w:tcPr>
            <w:tcW w:type="dxa" w:w="2880"/>
            <w:tcMar>
              <w:top w:w="100" w:type="dxa"/>
              <w:start w:w="120" w:type="dxa"/>
              <w:bottom w:w="100" w:type="dxa"/>
              <w:end w:w="120" w:type="dxa"/>
            </w:tcMar>
            <w:vAlign w:val="center"/>
          </w:tcPr>
          <w:p>
            <w:r>
              <w:rPr>
                <w:sz w:val="18"/>
              </w:rPr>
              <w:t>Analytical discipline</w:t>
            </w:r>
          </w:p>
        </w:tc>
        <w:tc>
          <w:tcPr>
            <w:tcW w:type="dxa" w:w="7488"/>
            <w:tcMar>
              <w:top w:w="100" w:type="dxa"/>
              <w:start w:w="120" w:type="dxa"/>
              <w:bottom w:w="100" w:type="dxa"/>
              <w:end w:w="120" w:type="dxa"/>
            </w:tcMar>
            <w:vAlign w:val="center"/>
          </w:tcPr>
          <w:p>
            <w:r>
              <w:rPr>
                <w:sz w:val="18"/>
              </w:rPr>
              <w:t>≥90% of pilot assessments record alternatives and material intelligence gaps.</w:t>
            </w:r>
          </w:p>
        </w:tc>
      </w:tr>
      <w:tr>
        <w:tc>
          <w:tcPr>
            <w:tcW w:type="dxa" w:w="2880"/>
            <w:tcMar>
              <w:top w:w="100" w:type="dxa"/>
              <w:start w:w="120" w:type="dxa"/>
              <w:bottom w:w="100" w:type="dxa"/>
              <w:end w:w="120" w:type="dxa"/>
            </w:tcMar>
            <w:vAlign w:val="center"/>
          </w:tcPr>
          <w:p>
            <w:r>
              <w:rPr>
                <w:sz w:val="18"/>
              </w:rPr>
              <w:t>Workflow adoption</w:t>
            </w:r>
          </w:p>
        </w:tc>
        <w:tc>
          <w:tcPr>
            <w:tcW w:type="dxa" w:w="7488"/>
            <w:tcMar>
              <w:top w:w="100" w:type="dxa"/>
              <w:start w:w="120" w:type="dxa"/>
              <w:bottom w:w="100" w:type="dxa"/>
              <w:end w:w="120" w:type="dxa"/>
            </w:tcMar>
            <w:vAlign w:val="center"/>
          </w:tcPr>
          <w:p>
            <w:r>
              <w:rPr>
                <w:sz w:val="18"/>
              </w:rPr>
              <w:t>Pilot investigators complete an end-to-end case without maintaining a parallel “shadow” system for core analytical state.</w:t>
            </w:r>
          </w:p>
        </w:tc>
      </w:tr>
      <w:tr>
        <w:tc>
          <w:tcPr>
            <w:tcW w:type="dxa" w:w="2880"/>
            <w:tcMar>
              <w:top w:w="100" w:type="dxa"/>
              <w:start w:w="120" w:type="dxa"/>
              <w:bottom w:w="100" w:type="dxa"/>
              <w:end w:w="120" w:type="dxa"/>
            </w:tcMar>
            <w:vAlign w:val="center"/>
          </w:tcPr>
          <w:p>
            <w:r>
              <w:rPr>
                <w:sz w:val="18"/>
              </w:rPr>
              <w:t>Safety</w:t>
            </w:r>
          </w:p>
        </w:tc>
        <w:tc>
          <w:tcPr>
            <w:tcW w:type="dxa" w:w="7488"/>
            <w:tcMar>
              <w:top w:w="100" w:type="dxa"/>
              <w:start w:w="120" w:type="dxa"/>
              <w:bottom w:w="100" w:type="dxa"/>
              <w:end w:w="120" w:type="dxa"/>
            </w:tcMar>
            <w:vAlign w:val="center"/>
          </w:tcPr>
          <w:p>
            <w:r>
              <w:rPr>
                <w:sz w:val="18"/>
              </w:rPr>
              <w:t>0 unauthorised disclosures of protected-source identity during pilot.</w:t>
            </w:r>
          </w:p>
        </w:tc>
      </w:tr>
      <w:tr>
        <w:tc>
          <w:tcPr>
            <w:tcW w:type="dxa" w:w="2880"/>
            <w:tcMar>
              <w:top w:w="100" w:type="dxa"/>
              <w:start w:w="120" w:type="dxa"/>
              <w:bottom w:w="100" w:type="dxa"/>
              <w:end w:w="120" w:type="dxa"/>
            </w:tcMar>
            <w:vAlign w:val="center"/>
          </w:tcPr>
          <w:p>
            <w:r>
              <w:rPr>
                <w:sz w:val="18"/>
              </w:rPr>
              <w:t>Recovery</w:t>
            </w:r>
          </w:p>
        </w:tc>
        <w:tc>
          <w:tcPr>
            <w:tcW w:type="dxa" w:w="7488"/>
            <w:tcMar>
              <w:top w:w="100" w:type="dxa"/>
              <w:start w:w="120" w:type="dxa"/>
              <w:bottom w:w="100" w:type="dxa"/>
              <w:end w:w="120" w:type="dxa"/>
            </w:tcMar>
            <w:vAlign w:val="center"/>
          </w:tcPr>
          <w:p>
            <w:r>
              <w:rPr>
                <w:sz w:val="18"/>
              </w:rPr>
              <w:t>Successful tested restore of a selected case and evidence set before production launch.</w:t>
            </w:r>
          </w:p>
        </w:tc>
      </w:tr>
      <w:tr>
        <w:tc>
          <w:tcPr>
            <w:tcW w:type="dxa" w:w="2880"/>
            <w:tcMar>
              <w:top w:w="100" w:type="dxa"/>
              <w:start w:w="120" w:type="dxa"/>
              <w:bottom w:w="100" w:type="dxa"/>
              <w:end w:w="120" w:type="dxa"/>
            </w:tcMar>
            <w:vAlign w:val="center"/>
          </w:tcPr>
          <w:p>
            <w:r>
              <w:rPr>
                <w:sz w:val="18"/>
              </w:rPr>
              <w:t>Usefulness</w:t>
            </w:r>
          </w:p>
        </w:tc>
        <w:tc>
          <w:tcPr>
            <w:tcW w:type="dxa" w:w="7488"/>
            <w:tcMar>
              <w:top w:w="100" w:type="dxa"/>
              <w:start w:w="120" w:type="dxa"/>
              <w:bottom w:w="100" w:type="dxa"/>
              <w:end w:w="120" w:type="dxa"/>
            </w:tcMar>
            <w:vAlign w:val="center"/>
          </w:tcPr>
          <w:p>
            <w:r>
              <w:rPr>
                <w:sz w:val="18"/>
              </w:rPr>
              <w:t>Pilot users rate evidence traceability, graph/value-flow understanding, and review workflow as materially better than baseline process.</w:t>
            </w:r>
          </w:p>
        </w:tc>
      </w:tr>
    </w:tbl>
    <w:p>
      <w:pPr>
        <w:spacing w:after="20"/>
      </w:pPr>
    </w:p>
    <w:p>
      <w:pPr>
        <w:pStyle w:val="Heading1"/>
      </w:pPr>
      <w:r>
        <w:t>16. MVP Acceptance / Release Gate</w:t>
      </w:r>
    </w:p>
    <w:tbl>
      <w:tblPr>
        <w:tblStyle w:val="TableGrid"/>
        <w:tblW w:type="auto" w:w="0"/>
        <w:jc w:val="center"/>
        <w:tblLook w:firstColumn="1" w:firstRow="1" w:lastColumn="0" w:lastRow="0" w:noHBand="0" w:noVBand="1" w:val="04A0"/>
      </w:tblPr>
      <w:tblGrid>
        <w:gridCol w:w="9878"/>
      </w:tblGrid>
      <w:tr>
        <w:tc>
          <w:tcPr>
            <w:tcW w:type="dxa" w:w="9878"/>
            <w:shd w:fill="E2F0D9"/>
            <w:tcMar>
              <w:top w:w="150" w:type="dxa"/>
              <w:start w:w="180" w:type="dxa"/>
              <w:bottom w:w="150" w:type="dxa"/>
              <w:end w:w="180" w:type="dxa"/>
            </w:tcMar>
          </w:tcPr>
          <w:p>
            <w:r>
              <w:rPr>
                <w:b/>
                <w:color w:val="19304A"/>
                <w:sz w:val="22"/>
              </w:rPr>
              <w:t>MVP 0.1 release gate</w:t>
              <w:br/>
            </w:r>
            <w:r>
              <w:rPr>
                <w:sz w:val="20"/>
              </w:rPr>
              <w:t>The release is not “done” because all screens exist. It is done when a representative case can be completed end-to-end with provenance, access controls, analytical separation, peer review, export controls, and restore/audit evidence functioning together.</w:t>
            </w:r>
          </w:p>
        </w:tc>
      </w:tr>
    </w:tbl>
    <w:p>
      <w:pPr>
        <w:spacing w:after="40"/>
      </w:pPr>
    </w:p>
    <w:p>
      <w:pPr>
        <w:pStyle w:val="ListNumber"/>
      </w:pPr>
      <w:r>
        <w:t>Create a case and approved Investigation Charter.</w:t>
      </w:r>
    </w:p>
    <w:p>
      <w:pPr>
        <w:pStyle w:val="ListNumber"/>
      </w:pPr>
      <w:r>
        <w:t>Register at least three different source/evidence types and preserve originals.</w:t>
      </w:r>
    </w:p>
    <w:p>
      <w:pPr>
        <w:pStyle w:val="ListNumber"/>
      </w:pPr>
      <w:r>
        <w:t>Create evidence extracts with lineage.</w:t>
      </w:r>
    </w:p>
    <w:p>
      <w:pPr>
        <w:pStyle w:val="ListNumber"/>
      </w:pPr>
      <w:r>
        <w:t>Create and resolve duplicate entity candidates, including one reversible merge.</w:t>
      </w:r>
    </w:p>
    <w:p>
      <w:pPr>
        <w:pStyle w:val="ListNumber"/>
      </w:pPr>
      <w:r>
        <w:t>Create evidence-backed relationships and render them in graph view.</w:t>
      </w:r>
    </w:p>
    <w:p>
      <w:pPr>
        <w:pStyle w:val="ListNumber"/>
      </w:pPr>
      <w:r>
        <w:t>Record asset/event/timeline data.</w:t>
      </w:r>
    </w:p>
    <w:p>
      <w:pPr>
        <w:pStyle w:val="ListNumber"/>
      </w:pPr>
      <w:r>
        <w:t>Build a multi-leg value-flow chain containing at least two different flow classes.</w:t>
      </w:r>
    </w:p>
    <w:p>
      <w:pPr>
        <w:pStyle w:val="ListNumber"/>
      </w:pPr>
      <w:r>
        <w:t>Apply one typology worksheet with counter-indicators.</w:t>
      </w:r>
    </w:p>
    <w:p>
      <w:pPr>
        <w:pStyle w:val="ListNumber"/>
      </w:pPr>
      <w:r>
        <w:t>Test at least two competing hypotheses and record an intelligence gap.</w:t>
      </w:r>
    </w:p>
    <w:p>
      <w:pPr>
        <w:pStyle w:val="ListNumber"/>
      </w:pPr>
      <w:r>
        <w:t>Create an assessment with confidence and disconfirming-search record.</w:t>
      </w:r>
    </w:p>
    <w:p>
      <w:pPr>
        <w:pStyle w:val="ListNumber"/>
      </w:pPr>
      <w:r>
        <w:t>Complete independent peer review.</w:t>
      </w:r>
    </w:p>
    <w:p>
      <w:pPr>
        <w:pStyle w:val="ListNumber"/>
      </w:pPr>
      <w:r>
        <w:t>Generate an intelligence product with evidence index and handling classification.</w:t>
      </w:r>
    </w:p>
    <w:p>
      <w:pPr>
        <w:pStyle w:val="ListNumber"/>
      </w:pPr>
      <w:r>
        <w:t>Approve and export a controlled referral/share package.</w:t>
      </w:r>
    </w:p>
    <w:p>
      <w:pPr>
        <w:pStyle w:val="ListNumber"/>
      </w:pPr>
      <w:r>
        <w:t>Confirm access-control isolation for a restricted case and protected-source identity.</w:t>
      </w:r>
    </w:p>
    <w:p>
      <w:pPr>
        <w:pStyle w:val="ListNumber"/>
      </w:pPr>
      <w:r>
        <w:t>Restore the pilot case and evidence from backup and verify audit continuity.</w:t>
      </w:r>
    </w:p>
    <w:p>
      <w:pPr>
        <w:pStyle w:val="Heading1"/>
      </w:pPr>
      <w:r>
        <w:t>17. Product Risks and Mitigations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936"/>
            <w:shd w:fill="19304A"/>
            <w:tcMar>
              <w:top w:w="100" w:type="dxa"/>
              <w:start w:w="120" w:type="dxa"/>
              <w:bottom w:w="100" w:type="dxa"/>
              <w:end w:w="120" w:type="dxa"/>
            </w:tcMar>
            <w:vAlign w:val="center"/>
          </w:tcPr>
          <w:p>
            <w:r>
              <w:rPr>
                <w:b/>
                <w:color w:val="FFFFFF"/>
                <w:sz w:val="16"/>
              </w:rPr>
              <w:t>ID</w:t>
            </w:r>
          </w:p>
        </w:tc>
        <w:tc>
          <w:tcPr>
            <w:tcW w:type="dxa" w:w="1872"/>
            <w:shd w:fill="19304A"/>
            <w:tcMar>
              <w:top w:w="100" w:type="dxa"/>
              <w:start w:w="120" w:type="dxa"/>
              <w:bottom w:w="100" w:type="dxa"/>
              <w:end w:w="120" w:type="dxa"/>
            </w:tcMar>
            <w:vAlign w:val="center"/>
          </w:tcPr>
          <w:p>
            <w:r>
              <w:rPr>
                <w:b/>
                <w:color w:val="FFFFFF"/>
                <w:sz w:val="16"/>
              </w:rPr>
              <w:t>Risk</w:t>
            </w:r>
          </w:p>
        </w:tc>
        <w:tc>
          <w:tcPr>
            <w:tcW w:type="dxa" w:w="3312"/>
            <w:shd w:fill="19304A"/>
            <w:tcMar>
              <w:top w:w="100" w:type="dxa"/>
              <w:start w:w="120" w:type="dxa"/>
              <w:bottom w:w="100" w:type="dxa"/>
              <w:end w:w="120" w:type="dxa"/>
            </w:tcMar>
            <w:vAlign w:val="center"/>
          </w:tcPr>
          <w:p>
            <w:r>
              <w:rPr>
                <w:b/>
                <w:color w:val="FFFFFF"/>
                <w:sz w:val="16"/>
              </w:rPr>
              <w:t>Failure mode</w:t>
            </w:r>
          </w:p>
        </w:tc>
        <w:tc>
          <w:tcPr>
            <w:tcW w:type="dxa" w:w="4320"/>
            <w:shd w:fill="19304A"/>
            <w:tcMar>
              <w:top w:w="100" w:type="dxa"/>
              <w:start w:w="120" w:type="dxa"/>
              <w:bottom w:w="100" w:type="dxa"/>
              <w:end w:w="120" w:type="dxa"/>
            </w:tcMar>
            <w:vAlign w:val="center"/>
          </w:tcPr>
          <w:p>
            <w:r>
              <w:rPr>
                <w:b/>
                <w:color w:val="FFFFFF"/>
                <w:sz w:val="16"/>
              </w:rPr>
              <w:t>Mitigation</w:t>
            </w:r>
          </w:p>
        </w:tc>
      </w:tr>
      <w:tr>
        <w:tc>
          <w:tcPr>
            <w:tcW w:type="dxa" w:w="936"/>
            <w:tcMar>
              <w:top w:w="100" w:type="dxa"/>
              <w:start w:w="120" w:type="dxa"/>
              <w:bottom w:w="100" w:type="dxa"/>
              <w:end w:w="120" w:type="dxa"/>
            </w:tcMar>
            <w:vAlign w:val="center"/>
          </w:tcPr>
          <w:p>
            <w:r>
              <w:rPr>
                <w:sz w:val="16"/>
              </w:rPr>
              <w:t>R-01</w:t>
            </w:r>
          </w:p>
        </w:tc>
        <w:tc>
          <w:tcPr>
            <w:tcW w:type="dxa" w:w="1872"/>
            <w:tcMar>
              <w:top w:w="100" w:type="dxa"/>
              <w:start w:w="120" w:type="dxa"/>
              <w:bottom w:w="100" w:type="dxa"/>
              <w:end w:w="120" w:type="dxa"/>
            </w:tcMar>
            <w:vAlign w:val="center"/>
          </w:tcPr>
          <w:p>
            <w:r>
              <w:rPr>
                <w:sz w:val="16"/>
              </w:rPr>
              <w:t>Scope explosion</w:t>
            </w:r>
          </w:p>
        </w:tc>
        <w:tc>
          <w:tcPr>
            <w:tcW w:type="dxa" w:w="3312"/>
            <w:tcMar>
              <w:top w:w="100" w:type="dxa"/>
              <w:start w:w="120" w:type="dxa"/>
              <w:bottom w:w="100" w:type="dxa"/>
              <w:end w:w="120" w:type="dxa"/>
            </w:tcMar>
            <w:vAlign w:val="center"/>
          </w:tcPr>
          <w:p>
            <w:r>
              <w:rPr>
                <w:sz w:val="16"/>
              </w:rPr>
              <w:t>Trying to implement all 87 catalogue features at once.</w:t>
            </w:r>
          </w:p>
        </w:tc>
        <w:tc>
          <w:tcPr>
            <w:tcW w:type="dxa" w:w="4320"/>
            <w:tcMar>
              <w:top w:w="100" w:type="dxa"/>
              <w:start w:w="120" w:type="dxa"/>
              <w:bottom w:w="100" w:type="dxa"/>
              <w:end w:w="120" w:type="dxa"/>
            </w:tcMar>
            <w:vAlign w:val="center"/>
          </w:tcPr>
          <w:p>
            <w:r>
              <w:rPr>
                <w:sz w:val="16"/>
              </w:rPr>
              <w:t>Freeze MVP capability list; phase integrations and advanced analytics.</w:t>
            </w:r>
          </w:p>
        </w:tc>
      </w:tr>
      <w:tr>
        <w:tc>
          <w:tcPr>
            <w:tcW w:type="dxa" w:w="936"/>
            <w:tcMar>
              <w:top w:w="100" w:type="dxa"/>
              <w:start w:w="120" w:type="dxa"/>
              <w:bottom w:w="100" w:type="dxa"/>
              <w:end w:w="120" w:type="dxa"/>
            </w:tcMar>
            <w:vAlign w:val="center"/>
          </w:tcPr>
          <w:p>
            <w:r>
              <w:rPr>
                <w:sz w:val="16"/>
              </w:rPr>
              <w:t>R-02</w:t>
            </w:r>
          </w:p>
        </w:tc>
        <w:tc>
          <w:tcPr>
            <w:tcW w:type="dxa" w:w="1872"/>
            <w:tcMar>
              <w:top w:w="100" w:type="dxa"/>
              <w:start w:w="120" w:type="dxa"/>
              <w:bottom w:w="100" w:type="dxa"/>
              <w:end w:w="120" w:type="dxa"/>
            </w:tcMar>
            <w:vAlign w:val="center"/>
          </w:tcPr>
          <w:p>
            <w:r>
              <w:rPr>
                <w:sz w:val="16"/>
              </w:rPr>
              <w:t>Graph overclaim</w:t>
            </w:r>
          </w:p>
        </w:tc>
        <w:tc>
          <w:tcPr>
            <w:tcW w:type="dxa" w:w="3312"/>
            <w:tcMar>
              <w:top w:w="100" w:type="dxa"/>
              <w:start w:w="120" w:type="dxa"/>
              <w:bottom w:w="100" w:type="dxa"/>
              <w:end w:w="120" w:type="dxa"/>
            </w:tcMar>
            <w:vAlign w:val="center"/>
          </w:tcPr>
          <w:p>
            <w:r>
              <w:rPr>
                <w:sz w:val="16"/>
              </w:rPr>
              <w:t>Users infer wrongdoing from visual proximity.</w:t>
            </w:r>
          </w:p>
        </w:tc>
        <w:tc>
          <w:tcPr>
            <w:tcW w:type="dxa" w:w="4320"/>
            <w:tcMar>
              <w:top w:w="100" w:type="dxa"/>
              <w:start w:w="120" w:type="dxa"/>
              <w:bottom w:w="100" w:type="dxa"/>
              <w:end w:w="120" w:type="dxa"/>
            </w:tcMar>
            <w:vAlign w:val="center"/>
          </w:tcPr>
          <w:p>
            <w:r>
              <w:rPr>
                <w:sz w:val="16"/>
              </w:rPr>
              <w:t>Evidence-backed edges, certainty labels, legends, relationship status and training.</w:t>
            </w:r>
          </w:p>
        </w:tc>
      </w:tr>
      <w:tr>
        <w:tc>
          <w:tcPr>
            <w:tcW w:type="dxa" w:w="936"/>
            <w:tcMar>
              <w:top w:w="100" w:type="dxa"/>
              <w:start w:w="120" w:type="dxa"/>
              <w:bottom w:w="100" w:type="dxa"/>
              <w:end w:w="120" w:type="dxa"/>
            </w:tcMar>
            <w:vAlign w:val="center"/>
          </w:tcPr>
          <w:p>
            <w:r>
              <w:rPr>
                <w:sz w:val="16"/>
              </w:rPr>
              <w:t>R-03</w:t>
            </w:r>
          </w:p>
        </w:tc>
        <w:tc>
          <w:tcPr>
            <w:tcW w:type="dxa" w:w="1872"/>
            <w:tcMar>
              <w:top w:w="100" w:type="dxa"/>
              <w:start w:w="120" w:type="dxa"/>
              <w:bottom w:w="100" w:type="dxa"/>
              <w:end w:w="120" w:type="dxa"/>
            </w:tcMar>
            <w:vAlign w:val="center"/>
          </w:tcPr>
          <w:p>
            <w:r>
              <w:rPr>
                <w:sz w:val="16"/>
              </w:rPr>
              <w:t>Entity false merge</w:t>
            </w:r>
          </w:p>
        </w:tc>
        <w:tc>
          <w:tcPr>
            <w:tcW w:type="dxa" w:w="3312"/>
            <w:tcMar>
              <w:top w:w="100" w:type="dxa"/>
              <w:start w:w="120" w:type="dxa"/>
              <w:bottom w:w="100" w:type="dxa"/>
              <w:end w:w="120" w:type="dxa"/>
            </w:tcMar>
            <w:vAlign w:val="center"/>
          </w:tcPr>
          <w:p>
            <w:r>
              <w:rPr>
                <w:sz w:val="16"/>
              </w:rPr>
              <w:t>Common names/addresses create false networks.</w:t>
            </w:r>
          </w:p>
        </w:tc>
        <w:tc>
          <w:tcPr>
            <w:tcW w:type="dxa" w:w="4320"/>
            <w:tcMar>
              <w:top w:w="100" w:type="dxa"/>
              <w:start w:w="120" w:type="dxa"/>
              <w:bottom w:w="100" w:type="dxa"/>
              <w:end w:w="120" w:type="dxa"/>
            </w:tcMar>
            <w:vAlign w:val="center"/>
          </w:tcPr>
          <w:p>
            <w:r>
              <w:rPr>
                <w:sz w:val="16"/>
              </w:rPr>
              <w:t>Candidate state, reviewer decision, merge rationale, reversible merges.</w:t>
            </w:r>
          </w:p>
        </w:tc>
      </w:tr>
      <w:tr>
        <w:tc>
          <w:tcPr>
            <w:tcW w:type="dxa" w:w="936"/>
            <w:tcMar>
              <w:top w:w="100" w:type="dxa"/>
              <w:start w:w="120" w:type="dxa"/>
              <w:bottom w:w="100" w:type="dxa"/>
              <w:end w:w="120" w:type="dxa"/>
            </w:tcMar>
            <w:vAlign w:val="center"/>
          </w:tcPr>
          <w:p>
            <w:r>
              <w:rPr>
                <w:sz w:val="16"/>
              </w:rPr>
              <w:t>R-04</w:t>
            </w:r>
          </w:p>
        </w:tc>
        <w:tc>
          <w:tcPr>
            <w:tcW w:type="dxa" w:w="1872"/>
            <w:tcMar>
              <w:top w:w="100" w:type="dxa"/>
              <w:start w:w="120" w:type="dxa"/>
              <w:bottom w:w="100" w:type="dxa"/>
              <w:end w:w="120" w:type="dxa"/>
            </w:tcMar>
            <w:vAlign w:val="center"/>
          </w:tcPr>
          <w:p>
            <w:r>
              <w:rPr>
                <w:sz w:val="16"/>
              </w:rPr>
              <w:t>Sensitive data exposure</w:t>
            </w:r>
          </w:p>
        </w:tc>
        <w:tc>
          <w:tcPr>
            <w:tcW w:type="dxa" w:w="3312"/>
            <w:tcMar>
              <w:top w:w="100" w:type="dxa"/>
              <w:start w:w="120" w:type="dxa"/>
              <w:bottom w:w="100" w:type="dxa"/>
              <w:end w:w="120" w:type="dxa"/>
            </w:tcMar>
            <w:vAlign w:val="center"/>
          </w:tcPr>
          <w:p>
            <w:r>
              <w:rPr>
                <w:sz w:val="16"/>
              </w:rPr>
              <w:t>Protected source or private data leaks through search/export/logs.</w:t>
            </w:r>
          </w:p>
        </w:tc>
        <w:tc>
          <w:tcPr>
            <w:tcW w:type="dxa" w:w="4320"/>
            <w:tcMar>
              <w:top w:w="100" w:type="dxa"/>
              <w:start w:w="120" w:type="dxa"/>
              <w:bottom w:w="100" w:type="dxa"/>
              <w:end w:w="120" w:type="dxa"/>
            </w:tcMar>
            <w:vAlign w:val="center"/>
          </w:tcPr>
          <w:p>
            <w:r>
              <w:rPr>
                <w:sz w:val="16"/>
              </w:rPr>
              <w:t>Compartmentalisation, object permissions, sanitised references, export approval, security tests.</w:t>
            </w:r>
          </w:p>
        </w:tc>
      </w:tr>
      <w:tr>
        <w:tc>
          <w:tcPr>
            <w:tcW w:type="dxa" w:w="936"/>
            <w:tcMar>
              <w:top w:w="100" w:type="dxa"/>
              <w:start w:w="120" w:type="dxa"/>
              <w:bottom w:w="100" w:type="dxa"/>
              <w:end w:w="120" w:type="dxa"/>
            </w:tcMar>
            <w:vAlign w:val="center"/>
          </w:tcPr>
          <w:p>
            <w:r>
              <w:rPr>
                <w:sz w:val="16"/>
              </w:rPr>
              <w:t>R-05</w:t>
            </w:r>
          </w:p>
        </w:tc>
        <w:tc>
          <w:tcPr>
            <w:tcW w:type="dxa" w:w="1872"/>
            <w:tcMar>
              <w:top w:w="100" w:type="dxa"/>
              <w:start w:w="120" w:type="dxa"/>
              <w:bottom w:w="100" w:type="dxa"/>
              <w:end w:w="120" w:type="dxa"/>
            </w:tcMar>
            <w:vAlign w:val="center"/>
          </w:tcPr>
          <w:p>
            <w:r>
              <w:rPr>
                <w:sz w:val="16"/>
              </w:rPr>
              <w:t>Analytical bureaucracy</w:t>
            </w:r>
          </w:p>
        </w:tc>
        <w:tc>
          <w:tcPr>
            <w:tcW w:type="dxa" w:w="3312"/>
            <w:tcMar>
              <w:top w:w="100" w:type="dxa"/>
              <w:start w:w="120" w:type="dxa"/>
              <w:bottom w:w="100" w:type="dxa"/>
              <w:end w:w="120" w:type="dxa"/>
            </w:tcMar>
            <w:vAlign w:val="center"/>
          </w:tcPr>
          <w:p>
            <w:r>
              <w:rPr>
                <w:sz w:val="16"/>
              </w:rPr>
              <w:t>Framework creates forms without improving investigation.</w:t>
            </w:r>
          </w:p>
        </w:tc>
        <w:tc>
          <w:tcPr>
            <w:tcW w:type="dxa" w:w="4320"/>
            <w:tcMar>
              <w:top w:w="100" w:type="dxa"/>
              <w:start w:w="120" w:type="dxa"/>
              <w:bottom w:w="100" w:type="dxa"/>
              <w:end w:w="120" w:type="dxa"/>
            </w:tcMar>
            <w:vAlign w:val="center"/>
          </w:tcPr>
          <w:p>
            <w:r>
              <w:rPr>
                <w:sz w:val="16"/>
              </w:rPr>
              <w:t>Measure outcomes/usefulness; keep gates risk-based; reduce low-value mandatory fields.</w:t>
            </w:r>
          </w:p>
        </w:tc>
      </w:tr>
      <w:tr>
        <w:tc>
          <w:tcPr>
            <w:tcW w:type="dxa" w:w="936"/>
            <w:tcMar>
              <w:top w:w="100" w:type="dxa"/>
              <w:start w:w="120" w:type="dxa"/>
              <w:bottom w:w="100" w:type="dxa"/>
              <w:end w:w="120" w:type="dxa"/>
            </w:tcMar>
            <w:vAlign w:val="center"/>
          </w:tcPr>
          <w:p>
            <w:r>
              <w:rPr>
                <w:sz w:val="16"/>
              </w:rPr>
              <w:t>R-06</w:t>
            </w:r>
          </w:p>
        </w:tc>
        <w:tc>
          <w:tcPr>
            <w:tcW w:type="dxa" w:w="1872"/>
            <w:tcMar>
              <w:top w:w="100" w:type="dxa"/>
              <w:start w:w="120" w:type="dxa"/>
              <w:bottom w:w="100" w:type="dxa"/>
              <w:end w:w="120" w:type="dxa"/>
            </w:tcMar>
            <w:vAlign w:val="center"/>
          </w:tcPr>
          <w:p>
            <w:r>
              <w:rPr>
                <w:sz w:val="16"/>
              </w:rPr>
              <w:t>AI authority creep</w:t>
            </w:r>
          </w:p>
        </w:tc>
        <w:tc>
          <w:tcPr>
            <w:tcW w:type="dxa" w:w="3312"/>
            <w:tcMar>
              <w:top w:w="100" w:type="dxa"/>
              <w:start w:w="120" w:type="dxa"/>
              <w:bottom w:w="100" w:type="dxa"/>
              <w:end w:w="120" w:type="dxa"/>
            </w:tcMar>
            <w:vAlign w:val="center"/>
          </w:tcPr>
          <w:p>
            <w:r>
              <w:rPr>
                <w:sz w:val="16"/>
              </w:rPr>
              <w:t>Users treat AI suggestion as verified fact.</w:t>
            </w:r>
          </w:p>
        </w:tc>
        <w:tc>
          <w:tcPr>
            <w:tcW w:type="dxa" w:w="4320"/>
            <w:tcMar>
              <w:top w:w="100" w:type="dxa"/>
              <w:start w:w="120" w:type="dxa"/>
              <w:bottom w:w="100" w:type="dxa"/>
              <w:end w:w="120" w:type="dxa"/>
            </w:tcMar>
            <w:vAlign w:val="center"/>
          </w:tcPr>
          <w:p>
            <w:r>
              <w:rPr>
                <w:sz w:val="16"/>
              </w:rPr>
              <w:t>Derived-state labels, verification gate, no autonomous merge/dissemination/adverse judgement.</w:t>
            </w:r>
          </w:p>
        </w:tc>
      </w:tr>
      <w:tr>
        <w:tc>
          <w:tcPr>
            <w:tcW w:type="dxa" w:w="936"/>
            <w:tcMar>
              <w:top w:w="100" w:type="dxa"/>
              <w:start w:w="120" w:type="dxa"/>
              <w:bottom w:w="100" w:type="dxa"/>
              <w:end w:w="120" w:type="dxa"/>
            </w:tcMar>
            <w:vAlign w:val="center"/>
          </w:tcPr>
          <w:p>
            <w:r>
              <w:rPr>
                <w:sz w:val="16"/>
              </w:rPr>
              <w:t>R-07</w:t>
            </w:r>
          </w:p>
        </w:tc>
        <w:tc>
          <w:tcPr>
            <w:tcW w:type="dxa" w:w="1872"/>
            <w:tcMar>
              <w:top w:w="100" w:type="dxa"/>
              <w:start w:w="120" w:type="dxa"/>
              <w:bottom w:w="100" w:type="dxa"/>
              <w:end w:w="120" w:type="dxa"/>
            </w:tcMar>
            <w:vAlign w:val="center"/>
          </w:tcPr>
          <w:p>
            <w:r>
              <w:rPr>
                <w:sz w:val="16"/>
              </w:rPr>
              <w:t>Tool duplication</w:t>
            </w:r>
          </w:p>
        </w:tc>
        <w:tc>
          <w:tcPr>
            <w:tcW w:type="dxa" w:w="3312"/>
            <w:tcMar>
              <w:top w:w="100" w:type="dxa"/>
              <w:start w:w="120" w:type="dxa"/>
              <w:bottom w:w="100" w:type="dxa"/>
              <w:end w:w="120" w:type="dxa"/>
            </w:tcMar>
            <w:vAlign w:val="center"/>
          </w:tcPr>
          <w:p>
            <w:r>
              <w:rPr>
                <w:sz w:val="16"/>
              </w:rPr>
              <w:t>Rebuild OCR, screening, crypto, or document search poorly.</w:t>
            </w:r>
          </w:p>
        </w:tc>
        <w:tc>
          <w:tcPr>
            <w:tcW w:type="dxa" w:w="4320"/>
            <w:tcMar>
              <w:top w:w="100" w:type="dxa"/>
              <w:start w:w="120" w:type="dxa"/>
              <w:bottom w:w="100" w:type="dxa"/>
              <w:end w:w="120" w:type="dxa"/>
            </w:tcMar>
            <w:vAlign w:val="center"/>
          </w:tcPr>
          <w:p>
            <w:r>
              <w:rPr>
                <w:sz w:val="16"/>
              </w:rPr>
              <w:t>Build-vs-integrate reviews and connectors to mature tools.</w:t>
            </w:r>
          </w:p>
        </w:tc>
      </w:tr>
      <w:tr>
        <w:tc>
          <w:tcPr>
            <w:tcW w:type="dxa" w:w="936"/>
            <w:tcMar>
              <w:top w:w="100" w:type="dxa"/>
              <w:start w:w="120" w:type="dxa"/>
              <w:bottom w:w="100" w:type="dxa"/>
              <w:end w:w="120" w:type="dxa"/>
            </w:tcMar>
            <w:vAlign w:val="center"/>
          </w:tcPr>
          <w:p>
            <w:r>
              <w:rPr>
                <w:sz w:val="16"/>
              </w:rPr>
              <w:t>R-08</w:t>
            </w:r>
          </w:p>
        </w:tc>
        <w:tc>
          <w:tcPr>
            <w:tcW w:type="dxa" w:w="1872"/>
            <w:tcMar>
              <w:top w:w="100" w:type="dxa"/>
              <w:start w:w="120" w:type="dxa"/>
              <w:bottom w:w="100" w:type="dxa"/>
              <w:end w:w="120" w:type="dxa"/>
            </w:tcMar>
            <w:vAlign w:val="center"/>
          </w:tcPr>
          <w:p>
            <w:r>
              <w:rPr>
                <w:sz w:val="16"/>
              </w:rPr>
              <w:t>Legal/jurisdiction variance</w:t>
            </w:r>
          </w:p>
        </w:tc>
        <w:tc>
          <w:tcPr>
            <w:tcW w:type="dxa" w:w="3312"/>
            <w:tcMar>
              <w:top w:w="100" w:type="dxa"/>
              <w:start w:w="120" w:type="dxa"/>
              <w:bottom w:w="100" w:type="dxa"/>
              <w:end w:w="120" w:type="dxa"/>
            </w:tcMar>
            <w:vAlign w:val="center"/>
          </w:tcPr>
          <w:p>
            <w:r>
              <w:rPr>
                <w:sz w:val="16"/>
              </w:rPr>
              <w:t>Lawful collection and publication differ by jurisdiction.</w:t>
            </w:r>
          </w:p>
        </w:tc>
        <w:tc>
          <w:tcPr>
            <w:tcW w:type="dxa" w:w="4320"/>
            <w:tcMar>
              <w:top w:w="100" w:type="dxa"/>
              <w:start w:w="120" w:type="dxa"/>
              <w:bottom w:w="100" w:type="dxa"/>
              <w:end w:w="120" w:type="dxa"/>
            </w:tcMar>
            <w:vAlign w:val="center"/>
          </w:tcPr>
          <w:p>
            <w:r>
              <w:rPr>
                <w:sz w:val="16"/>
              </w:rPr>
              <w:t>Configurable policy; legal review gate; do not hard-code one jurisdiction as universal law.</w:t>
            </w:r>
          </w:p>
        </w:tc>
      </w:tr>
    </w:tbl>
    <w:p>
      <w:pPr>
        <w:spacing w:after="20"/>
      </w:pPr>
    </w:p>
    <w:p>
      <w:pPr>
        <w:pStyle w:val="Heading1"/>
      </w:pPr>
      <w:r>
        <w:t>18. Delivery Plan</w:t>
      </w:r>
    </w:p>
    <w:p>
      <w:pPr>
        <w:pStyle w:val="Heading2"/>
      </w:pPr>
      <w:r>
        <w:t>18.1 Suggested releases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440"/>
            <w:shd w:fill="19304A"/>
            <w:tcMar>
              <w:top w:w="100" w:type="dxa"/>
              <w:start w:w="120" w:type="dxa"/>
              <w:bottom w:w="100" w:type="dxa"/>
              <w:end w:w="120" w:type="dxa"/>
            </w:tcMar>
            <w:vAlign w:val="center"/>
          </w:tcPr>
          <w:p>
            <w:r>
              <w:rPr>
                <w:b/>
                <w:color w:val="FFFFFF"/>
                <w:sz w:val="18"/>
              </w:rPr>
              <w:t>Release</w:t>
            </w:r>
          </w:p>
        </w:tc>
        <w:tc>
          <w:tcPr>
            <w:tcW w:type="dxa" w:w="3024"/>
            <w:shd w:fill="19304A"/>
            <w:tcMar>
              <w:top w:w="100" w:type="dxa"/>
              <w:start w:w="120" w:type="dxa"/>
              <w:bottom w:w="100" w:type="dxa"/>
              <w:end w:w="120" w:type="dxa"/>
            </w:tcMar>
            <w:vAlign w:val="center"/>
          </w:tcPr>
          <w:p>
            <w:r>
              <w:rPr>
                <w:b/>
                <w:color w:val="FFFFFF"/>
                <w:sz w:val="18"/>
              </w:rPr>
              <w:t>Outcome</w:t>
            </w:r>
          </w:p>
        </w:tc>
        <w:tc>
          <w:tcPr>
            <w:tcW w:type="dxa" w:w="5904"/>
            <w:shd w:fill="19304A"/>
            <w:tcMar>
              <w:top w:w="100" w:type="dxa"/>
              <w:start w:w="120" w:type="dxa"/>
              <w:bottom w:w="100" w:type="dxa"/>
              <w:end w:w="120" w:type="dxa"/>
            </w:tcMar>
            <w:vAlign w:val="center"/>
          </w:tcPr>
          <w:p>
            <w:r>
              <w:rPr>
                <w:b/>
                <w:color w:val="FFFFFF"/>
                <w:sz w:val="18"/>
              </w:rPr>
              <w:t>Scope</w:t>
            </w:r>
          </w:p>
        </w:tc>
      </w:tr>
      <w:tr>
        <w:tc>
          <w:tcPr>
            <w:tcW w:type="dxa" w:w="1440"/>
            <w:tcMar>
              <w:top w:w="100" w:type="dxa"/>
              <w:start w:w="120" w:type="dxa"/>
              <w:bottom w:w="100" w:type="dxa"/>
              <w:end w:w="120" w:type="dxa"/>
            </w:tcMar>
            <w:vAlign w:val="center"/>
          </w:tcPr>
          <w:p>
            <w:r>
              <w:rPr>
                <w:sz w:val="18"/>
              </w:rPr>
              <w:t>0.1 Alpha</w:t>
            </w:r>
          </w:p>
        </w:tc>
        <w:tc>
          <w:tcPr>
            <w:tcW w:type="dxa" w:w="3024"/>
            <w:tcMar>
              <w:top w:w="100" w:type="dxa"/>
              <w:start w:w="120" w:type="dxa"/>
              <w:bottom w:w="100" w:type="dxa"/>
              <w:end w:w="120" w:type="dxa"/>
            </w:tcMar>
            <w:vAlign w:val="center"/>
          </w:tcPr>
          <w:p>
            <w:r>
              <w:rPr>
                <w:sz w:val="18"/>
              </w:rPr>
              <w:t>Core analytical chain works</w:t>
            </w:r>
          </w:p>
        </w:tc>
        <w:tc>
          <w:tcPr>
            <w:tcW w:type="dxa" w:w="5904"/>
            <w:tcMar>
              <w:top w:w="100" w:type="dxa"/>
              <w:start w:w="120" w:type="dxa"/>
              <w:bottom w:w="100" w:type="dxa"/>
              <w:end w:w="120" w:type="dxa"/>
            </w:tcMar>
            <w:vAlign w:val="center"/>
          </w:tcPr>
          <w:p>
            <w:r>
              <w:rPr>
                <w:sz w:val="18"/>
              </w:rPr>
              <w:t>Case, evidence, entity/relationship, assets/events, value-flow, typology, hypothesis, assessment, basic graph/search, auth/audit.</w:t>
            </w:r>
          </w:p>
        </w:tc>
      </w:tr>
      <w:tr>
        <w:tc>
          <w:tcPr>
            <w:tcW w:type="dxa" w:w="1440"/>
            <w:tcMar>
              <w:top w:w="100" w:type="dxa"/>
              <w:start w:w="120" w:type="dxa"/>
              <w:bottom w:w="100" w:type="dxa"/>
              <w:end w:w="120" w:type="dxa"/>
            </w:tcMar>
            <w:vAlign w:val="center"/>
          </w:tcPr>
          <w:p>
            <w:r>
              <w:rPr>
                <w:sz w:val="18"/>
              </w:rPr>
              <w:t>0.1 Beta</w:t>
            </w:r>
          </w:p>
        </w:tc>
        <w:tc>
          <w:tcPr>
            <w:tcW w:type="dxa" w:w="3024"/>
            <w:tcMar>
              <w:top w:w="100" w:type="dxa"/>
              <w:start w:w="120" w:type="dxa"/>
              <w:bottom w:w="100" w:type="dxa"/>
              <w:end w:w="120" w:type="dxa"/>
            </w:tcMar>
            <w:vAlign w:val="center"/>
          </w:tcPr>
          <w:p>
            <w:r>
              <w:rPr>
                <w:sz w:val="18"/>
              </w:rPr>
              <w:t>Safe review and dissemination</w:t>
            </w:r>
          </w:p>
        </w:tc>
        <w:tc>
          <w:tcPr>
            <w:tcW w:type="dxa" w:w="5904"/>
            <w:tcMar>
              <w:top w:w="100" w:type="dxa"/>
              <w:start w:w="120" w:type="dxa"/>
              <w:bottom w:w="100" w:type="dxa"/>
              <w:end w:w="120" w:type="dxa"/>
            </w:tcMar>
            <w:vAlign w:val="center"/>
          </w:tcPr>
          <w:p>
            <w:r>
              <w:rPr>
                <w:sz w:val="18"/>
              </w:rPr>
              <w:t>Peer review, product generation, classification, secure export/referral, backup/restore, pilot security/privacy tests.</w:t>
            </w:r>
          </w:p>
        </w:tc>
      </w:tr>
      <w:tr>
        <w:tc>
          <w:tcPr>
            <w:tcW w:type="dxa" w:w="1440"/>
            <w:tcMar>
              <w:top w:w="100" w:type="dxa"/>
              <w:start w:w="120" w:type="dxa"/>
              <w:bottom w:w="100" w:type="dxa"/>
              <w:end w:w="120" w:type="dxa"/>
            </w:tcMar>
            <w:vAlign w:val="center"/>
          </w:tcPr>
          <w:p>
            <w:r>
              <w:rPr>
                <w:sz w:val="18"/>
              </w:rPr>
              <w:t>0.1 Production</w:t>
            </w:r>
          </w:p>
        </w:tc>
        <w:tc>
          <w:tcPr>
            <w:tcW w:type="dxa" w:w="3024"/>
            <w:tcMar>
              <w:top w:w="100" w:type="dxa"/>
              <w:start w:w="120" w:type="dxa"/>
              <w:bottom w:w="100" w:type="dxa"/>
              <w:end w:w="120" w:type="dxa"/>
            </w:tcMar>
            <w:vAlign w:val="center"/>
          </w:tcPr>
          <w:p>
            <w:r>
              <w:rPr>
                <w:sz w:val="18"/>
              </w:rPr>
              <w:t>Operational baseline</w:t>
            </w:r>
          </w:p>
        </w:tc>
        <w:tc>
          <w:tcPr>
            <w:tcW w:type="dxa" w:w="5904"/>
            <w:tcMar>
              <w:top w:w="100" w:type="dxa"/>
              <w:start w:w="120" w:type="dxa"/>
              <w:bottom w:w="100" w:type="dxa"/>
              <w:end w:w="120" w:type="dxa"/>
            </w:tcMar>
            <w:vAlign w:val="center"/>
          </w:tcPr>
          <w:p>
            <w:r>
              <w:rPr>
                <w:sz w:val="18"/>
              </w:rPr>
              <w:t>Pilot feedback resolved, conformance evidence, operational documentation, monitoring, incident/restore procedures.</w:t>
            </w:r>
          </w:p>
        </w:tc>
      </w:tr>
      <w:tr>
        <w:tc>
          <w:tcPr>
            <w:tcW w:type="dxa" w:w="1440"/>
            <w:tcMar>
              <w:top w:w="100" w:type="dxa"/>
              <w:start w:w="120" w:type="dxa"/>
              <w:bottom w:w="100" w:type="dxa"/>
              <w:end w:w="120" w:type="dxa"/>
            </w:tcMar>
            <w:vAlign w:val="center"/>
          </w:tcPr>
          <w:p>
            <w:r>
              <w:rPr>
                <w:sz w:val="18"/>
              </w:rPr>
              <w:t>0.2</w:t>
            </w:r>
          </w:p>
        </w:tc>
        <w:tc>
          <w:tcPr>
            <w:tcW w:type="dxa" w:w="3024"/>
            <w:tcMar>
              <w:top w:w="100" w:type="dxa"/>
              <w:start w:w="120" w:type="dxa"/>
              <w:bottom w:w="100" w:type="dxa"/>
              <w:end w:w="120" w:type="dxa"/>
            </w:tcMar>
            <w:vAlign w:val="center"/>
          </w:tcPr>
          <w:p>
            <w:r>
              <w:rPr>
                <w:sz w:val="18"/>
              </w:rPr>
              <w:t>Investigation acceleration</w:t>
            </w:r>
          </w:p>
        </w:tc>
        <w:tc>
          <w:tcPr>
            <w:tcW w:type="dxa" w:w="5904"/>
            <w:tcMar>
              <w:top w:w="100" w:type="dxa"/>
              <w:start w:w="120" w:type="dxa"/>
              <w:bottom w:w="100" w:type="dxa"/>
              <w:end w:w="120" w:type="dxa"/>
            </w:tcMar>
            <w:vAlign w:val="center"/>
          </w:tcPr>
          <w:p>
            <w:r>
              <w:rPr>
                <w:sz w:val="18"/>
              </w:rPr>
              <w:t>Document processing, enrichment, BO chains, path finding, saved searches, first connectors, AI assist.</w:t>
            </w:r>
          </w:p>
        </w:tc>
      </w:tr>
      <w:tr>
        <w:tc>
          <w:tcPr>
            <w:tcW w:type="dxa" w:w="1440"/>
            <w:tcMar>
              <w:top w:w="100" w:type="dxa"/>
              <w:start w:w="120" w:type="dxa"/>
              <w:bottom w:w="100" w:type="dxa"/>
              <w:end w:w="120" w:type="dxa"/>
            </w:tcMar>
            <w:vAlign w:val="center"/>
          </w:tcPr>
          <w:p>
            <w:r>
              <w:rPr>
                <w:sz w:val="18"/>
              </w:rPr>
              <w:t>0.3</w:t>
            </w:r>
          </w:p>
        </w:tc>
        <w:tc>
          <w:tcPr>
            <w:tcW w:type="dxa" w:w="3024"/>
            <w:tcMar>
              <w:top w:w="100" w:type="dxa"/>
              <w:start w:w="120" w:type="dxa"/>
              <w:bottom w:w="100" w:type="dxa"/>
              <w:end w:w="120" w:type="dxa"/>
            </w:tcMar>
            <w:vAlign w:val="center"/>
          </w:tcPr>
          <w:p>
            <w:r>
              <w:rPr>
                <w:sz w:val="18"/>
              </w:rPr>
              <w:t>Network intelligence</w:t>
            </w:r>
          </w:p>
        </w:tc>
        <w:tc>
          <w:tcPr>
            <w:tcW w:type="dxa" w:w="5904"/>
            <w:tcMar>
              <w:top w:w="100" w:type="dxa"/>
              <w:start w:w="120" w:type="dxa"/>
              <w:bottom w:w="100" w:type="dxa"/>
              <w:end w:w="120" w:type="dxa"/>
            </w:tcMar>
            <w:vAlign w:val="center"/>
          </w:tcPr>
          <w:p>
            <w:r>
              <w:rPr>
                <w:sz w:val="18"/>
              </w:rPr>
              <w:t>Cross-case analytics, advanced graph metrics, federation/partner workflows, crypto connector, controlled advanced AI.</w:t>
            </w:r>
          </w:p>
        </w:tc>
      </w:tr>
    </w:tbl>
    <w:p>
      <w:pPr>
        <w:spacing w:after="20"/>
      </w:pPr>
    </w:p>
    <w:p>
      <w:pPr>
        <w:pStyle w:val="Heading2"/>
      </w:pPr>
      <w:r>
        <w:t>18.2 Suggested engineering epics</w:t>
      </w:r>
    </w:p>
    <w:p>
      <w:pPr>
        <w:pStyle w:val="ListBullet"/>
      </w:pPr>
      <w:r>
        <w:t>E1 Platform foundation &amp; IAM</w:t>
      </w:r>
    </w:p>
    <w:p>
      <w:pPr>
        <w:pStyle w:val="ListBullet"/>
      </w:pPr>
      <w:r>
        <w:t>E2 Canonical data model &amp; API</w:t>
      </w:r>
    </w:p>
    <w:p>
      <w:pPr>
        <w:pStyle w:val="ListBullet"/>
      </w:pPr>
      <w:r>
        <w:t>E3 Case/workflow &amp; gates</w:t>
      </w:r>
    </w:p>
    <w:p>
      <w:pPr>
        <w:pStyle w:val="ListBullet"/>
      </w:pPr>
      <w:r>
        <w:t>E4 Evidence/provenance storage</w:t>
      </w:r>
    </w:p>
    <w:p>
      <w:pPr>
        <w:pStyle w:val="ListBullet"/>
      </w:pPr>
      <w:r>
        <w:t>E5 Entity resolution &amp; relationships</w:t>
      </w:r>
    </w:p>
    <w:p>
      <w:pPr>
        <w:pStyle w:val="ListBullet"/>
      </w:pPr>
      <w:r>
        <w:t>E6 Assets/events/timeline</w:t>
      </w:r>
    </w:p>
    <w:p>
      <w:pPr>
        <w:pStyle w:val="ListBullet"/>
      </w:pPr>
      <w:r>
        <w:t>E7 Value-flow engine</w:t>
      </w:r>
    </w:p>
    <w:p>
      <w:pPr>
        <w:pStyle w:val="ListBullet"/>
      </w:pPr>
      <w:r>
        <w:t>E8 Typology/hypothesis/assessment</w:t>
      </w:r>
    </w:p>
    <w:p>
      <w:pPr>
        <w:pStyle w:val="ListBullet"/>
      </w:pPr>
      <w:r>
        <w:t>E9 Search &amp; graph projection</w:t>
      </w:r>
    </w:p>
    <w:p>
      <w:pPr>
        <w:pStyle w:val="ListBullet"/>
      </w:pPr>
      <w:r>
        <w:t>E10 Review/product/dissemination</w:t>
      </w:r>
    </w:p>
    <w:p>
      <w:pPr>
        <w:pStyle w:val="ListBullet"/>
      </w:pPr>
      <w:r>
        <w:t>E11 Audit/security/privacy controls</w:t>
      </w:r>
    </w:p>
    <w:p>
      <w:pPr>
        <w:pStyle w:val="ListBullet"/>
      </w:pPr>
      <w:r>
        <w:t>E12 Backup/restore/ops &amp; pilot readiness</w:t>
      </w:r>
    </w:p>
    <w:p>
      <w:pPr>
        <w:pStyle w:val="Heading1"/>
      </w:pPr>
      <w:r>
        <w:t>19. Dependencies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592"/>
            <w:shd w:fill="19304A"/>
            <w:tcMar>
              <w:top w:w="100" w:type="dxa"/>
              <w:start w:w="120" w:type="dxa"/>
              <w:bottom w:w="100" w:type="dxa"/>
              <w:end w:w="120" w:type="dxa"/>
            </w:tcMar>
            <w:vAlign w:val="center"/>
          </w:tcPr>
          <w:p>
            <w:r>
              <w:rPr>
                <w:b/>
                <w:color w:val="FFFFFF"/>
                <w:sz w:val="18"/>
              </w:rPr>
              <w:t>Dependency</w:t>
            </w:r>
          </w:p>
        </w:tc>
        <w:tc>
          <w:tcPr>
            <w:tcW w:type="dxa" w:w="5040"/>
            <w:shd w:fill="19304A"/>
            <w:tcMar>
              <w:top w:w="100" w:type="dxa"/>
              <w:start w:w="120" w:type="dxa"/>
              <w:bottom w:w="100" w:type="dxa"/>
              <w:end w:w="120" w:type="dxa"/>
            </w:tcMar>
            <w:vAlign w:val="center"/>
          </w:tcPr>
          <w:p>
            <w:r>
              <w:rPr>
                <w:b/>
                <w:color w:val="FFFFFF"/>
                <w:sz w:val="18"/>
              </w:rPr>
              <w:t>Why it matters</w:t>
            </w:r>
          </w:p>
        </w:tc>
        <w:tc>
          <w:tcPr>
            <w:tcW w:type="dxa" w:w="2736"/>
            <w:shd w:fill="19304A"/>
            <w:tcMar>
              <w:top w:w="100" w:type="dxa"/>
              <w:start w:w="120" w:type="dxa"/>
              <w:bottom w:w="100" w:type="dxa"/>
              <w:end w:w="120" w:type="dxa"/>
            </w:tcMar>
            <w:vAlign w:val="center"/>
          </w:tcPr>
          <w:p>
            <w:r>
              <w:rPr>
                <w:b/>
                <w:color w:val="FFFFFF"/>
                <w:sz w:val="18"/>
              </w:rPr>
              <w:t>Owner / decision</w:t>
            </w:r>
          </w:p>
        </w:tc>
      </w:tr>
      <w:tr>
        <w:tc>
          <w:tcPr>
            <w:tcW w:type="dxa" w:w="2592"/>
            <w:tcMar>
              <w:top w:w="100" w:type="dxa"/>
              <w:start w:w="120" w:type="dxa"/>
              <w:bottom w:w="100" w:type="dxa"/>
              <w:end w:w="120" w:type="dxa"/>
            </w:tcMar>
            <w:vAlign w:val="center"/>
          </w:tcPr>
          <w:p>
            <w:r>
              <w:rPr>
                <w:sz w:val="18"/>
              </w:rPr>
              <w:t>Canonical Data Model v0.1</w:t>
            </w:r>
          </w:p>
        </w:tc>
        <w:tc>
          <w:tcPr>
            <w:tcW w:type="dxa" w:w="5040"/>
            <w:tcMar>
              <w:top w:w="100" w:type="dxa"/>
              <w:start w:w="120" w:type="dxa"/>
              <w:bottom w:w="100" w:type="dxa"/>
              <w:end w:w="120" w:type="dxa"/>
            </w:tcMar>
            <w:vAlign w:val="center"/>
          </w:tcPr>
          <w:p>
            <w:r>
              <w:rPr>
                <w:sz w:val="18"/>
              </w:rPr>
              <w:t>Objects, statuses, IDs, lineage and validation drive API/database.</w:t>
            </w:r>
          </w:p>
        </w:tc>
        <w:tc>
          <w:tcPr>
            <w:tcW w:type="dxa" w:w="2736"/>
            <w:tcMar>
              <w:top w:w="100" w:type="dxa"/>
              <w:start w:w="120" w:type="dxa"/>
              <w:bottom w:w="100" w:type="dxa"/>
              <w:end w:w="120" w:type="dxa"/>
            </w:tcMar>
            <w:vAlign w:val="center"/>
          </w:tcPr>
          <w:p>
            <w:r>
              <w:rPr>
                <w:sz w:val="18"/>
              </w:rPr>
              <w:t>Architecture/Data</w:t>
            </w:r>
          </w:p>
        </w:tc>
      </w:tr>
      <w:tr>
        <w:tc>
          <w:tcPr>
            <w:tcW w:type="dxa" w:w="2592"/>
            <w:tcMar>
              <w:top w:w="100" w:type="dxa"/>
              <w:start w:w="120" w:type="dxa"/>
              <w:bottom w:w="100" w:type="dxa"/>
              <w:end w:w="120" w:type="dxa"/>
            </w:tcMar>
            <w:vAlign w:val="center"/>
          </w:tcPr>
          <w:p>
            <w:r>
              <w:rPr>
                <w:sz w:val="18"/>
              </w:rPr>
              <w:t>Investigation Methodology v0.1</w:t>
            </w:r>
          </w:p>
        </w:tc>
        <w:tc>
          <w:tcPr>
            <w:tcW w:type="dxa" w:w="5040"/>
            <w:tcMar>
              <w:top w:w="100" w:type="dxa"/>
              <w:start w:w="120" w:type="dxa"/>
              <w:bottom w:w="100" w:type="dxa"/>
              <w:end w:w="120" w:type="dxa"/>
            </w:tcMar>
            <w:vAlign w:val="center"/>
          </w:tcPr>
          <w:p>
            <w:r>
              <w:rPr>
                <w:sz w:val="18"/>
              </w:rPr>
              <w:t>Defines lifecycle and gates.</w:t>
            </w:r>
          </w:p>
        </w:tc>
        <w:tc>
          <w:tcPr>
            <w:tcW w:type="dxa" w:w="2736"/>
            <w:tcMar>
              <w:top w:w="100" w:type="dxa"/>
              <w:start w:w="120" w:type="dxa"/>
              <w:bottom w:w="100" w:type="dxa"/>
              <w:end w:w="120" w:type="dxa"/>
            </w:tcMar>
            <w:vAlign w:val="center"/>
          </w:tcPr>
          <w:p>
            <w:r>
              <w:rPr>
                <w:sz w:val="18"/>
              </w:rPr>
              <w:t>Investigation/Product</w:t>
            </w:r>
          </w:p>
        </w:tc>
      </w:tr>
      <w:tr>
        <w:tc>
          <w:tcPr>
            <w:tcW w:type="dxa" w:w="2592"/>
            <w:tcMar>
              <w:top w:w="100" w:type="dxa"/>
              <w:start w:w="120" w:type="dxa"/>
              <w:bottom w:w="100" w:type="dxa"/>
              <w:end w:w="120" w:type="dxa"/>
            </w:tcMar>
            <w:vAlign w:val="center"/>
          </w:tcPr>
          <w:p>
            <w:r>
              <w:rPr>
                <w:sz w:val="18"/>
              </w:rPr>
              <w:t>Control Implementation Guide v0.1</w:t>
            </w:r>
          </w:p>
        </w:tc>
        <w:tc>
          <w:tcPr>
            <w:tcW w:type="dxa" w:w="5040"/>
            <w:tcMar>
              <w:top w:w="100" w:type="dxa"/>
              <w:start w:w="120" w:type="dxa"/>
              <w:bottom w:w="100" w:type="dxa"/>
              <w:end w:w="120" w:type="dxa"/>
            </w:tcMar>
            <w:vAlign w:val="center"/>
          </w:tcPr>
          <w:p>
            <w:r>
              <w:rPr>
                <w:sz w:val="18"/>
              </w:rPr>
              <w:t>Defines security, privacy, review and audit controls.</w:t>
            </w:r>
          </w:p>
        </w:tc>
        <w:tc>
          <w:tcPr>
            <w:tcW w:type="dxa" w:w="2736"/>
            <w:tcMar>
              <w:top w:w="100" w:type="dxa"/>
              <w:start w:w="120" w:type="dxa"/>
              <w:bottom w:w="100" w:type="dxa"/>
              <w:end w:w="120" w:type="dxa"/>
            </w:tcMar>
            <w:vAlign w:val="center"/>
          </w:tcPr>
          <w:p>
            <w:r>
              <w:rPr>
                <w:sz w:val="18"/>
              </w:rPr>
              <w:t>Governance/Security</w:t>
            </w:r>
          </w:p>
        </w:tc>
      </w:tr>
      <w:tr>
        <w:tc>
          <w:tcPr>
            <w:tcW w:type="dxa" w:w="2592"/>
            <w:tcMar>
              <w:top w:w="100" w:type="dxa"/>
              <w:start w:w="120" w:type="dxa"/>
              <w:bottom w:w="100" w:type="dxa"/>
              <w:end w:w="120" w:type="dxa"/>
            </w:tcMar>
            <w:vAlign w:val="center"/>
          </w:tcPr>
          <w:p>
            <w:r>
              <w:rPr>
                <w:sz w:val="18"/>
              </w:rPr>
              <w:t>Typology Catalogue v0.1</w:t>
            </w:r>
          </w:p>
        </w:tc>
        <w:tc>
          <w:tcPr>
            <w:tcW w:type="dxa" w:w="5040"/>
            <w:tcMar>
              <w:top w:w="100" w:type="dxa"/>
              <w:start w:w="120" w:type="dxa"/>
              <w:bottom w:w="100" w:type="dxa"/>
              <w:end w:w="120" w:type="dxa"/>
            </w:tcMar>
            <w:vAlign w:val="center"/>
          </w:tcPr>
          <w:p>
            <w:r>
              <w:rPr>
                <w:sz w:val="18"/>
              </w:rPr>
              <w:t>Provides versioned typology content and indicators.</w:t>
            </w:r>
          </w:p>
        </w:tc>
        <w:tc>
          <w:tcPr>
            <w:tcW w:type="dxa" w:w="2736"/>
            <w:tcMar>
              <w:top w:w="100" w:type="dxa"/>
              <w:start w:w="120" w:type="dxa"/>
              <w:bottom w:w="100" w:type="dxa"/>
              <w:end w:w="120" w:type="dxa"/>
            </w:tcMar>
            <w:vAlign w:val="center"/>
          </w:tcPr>
          <w:p>
            <w:r>
              <w:rPr>
                <w:sz w:val="18"/>
              </w:rPr>
              <w:t>Methodology/AML</w:t>
            </w:r>
          </w:p>
        </w:tc>
      </w:tr>
      <w:tr>
        <w:tc>
          <w:tcPr>
            <w:tcW w:type="dxa" w:w="2592"/>
            <w:tcMar>
              <w:top w:w="100" w:type="dxa"/>
              <w:start w:w="120" w:type="dxa"/>
              <w:bottom w:w="100" w:type="dxa"/>
              <w:end w:w="120" w:type="dxa"/>
            </w:tcMar>
            <w:vAlign w:val="center"/>
          </w:tcPr>
          <w:p>
            <w:r>
              <w:rPr>
                <w:sz w:val="18"/>
              </w:rPr>
              <w:t>Technology Architecture v0.1</w:t>
            </w:r>
          </w:p>
        </w:tc>
        <w:tc>
          <w:tcPr>
            <w:tcW w:type="dxa" w:w="5040"/>
            <w:tcMar>
              <w:top w:w="100" w:type="dxa"/>
              <w:start w:w="120" w:type="dxa"/>
              <w:bottom w:w="100" w:type="dxa"/>
              <w:end w:w="120" w:type="dxa"/>
            </w:tcMar>
            <w:vAlign w:val="center"/>
          </w:tcPr>
          <w:p>
            <w:r>
              <w:rPr>
                <w:sz w:val="18"/>
              </w:rPr>
              <w:t>Constrains canonical vs derived stores, security, deployment and AI.</w:t>
            </w:r>
          </w:p>
        </w:tc>
        <w:tc>
          <w:tcPr>
            <w:tcW w:type="dxa" w:w="2736"/>
            <w:tcMar>
              <w:top w:w="100" w:type="dxa"/>
              <w:start w:w="120" w:type="dxa"/>
              <w:bottom w:w="100" w:type="dxa"/>
              <w:end w:w="120" w:type="dxa"/>
            </w:tcMar>
            <w:vAlign w:val="center"/>
          </w:tcPr>
          <w:p>
            <w:r>
              <w:rPr>
                <w:sz w:val="18"/>
              </w:rPr>
              <w:t>Architecture</w:t>
            </w:r>
          </w:p>
        </w:tc>
      </w:tr>
      <w:tr>
        <w:tc>
          <w:tcPr>
            <w:tcW w:type="dxa" w:w="2592"/>
            <w:tcMar>
              <w:top w:w="100" w:type="dxa"/>
              <w:start w:w="120" w:type="dxa"/>
              <w:bottom w:w="100" w:type="dxa"/>
              <w:end w:w="120" w:type="dxa"/>
            </w:tcMar>
            <w:vAlign w:val="center"/>
          </w:tcPr>
          <w:p>
            <w:r>
              <w:rPr>
                <w:sz w:val="18"/>
              </w:rPr>
              <w:t>Legal/privacy policy</w:t>
            </w:r>
          </w:p>
        </w:tc>
        <w:tc>
          <w:tcPr>
            <w:tcW w:type="dxa" w:w="5040"/>
            <w:tcMar>
              <w:top w:w="100" w:type="dxa"/>
              <w:start w:w="120" w:type="dxa"/>
              <w:bottom w:w="100" w:type="dxa"/>
              <w:end w:w="120" w:type="dxa"/>
            </w:tcMar>
            <w:vAlign w:val="center"/>
          </w:tcPr>
          <w:p>
            <w:r>
              <w:rPr>
                <w:sz w:val="18"/>
              </w:rPr>
              <w:t>Defines jurisdiction-specific lawful collection, retention, publication and sharing.</w:t>
            </w:r>
          </w:p>
        </w:tc>
        <w:tc>
          <w:tcPr>
            <w:tcW w:type="dxa" w:w="2736"/>
            <w:tcMar>
              <w:top w:w="100" w:type="dxa"/>
              <w:start w:w="120" w:type="dxa"/>
              <w:bottom w:w="100" w:type="dxa"/>
              <w:end w:w="120" w:type="dxa"/>
            </w:tcMar>
            <w:vAlign w:val="center"/>
          </w:tcPr>
          <w:p>
            <w:r>
              <w:rPr>
                <w:sz w:val="18"/>
              </w:rPr>
              <w:t>Governance/Legal</w:t>
            </w:r>
          </w:p>
        </w:tc>
      </w:tr>
      <w:tr>
        <w:tc>
          <w:tcPr>
            <w:tcW w:type="dxa" w:w="2592"/>
            <w:tcMar>
              <w:top w:w="100" w:type="dxa"/>
              <w:start w:w="120" w:type="dxa"/>
              <w:bottom w:w="100" w:type="dxa"/>
              <w:end w:w="120" w:type="dxa"/>
            </w:tcMar>
            <w:vAlign w:val="center"/>
          </w:tcPr>
          <w:p>
            <w:r>
              <w:rPr>
                <w:sz w:val="18"/>
              </w:rPr>
              <w:t>Pilot cases/users</w:t>
            </w:r>
          </w:p>
        </w:tc>
        <w:tc>
          <w:tcPr>
            <w:tcW w:type="dxa" w:w="5040"/>
            <w:tcMar>
              <w:top w:w="100" w:type="dxa"/>
              <w:start w:w="120" w:type="dxa"/>
              <w:bottom w:w="100" w:type="dxa"/>
              <w:end w:w="120" w:type="dxa"/>
            </w:tcMar>
            <w:vAlign w:val="center"/>
          </w:tcPr>
          <w:p>
            <w:r>
              <w:rPr>
                <w:sz w:val="18"/>
              </w:rPr>
              <w:t>Needed for usability, conformance and outcome testing.</w:t>
            </w:r>
          </w:p>
        </w:tc>
        <w:tc>
          <w:tcPr>
            <w:tcW w:type="dxa" w:w="2736"/>
            <w:tcMar>
              <w:top w:w="100" w:type="dxa"/>
              <w:start w:w="120" w:type="dxa"/>
              <w:bottom w:w="100" w:type="dxa"/>
              <w:end w:w="120" w:type="dxa"/>
            </w:tcMar>
            <w:vAlign w:val="center"/>
          </w:tcPr>
          <w:p>
            <w:r>
              <w:rPr>
                <w:sz w:val="18"/>
              </w:rPr>
              <w:t>Product/Investigation</w:t>
            </w:r>
          </w:p>
        </w:tc>
      </w:tr>
    </w:tbl>
    <w:p>
      <w:pPr>
        <w:spacing w:after="20"/>
      </w:pPr>
    </w:p>
    <w:p>
      <w:pPr>
        <w:pStyle w:val="Heading1"/>
      </w:pPr>
      <w:r>
        <w:t>20. Open Product Decisions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008"/>
            <w:shd w:fill="19304A"/>
            <w:tcMar>
              <w:top w:w="100" w:type="dxa"/>
              <w:start w:w="120" w:type="dxa"/>
              <w:bottom w:w="100" w:type="dxa"/>
              <w:end w:w="120" w:type="dxa"/>
            </w:tcMar>
            <w:vAlign w:val="center"/>
          </w:tcPr>
          <w:p>
            <w:r>
              <w:rPr>
                <w:b/>
                <w:color w:val="FFFFFF"/>
                <w:sz w:val="18"/>
              </w:rPr>
              <w:t>ID</w:t>
            </w:r>
          </w:p>
        </w:tc>
        <w:tc>
          <w:tcPr>
            <w:tcW w:type="dxa" w:w="3600"/>
            <w:shd w:fill="19304A"/>
            <w:tcMar>
              <w:top w:w="100" w:type="dxa"/>
              <w:start w:w="120" w:type="dxa"/>
              <w:bottom w:w="100" w:type="dxa"/>
              <w:end w:w="120" w:type="dxa"/>
            </w:tcMar>
            <w:vAlign w:val="center"/>
          </w:tcPr>
          <w:p>
            <w:r>
              <w:rPr>
                <w:b/>
                <w:color w:val="FFFFFF"/>
                <w:sz w:val="18"/>
              </w:rPr>
              <w:t>Decision</w:t>
            </w:r>
          </w:p>
        </w:tc>
        <w:tc>
          <w:tcPr>
            <w:tcW w:type="dxa" w:w="5760"/>
            <w:shd w:fill="19304A"/>
            <w:tcMar>
              <w:top w:w="100" w:type="dxa"/>
              <w:start w:w="120" w:type="dxa"/>
              <w:bottom w:w="100" w:type="dxa"/>
              <w:end w:w="120" w:type="dxa"/>
            </w:tcMar>
            <w:vAlign w:val="center"/>
          </w:tcPr>
          <w:p>
            <w:r>
              <w:rPr>
                <w:b/>
                <w:color w:val="FFFFFF"/>
                <w:sz w:val="18"/>
              </w:rPr>
              <w:t>Recommended baseline</w:t>
            </w:r>
          </w:p>
        </w:tc>
      </w:tr>
      <w:tr>
        <w:tc>
          <w:tcPr>
            <w:tcW w:type="dxa" w:w="1008"/>
            <w:tcMar>
              <w:top w:w="100" w:type="dxa"/>
              <w:start w:w="120" w:type="dxa"/>
              <w:bottom w:w="100" w:type="dxa"/>
              <w:end w:w="120" w:type="dxa"/>
            </w:tcMar>
            <w:vAlign w:val="center"/>
          </w:tcPr>
          <w:p>
            <w:r>
              <w:rPr>
                <w:sz w:val="18"/>
              </w:rPr>
              <w:t>D-01</w:t>
            </w:r>
          </w:p>
        </w:tc>
        <w:tc>
          <w:tcPr>
            <w:tcW w:type="dxa" w:w="3600"/>
            <w:tcMar>
              <w:top w:w="100" w:type="dxa"/>
              <w:start w:w="120" w:type="dxa"/>
              <w:bottom w:w="100" w:type="dxa"/>
              <w:end w:w="120" w:type="dxa"/>
            </w:tcMar>
            <w:vAlign w:val="center"/>
          </w:tcPr>
          <w:p>
            <w:r>
              <w:rPr>
                <w:sz w:val="18"/>
              </w:rPr>
              <w:t>Single-organisation first or multi-tenant from day one?</w:t>
            </w:r>
          </w:p>
        </w:tc>
        <w:tc>
          <w:tcPr>
            <w:tcW w:type="dxa" w:w="5760"/>
            <w:tcMar>
              <w:top w:w="100" w:type="dxa"/>
              <w:start w:w="120" w:type="dxa"/>
              <w:bottom w:w="100" w:type="dxa"/>
              <w:end w:w="120" w:type="dxa"/>
            </w:tcMar>
            <w:vAlign w:val="center"/>
          </w:tcPr>
          <w:p>
            <w:r>
              <w:rPr>
                <w:sz w:val="18"/>
              </w:rPr>
              <w:t>Recommend single-organisation logical deployment for MVP; design IDs/access boundaries to permit later tenancy.</w:t>
            </w:r>
          </w:p>
        </w:tc>
      </w:tr>
      <w:tr>
        <w:tc>
          <w:tcPr>
            <w:tcW w:type="dxa" w:w="1008"/>
            <w:tcMar>
              <w:top w:w="100" w:type="dxa"/>
              <w:start w:w="120" w:type="dxa"/>
              <w:bottom w:w="100" w:type="dxa"/>
              <w:end w:w="120" w:type="dxa"/>
            </w:tcMar>
            <w:vAlign w:val="center"/>
          </w:tcPr>
          <w:p>
            <w:r>
              <w:rPr>
                <w:sz w:val="18"/>
              </w:rPr>
              <w:t>D-02</w:t>
            </w:r>
          </w:p>
        </w:tc>
        <w:tc>
          <w:tcPr>
            <w:tcW w:type="dxa" w:w="3600"/>
            <w:tcMar>
              <w:top w:w="100" w:type="dxa"/>
              <w:start w:w="120" w:type="dxa"/>
              <w:bottom w:w="100" w:type="dxa"/>
              <w:end w:w="120" w:type="dxa"/>
            </w:tcMar>
            <w:vAlign w:val="center"/>
          </w:tcPr>
          <w:p>
            <w:r>
              <w:rPr>
                <w:sz w:val="18"/>
              </w:rPr>
              <w:t>Native document processing vs OpenAleph-first?</w:t>
            </w:r>
          </w:p>
        </w:tc>
        <w:tc>
          <w:tcPr>
            <w:tcW w:type="dxa" w:w="5760"/>
            <w:tcMar>
              <w:top w:w="100" w:type="dxa"/>
              <w:start w:w="120" w:type="dxa"/>
              <w:bottom w:w="100" w:type="dxa"/>
              <w:end w:w="120" w:type="dxa"/>
            </w:tcMar>
            <w:vAlign w:val="center"/>
          </w:tcPr>
          <w:p>
            <w:r>
              <w:rPr>
                <w:sz w:val="18"/>
              </w:rPr>
              <w:t>Recommend minimal native upload/text metadata in MVP; evaluate OpenAleph connector for Phase 2.</w:t>
            </w:r>
          </w:p>
        </w:tc>
      </w:tr>
      <w:tr>
        <w:tc>
          <w:tcPr>
            <w:tcW w:type="dxa" w:w="1008"/>
            <w:tcMar>
              <w:top w:w="100" w:type="dxa"/>
              <w:start w:w="120" w:type="dxa"/>
              <w:bottom w:w="100" w:type="dxa"/>
              <w:end w:w="120" w:type="dxa"/>
            </w:tcMar>
            <w:vAlign w:val="center"/>
          </w:tcPr>
          <w:p>
            <w:r>
              <w:rPr>
                <w:sz w:val="18"/>
              </w:rPr>
              <w:t>D-03</w:t>
            </w:r>
          </w:p>
        </w:tc>
        <w:tc>
          <w:tcPr>
            <w:tcW w:type="dxa" w:w="3600"/>
            <w:tcMar>
              <w:top w:w="100" w:type="dxa"/>
              <w:start w:w="120" w:type="dxa"/>
              <w:bottom w:w="100" w:type="dxa"/>
              <w:end w:w="120" w:type="dxa"/>
            </w:tcMar>
            <w:vAlign w:val="center"/>
          </w:tcPr>
          <w:p>
            <w:r>
              <w:rPr>
                <w:sz w:val="18"/>
              </w:rPr>
              <w:t>Graph store at MVP?</w:t>
            </w:r>
          </w:p>
        </w:tc>
        <w:tc>
          <w:tcPr>
            <w:tcW w:type="dxa" w:w="5760"/>
            <w:tcMar>
              <w:top w:w="100" w:type="dxa"/>
              <w:start w:w="120" w:type="dxa"/>
              <w:bottom w:w="100" w:type="dxa"/>
              <w:end w:w="120" w:type="dxa"/>
            </w:tcMar>
            <w:vAlign w:val="center"/>
          </w:tcPr>
          <w:p>
            <w:r>
              <w:rPr>
                <w:sz w:val="18"/>
              </w:rPr>
              <w:t>Recommend relational canonical relationships and lightweight projection first; dedicated graph DB only when path/network workloads justify it.</w:t>
            </w:r>
          </w:p>
        </w:tc>
      </w:tr>
      <w:tr>
        <w:tc>
          <w:tcPr>
            <w:tcW w:type="dxa" w:w="1008"/>
            <w:tcMar>
              <w:top w:w="100" w:type="dxa"/>
              <w:start w:w="120" w:type="dxa"/>
              <w:bottom w:w="100" w:type="dxa"/>
              <w:end w:w="120" w:type="dxa"/>
            </w:tcMar>
            <w:vAlign w:val="center"/>
          </w:tcPr>
          <w:p>
            <w:r>
              <w:rPr>
                <w:sz w:val="18"/>
              </w:rPr>
              <w:t>D-04</w:t>
            </w:r>
          </w:p>
        </w:tc>
        <w:tc>
          <w:tcPr>
            <w:tcW w:type="dxa" w:w="3600"/>
            <w:tcMar>
              <w:top w:w="100" w:type="dxa"/>
              <w:start w:w="120" w:type="dxa"/>
              <w:bottom w:w="100" w:type="dxa"/>
              <w:end w:w="120" w:type="dxa"/>
            </w:tcMar>
            <w:vAlign w:val="center"/>
          </w:tcPr>
          <w:p>
            <w:r>
              <w:rPr>
                <w:sz w:val="18"/>
              </w:rPr>
              <w:t>How strict are lifecycle gates?</w:t>
            </w:r>
          </w:p>
        </w:tc>
        <w:tc>
          <w:tcPr>
            <w:tcW w:type="dxa" w:w="5760"/>
            <w:tcMar>
              <w:top w:w="100" w:type="dxa"/>
              <w:start w:w="120" w:type="dxa"/>
              <w:bottom w:w="100" w:type="dxa"/>
              <w:end w:w="120" w:type="dxa"/>
            </w:tcMar>
            <w:vAlign w:val="center"/>
          </w:tcPr>
          <w:p>
            <w:r>
              <w:rPr>
                <w:sz w:val="18"/>
              </w:rPr>
              <w:t>Make gate enforcement configurable by risk profile; never make high-impact dissemination optional.</w:t>
            </w:r>
          </w:p>
        </w:tc>
      </w:tr>
      <w:tr>
        <w:tc>
          <w:tcPr>
            <w:tcW w:type="dxa" w:w="1008"/>
            <w:tcMar>
              <w:top w:w="100" w:type="dxa"/>
              <w:start w:w="120" w:type="dxa"/>
              <w:bottom w:w="100" w:type="dxa"/>
              <w:end w:w="120" w:type="dxa"/>
            </w:tcMar>
            <w:vAlign w:val="center"/>
          </w:tcPr>
          <w:p>
            <w:r>
              <w:rPr>
                <w:sz w:val="18"/>
              </w:rPr>
              <w:t>D-05</w:t>
            </w:r>
          </w:p>
        </w:tc>
        <w:tc>
          <w:tcPr>
            <w:tcW w:type="dxa" w:w="3600"/>
            <w:tcMar>
              <w:top w:w="100" w:type="dxa"/>
              <w:start w:w="120" w:type="dxa"/>
              <w:bottom w:w="100" w:type="dxa"/>
              <w:end w:w="120" w:type="dxa"/>
            </w:tcMar>
            <w:vAlign w:val="center"/>
          </w:tcPr>
          <w:p>
            <w:r>
              <w:rPr>
                <w:sz w:val="18"/>
              </w:rPr>
              <w:t>Which jurisdictions first?</w:t>
            </w:r>
          </w:p>
        </w:tc>
        <w:tc>
          <w:tcPr>
            <w:tcW w:type="dxa" w:w="5760"/>
            <w:tcMar>
              <w:top w:w="100" w:type="dxa"/>
              <w:start w:w="120" w:type="dxa"/>
              <w:bottom w:w="100" w:type="dxa"/>
              <w:end w:w="120" w:type="dxa"/>
            </w:tcMar>
            <w:vAlign w:val="center"/>
          </w:tcPr>
          <w:p>
            <w:r>
              <w:rPr>
                <w:sz w:val="18"/>
              </w:rPr>
              <w:t>Keep core implementation-neutral; create local policy pack for Indonesia as an initial deployment option.</w:t>
            </w:r>
          </w:p>
        </w:tc>
      </w:tr>
      <w:tr>
        <w:tc>
          <w:tcPr>
            <w:tcW w:type="dxa" w:w="1008"/>
            <w:tcMar>
              <w:top w:w="100" w:type="dxa"/>
              <w:start w:w="120" w:type="dxa"/>
              <w:bottom w:w="100" w:type="dxa"/>
              <w:end w:w="120" w:type="dxa"/>
            </w:tcMar>
            <w:vAlign w:val="center"/>
          </w:tcPr>
          <w:p>
            <w:r>
              <w:rPr>
                <w:sz w:val="18"/>
              </w:rPr>
              <w:t>D-06</w:t>
            </w:r>
          </w:p>
        </w:tc>
        <w:tc>
          <w:tcPr>
            <w:tcW w:type="dxa" w:w="3600"/>
            <w:tcMar>
              <w:top w:w="100" w:type="dxa"/>
              <w:start w:w="120" w:type="dxa"/>
              <w:bottom w:w="100" w:type="dxa"/>
              <w:end w:w="120" w:type="dxa"/>
            </w:tcMar>
            <w:vAlign w:val="center"/>
          </w:tcPr>
          <w:p>
            <w:r>
              <w:rPr>
                <w:sz w:val="18"/>
              </w:rPr>
              <w:t>Offline/air-gapped support?</w:t>
            </w:r>
          </w:p>
        </w:tc>
        <w:tc>
          <w:tcPr>
            <w:tcW w:type="dxa" w:w="5760"/>
            <w:tcMar>
              <w:top w:w="100" w:type="dxa"/>
              <w:start w:w="120" w:type="dxa"/>
              <w:bottom w:w="100" w:type="dxa"/>
              <w:end w:w="120" w:type="dxa"/>
            </w:tcMar>
            <w:vAlign w:val="center"/>
          </w:tcPr>
          <w:p>
            <w:r>
              <w:rPr>
                <w:sz w:val="18"/>
              </w:rPr>
              <w:t>Decide based on threat model of pilot organisations; architecture should not assume permanent cloud connectivity.</w:t>
            </w:r>
          </w:p>
        </w:tc>
      </w:tr>
      <w:tr>
        <w:tc>
          <w:tcPr>
            <w:tcW w:type="dxa" w:w="1008"/>
            <w:tcMar>
              <w:top w:w="100" w:type="dxa"/>
              <w:start w:w="120" w:type="dxa"/>
              <w:bottom w:w="100" w:type="dxa"/>
              <w:end w:w="120" w:type="dxa"/>
            </w:tcMar>
            <w:vAlign w:val="center"/>
          </w:tcPr>
          <w:p>
            <w:r>
              <w:rPr>
                <w:sz w:val="18"/>
              </w:rPr>
              <w:t>D-07</w:t>
            </w:r>
          </w:p>
        </w:tc>
        <w:tc>
          <w:tcPr>
            <w:tcW w:type="dxa" w:w="3600"/>
            <w:tcMar>
              <w:top w:w="100" w:type="dxa"/>
              <w:start w:w="120" w:type="dxa"/>
              <w:bottom w:w="100" w:type="dxa"/>
              <w:end w:w="120" w:type="dxa"/>
            </w:tcMar>
            <w:vAlign w:val="center"/>
          </w:tcPr>
          <w:p>
            <w:r>
              <w:rPr>
                <w:sz w:val="18"/>
              </w:rPr>
              <w:t>Public/open-source release model?</w:t>
            </w:r>
          </w:p>
        </w:tc>
        <w:tc>
          <w:tcPr>
            <w:tcW w:type="dxa" w:w="5760"/>
            <w:tcMar>
              <w:top w:w="100" w:type="dxa"/>
              <w:start w:w="120" w:type="dxa"/>
              <w:bottom w:w="100" w:type="dxa"/>
              <w:end w:w="120" w:type="dxa"/>
            </w:tcMar>
            <w:vAlign w:val="center"/>
          </w:tcPr>
          <w:p>
            <w:r>
              <w:rPr>
                <w:sz w:val="18"/>
              </w:rPr>
              <w:t>Decide licensing, governance, security disclosure, and public roadmap before external release.</w:t>
            </w:r>
          </w:p>
        </w:tc>
      </w:tr>
    </w:tbl>
    <w:p>
      <w:pPr>
        <w:spacing w:after="20"/>
      </w:pPr>
    </w:p>
    <w:p>
      <w:pPr>
        <w:pStyle w:val="Heading1"/>
      </w:pPr>
      <w:r>
        <w:t>21. Definition of Done</w:t>
      </w:r>
    </w:p>
    <w:p>
      <w:r>
        <w:t>A feature is done only when its user-visible behaviour, canonical data state, permissions, audit events, tests, error handling, migration implications, and documentation are complete. For security/privacy-sensitive features, threat/abuse cases and negative tests are part of the definition of done.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160"/>
            <w:shd w:fill="19304A"/>
            <w:tcMar>
              <w:top w:w="100" w:type="dxa"/>
              <w:start w:w="120" w:type="dxa"/>
              <w:bottom w:w="100" w:type="dxa"/>
              <w:end w:w="120" w:type="dxa"/>
            </w:tcMar>
            <w:vAlign w:val="center"/>
          </w:tcPr>
          <w:p>
            <w:r>
              <w:rPr>
                <w:b/>
                <w:color w:val="FFFFFF"/>
                <w:sz w:val="18"/>
              </w:rPr>
              <w:t>Dimension</w:t>
            </w:r>
          </w:p>
        </w:tc>
        <w:tc>
          <w:tcPr>
            <w:tcW w:type="dxa" w:w="8208"/>
            <w:shd w:fill="19304A"/>
            <w:tcMar>
              <w:top w:w="100" w:type="dxa"/>
              <w:start w:w="120" w:type="dxa"/>
              <w:bottom w:w="100" w:type="dxa"/>
              <w:end w:w="120" w:type="dxa"/>
            </w:tcMar>
            <w:vAlign w:val="center"/>
          </w:tcPr>
          <w:p>
            <w:r>
              <w:rPr>
                <w:b/>
                <w:color w:val="FFFFFF"/>
                <w:sz w:val="18"/>
              </w:rPr>
              <w:t>Done when</w:t>
            </w:r>
          </w:p>
        </w:tc>
      </w:tr>
      <w:tr>
        <w:tc>
          <w:tcPr>
            <w:tcW w:type="dxa" w:w="2160"/>
            <w:tcMar>
              <w:top w:w="100" w:type="dxa"/>
              <w:start w:w="120" w:type="dxa"/>
              <w:bottom w:w="100" w:type="dxa"/>
              <w:end w:w="120" w:type="dxa"/>
            </w:tcMar>
            <w:vAlign w:val="center"/>
          </w:tcPr>
          <w:p>
            <w:r>
              <w:rPr>
                <w:sz w:val="18"/>
              </w:rPr>
              <w:t>Product</w:t>
            </w:r>
          </w:p>
        </w:tc>
        <w:tc>
          <w:tcPr>
            <w:tcW w:type="dxa" w:w="8208"/>
            <w:tcMar>
              <w:top w:w="100" w:type="dxa"/>
              <w:start w:w="120" w:type="dxa"/>
              <w:bottom w:w="100" w:type="dxa"/>
              <w:end w:w="120" w:type="dxa"/>
            </w:tcMar>
            <w:vAlign w:val="center"/>
          </w:tcPr>
          <w:p>
            <w:r>
              <w:rPr>
                <w:sz w:val="18"/>
              </w:rPr>
              <w:t>User story and acceptance criteria satisfied.</w:t>
            </w:r>
          </w:p>
        </w:tc>
      </w:tr>
      <w:tr>
        <w:tc>
          <w:tcPr>
            <w:tcW w:type="dxa" w:w="2160"/>
            <w:tcMar>
              <w:top w:w="100" w:type="dxa"/>
              <w:start w:w="120" w:type="dxa"/>
              <w:bottom w:w="100" w:type="dxa"/>
              <w:end w:w="120" w:type="dxa"/>
            </w:tcMar>
            <w:vAlign w:val="center"/>
          </w:tcPr>
          <w:p>
            <w:r>
              <w:rPr>
                <w:sz w:val="18"/>
              </w:rPr>
              <w:t>Data</w:t>
            </w:r>
          </w:p>
        </w:tc>
        <w:tc>
          <w:tcPr>
            <w:tcW w:type="dxa" w:w="8208"/>
            <w:tcMar>
              <w:top w:w="100" w:type="dxa"/>
              <w:start w:w="120" w:type="dxa"/>
              <w:bottom w:w="100" w:type="dxa"/>
              <w:end w:w="120" w:type="dxa"/>
            </w:tcMar>
            <w:vAlign w:val="center"/>
          </w:tcPr>
          <w:p>
            <w:r>
              <w:rPr>
                <w:sz w:val="18"/>
              </w:rPr>
              <w:t>Canonical objects validate and preserve provenance/version semantics.</w:t>
            </w:r>
          </w:p>
        </w:tc>
      </w:tr>
      <w:tr>
        <w:tc>
          <w:tcPr>
            <w:tcW w:type="dxa" w:w="2160"/>
            <w:tcMar>
              <w:top w:w="100" w:type="dxa"/>
              <w:start w:w="120" w:type="dxa"/>
              <w:bottom w:w="100" w:type="dxa"/>
              <w:end w:w="120" w:type="dxa"/>
            </w:tcMar>
            <w:vAlign w:val="center"/>
          </w:tcPr>
          <w:p>
            <w:r>
              <w:rPr>
                <w:sz w:val="18"/>
              </w:rPr>
              <w:t>Security</w:t>
            </w:r>
          </w:p>
        </w:tc>
        <w:tc>
          <w:tcPr>
            <w:tcW w:type="dxa" w:w="8208"/>
            <w:tcMar>
              <w:top w:w="100" w:type="dxa"/>
              <w:start w:w="120" w:type="dxa"/>
              <w:bottom w:w="100" w:type="dxa"/>
              <w:end w:w="120" w:type="dxa"/>
            </w:tcMar>
            <w:vAlign w:val="center"/>
          </w:tcPr>
          <w:p>
            <w:r>
              <w:rPr>
                <w:sz w:val="18"/>
              </w:rPr>
              <w:t>Authorisation and sensitive-data rules pass positive and negative tests.</w:t>
            </w:r>
          </w:p>
        </w:tc>
      </w:tr>
      <w:tr>
        <w:tc>
          <w:tcPr>
            <w:tcW w:type="dxa" w:w="2160"/>
            <w:tcMar>
              <w:top w:w="100" w:type="dxa"/>
              <w:start w:w="120" w:type="dxa"/>
              <w:bottom w:w="100" w:type="dxa"/>
              <w:end w:w="120" w:type="dxa"/>
            </w:tcMar>
            <w:vAlign w:val="center"/>
          </w:tcPr>
          <w:p>
            <w:r>
              <w:rPr>
                <w:sz w:val="18"/>
              </w:rPr>
              <w:t>Audit</w:t>
            </w:r>
          </w:p>
        </w:tc>
        <w:tc>
          <w:tcPr>
            <w:tcW w:type="dxa" w:w="8208"/>
            <w:tcMar>
              <w:top w:w="100" w:type="dxa"/>
              <w:start w:w="120" w:type="dxa"/>
              <w:bottom w:w="100" w:type="dxa"/>
              <w:end w:w="120" w:type="dxa"/>
            </w:tcMar>
            <w:vAlign w:val="center"/>
          </w:tcPr>
          <w:p>
            <w:r>
              <w:rPr>
                <w:sz w:val="18"/>
              </w:rPr>
              <w:t>Material actions create expected audit events.</w:t>
            </w:r>
          </w:p>
        </w:tc>
      </w:tr>
      <w:tr>
        <w:tc>
          <w:tcPr>
            <w:tcW w:type="dxa" w:w="2160"/>
            <w:tcMar>
              <w:top w:w="100" w:type="dxa"/>
              <w:start w:w="120" w:type="dxa"/>
              <w:bottom w:w="100" w:type="dxa"/>
              <w:end w:w="120" w:type="dxa"/>
            </w:tcMar>
            <w:vAlign w:val="center"/>
          </w:tcPr>
          <w:p>
            <w:r>
              <w:rPr>
                <w:sz w:val="18"/>
              </w:rPr>
              <w:t>UX</w:t>
            </w:r>
          </w:p>
        </w:tc>
        <w:tc>
          <w:tcPr>
            <w:tcW w:type="dxa" w:w="8208"/>
            <w:tcMar>
              <w:top w:w="100" w:type="dxa"/>
              <w:start w:w="120" w:type="dxa"/>
              <w:bottom w:w="100" w:type="dxa"/>
              <w:end w:w="120" w:type="dxa"/>
            </w:tcMar>
            <w:vAlign w:val="center"/>
          </w:tcPr>
          <w:p>
            <w:r>
              <w:rPr>
                <w:sz w:val="18"/>
              </w:rPr>
              <w:t>Status/uncertainty is legible and accessible.</w:t>
            </w:r>
          </w:p>
        </w:tc>
      </w:tr>
      <w:tr>
        <w:tc>
          <w:tcPr>
            <w:tcW w:type="dxa" w:w="2160"/>
            <w:tcMar>
              <w:top w:w="100" w:type="dxa"/>
              <w:start w:w="120" w:type="dxa"/>
              <w:bottom w:w="100" w:type="dxa"/>
              <w:end w:w="120" w:type="dxa"/>
            </w:tcMar>
            <w:vAlign w:val="center"/>
          </w:tcPr>
          <w:p>
            <w:r>
              <w:rPr>
                <w:sz w:val="18"/>
              </w:rPr>
              <w:t>QA</w:t>
            </w:r>
          </w:p>
        </w:tc>
        <w:tc>
          <w:tcPr>
            <w:tcW w:type="dxa" w:w="8208"/>
            <w:tcMar>
              <w:top w:w="100" w:type="dxa"/>
              <w:start w:w="120" w:type="dxa"/>
              <w:bottom w:w="100" w:type="dxa"/>
              <w:end w:w="120" w:type="dxa"/>
            </w:tcMar>
            <w:vAlign w:val="center"/>
          </w:tcPr>
          <w:p>
            <w:r>
              <w:rPr>
                <w:sz w:val="18"/>
              </w:rPr>
              <w:t>Automated tests plus representative end-to-end scenario pass.</w:t>
            </w:r>
          </w:p>
        </w:tc>
      </w:tr>
      <w:tr>
        <w:tc>
          <w:tcPr>
            <w:tcW w:type="dxa" w:w="2160"/>
            <w:tcMar>
              <w:top w:w="100" w:type="dxa"/>
              <w:start w:w="120" w:type="dxa"/>
              <w:bottom w:w="100" w:type="dxa"/>
              <w:end w:w="120" w:type="dxa"/>
            </w:tcMar>
            <w:vAlign w:val="center"/>
          </w:tcPr>
          <w:p>
            <w:r>
              <w:rPr>
                <w:sz w:val="18"/>
              </w:rPr>
              <w:t>Operations</w:t>
            </w:r>
          </w:p>
        </w:tc>
        <w:tc>
          <w:tcPr>
            <w:tcW w:type="dxa" w:w="8208"/>
            <w:tcMar>
              <w:top w:w="100" w:type="dxa"/>
              <w:start w:w="120" w:type="dxa"/>
              <w:bottom w:w="100" w:type="dxa"/>
              <w:end w:w="120" w:type="dxa"/>
            </w:tcMar>
            <w:vAlign w:val="center"/>
          </w:tcPr>
          <w:p>
            <w:r>
              <w:rPr>
                <w:sz w:val="18"/>
              </w:rPr>
              <w:t>Backup/restore/monitoring impact documented where relevant.</w:t>
            </w:r>
          </w:p>
        </w:tc>
      </w:tr>
      <w:tr>
        <w:tc>
          <w:tcPr>
            <w:tcW w:type="dxa" w:w="2160"/>
            <w:tcMar>
              <w:top w:w="100" w:type="dxa"/>
              <w:start w:w="120" w:type="dxa"/>
              <w:bottom w:w="100" w:type="dxa"/>
              <w:end w:w="120" w:type="dxa"/>
            </w:tcMar>
            <w:vAlign w:val="center"/>
          </w:tcPr>
          <w:p>
            <w:r>
              <w:rPr>
                <w:sz w:val="18"/>
              </w:rPr>
              <w:t>Documentation</w:t>
            </w:r>
          </w:p>
        </w:tc>
        <w:tc>
          <w:tcPr>
            <w:tcW w:type="dxa" w:w="8208"/>
            <w:tcMar>
              <w:top w:w="100" w:type="dxa"/>
              <w:start w:w="120" w:type="dxa"/>
              <w:bottom w:w="100" w:type="dxa"/>
              <w:end w:w="120" w:type="dxa"/>
            </w:tcMar>
            <w:vAlign w:val="center"/>
          </w:tcPr>
          <w:p>
            <w:r>
              <w:rPr>
                <w:sz w:val="18"/>
              </w:rPr>
              <w:t>User/admin/API documentation updated.</w:t>
            </w:r>
          </w:p>
        </w:tc>
      </w:tr>
    </w:tbl>
    <w:p>
      <w:pPr>
        <w:spacing w:after="20"/>
      </w:pPr>
    </w:p>
    <w:p>
      <w:pPr>
        <w:pStyle w:val="Heading1"/>
      </w:pPr>
      <w:r>
        <w:t>22. Traceability to CS-AML Specifications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168"/>
            <w:shd w:fill="19304A"/>
            <w:tcMar>
              <w:top w:w="100" w:type="dxa"/>
              <w:start w:w="120" w:type="dxa"/>
              <w:bottom w:w="100" w:type="dxa"/>
              <w:end w:w="120" w:type="dxa"/>
            </w:tcMar>
            <w:vAlign w:val="center"/>
          </w:tcPr>
          <w:p>
            <w:r>
              <w:rPr>
                <w:b/>
                <w:color w:val="FFFFFF"/>
                <w:sz w:val="18"/>
              </w:rPr>
              <w:t>PRD area</w:t>
            </w:r>
          </w:p>
        </w:tc>
        <w:tc>
          <w:tcPr>
            <w:tcW w:type="dxa" w:w="7200"/>
            <w:shd w:fill="19304A"/>
            <w:tcMar>
              <w:top w:w="100" w:type="dxa"/>
              <w:start w:w="120" w:type="dxa"/>
              <w:bottom w:w="100" w:type="dxa"/>
              <w:end w:w="120" w:type="dxa"/>
            </w:tcMar>
            <w:vAlign w:val="center"/>
          </w:tcPr>
          <w:p>
            <w:r>
              <w:rPr>
                <w:b/>
                <w:color w:val="FFFFFF"/>
                <w:sz w:val="18"/>
              </w:rPr>
              <w:t>Upstream authority</w:t>
            </w:r>
          </w:p>
        </w:tc>
      </w:tr>
      <w:tr>
        <w:tc>
          <w:tcPr>
            <w:tcW w:type="dxa" w:w="3168"/>
            <w:tcMar>
              <w:top w:w="100" w:type="dxa"/>
              <w:start w:w="120" w:type="dxa"/>
              <w:bottom w:w="100" w:type="dxa"/>
              <w:end w:w="120" w:type="dxa"/>
            </w:tcMar>
            <w:vAlign w:val="center"/>
          </w:tcPr>
          <w:p>
            <w:r>
              <w:rPr>
                <w:sz w:val="18"/>
              </w:rPr>
              <w:t>Goals/non-goals</w:t>
            </w:r>
          </w:p>
        </w:tc>
        <w:tc>
          <w:tcPr>
            <w:tcW w:type="dxa" w:w="7200"/>
            <w:tcMar>
              <w:top w:w="100" w:type="dxa"/>
              <w:start w:w="120" w:type="dxa"/>
              <w:bottom w:w="100" w:type="dxa"/>
              <w:end w:w="120" w:type="dxa"/>
            </w:tcMar>
            <w:vAlign w:val="center"/>
          </w:tcPr>
          <w:p>
            <w:r>
              <w:rPr>
                <w:sz w:val="18"/>
              </w:rPr>
              <w:t>CS-AML Framework Goals &amp; Non-Goals</w:t>
            </w:r>
          </w:p>
        </w:tc>
      </w:tr>
      <w:tr>
        <w:tc>
          <w:tcPr>
            <w:tcW w:type="dxa" w:w="3168"/>
            <w:tcMar>
              <w:top w:w="100" w:type="dxa"/>
              <w:start w:w="120" w:type="dxa"/>
              <w:bottom w:w="100" w:type="dxa"/>
              <w:end w:w="120" w:type="dxa"/>
            </w:tcMar>
            <w:vAlign w:val="center"/>
          </w:tcPr>
          <w:p>
            <w:r>
              <w:rPr>
                <w:sz w:val="18"/>
              </w:rPr>
              <w:t>Lifecycle / gates</w:t>
            </w:r>
          </w:p>
        </w:tc>
        <w:tc>
          <w:tcPr>
            <w:tcW w:type="dxa" w:w="7200"/>
            <w:tcMar>
              <w:top w:w="100" w:type="dxa"/>
              <w:start w:w="120" w:type="dxa"/>
              <w:bottom w:w="100" w:type="dxa"/>
              <w:end w:w="120" w:type="dxa"/>
            </w:tcMar>
            <w:vAlign w:val="center"/>
          </w:tcPr>
          <w:p>
            <w:r>
              <w:rPr>
                <w:sz w:val="18"/>
              </w:rPr>
              <w:t>CS-AML Investigation Methodology</w:t>
            </w:r>
          </w:p>
        </w:tc>
      </w:tr>
      <w:tr>
        <w:tc>
          <w:tcPr>
            <w:tcW w:type="dxa" w:w="3168"/>
            <w:tcMar>
              <w:top w:w="100" w:type="dxa"/>
              <w:start w:w="120" w:type="dxa"/>
              <w:bottom w:w="100" w:type="dxa"/>
              <w:end w:w="120" w:type="dxa"/>
            </w:tcMar>
            <w:vAlign w:val="center"/>
          </w:tcPr>
          <w:p>
            <w:r>
              <w:rPr>
                <w:sz w:val="18"/>
              </w:rPr>
              <w:t>Objects / states / lineage</w:t>
            </w:r>
          </w:p>
        </w:tc>
        <w:tc>
          <w:tcPr>
            <w:tcW w:type="dxa" w:w="7200"/>
            <w:tcMar>
              <w:top w:w="100" w:type="dxa"/>
              <w:start w:w="120" w:type="dxa"/>
              <w:bottom w:w="100" w:type="dxa"/>
              <w:end w:w="120" w:type="dxa"/>
            </w:tcMar>
            <w:vAlign w:val="center"/>
          </w:tcPr>
          <w:p>
            <w:r>
              <w:rPr>
                <w:sz w:val="18"/>
              </w:rPr>
              <w:t>CS-AML Data Model Specification</w:t>
            </w:r>
          </w:p>
        </w:tc>
      </w:tr>
      <w:tr>
        <w:tc>
          <w:tcPr>
            <w:tcW w:type="dxa" w:w="3168"/>
            <w:tcMar>
              <w:top w:w="100" w:type="dxa"/>
              <w:start w:w="120" w:type="dxa"/>
              <w:bottom w:w="100" w:type="dxa"/>
              <w:end w:w="120" w:type="dxa"/>
            </w:tcMar>
            <w:vAlign w:val="center"/>
          </w:tcPr>
          <w:p>
            <w:r>
              <w:rPr>
                <w:sz w:val="18"/>
              </w:rPr>
              <w:t>Typologies / indicators</w:t>
            </w:r>
          </w:p>
        </w:tc>
        <w:tc>
          <w:tcPr>
            <w:tcW w:type="dxa" w:w="7200"/>
            <w:tcMar>
              <w:top w:w="100" w:type="dxa"/>
              <w:start w:w="120" w:type="dxa"/>
              <w:bottom w:w="100" w:type="dxa"/>
              <w:end w:w="120" w:type="dxa"/>
            </w:tcMar>
            <w:vAlign w:val="center"/>
          </w:tcPr>
          <w:p>
            <w:r>
              <w:rPr>
                <w:sz w:val="18"/>
              </w:rPr>
              <w:t>CS-AML Typology Catalogue</w:t>
            </w:r>
          </w:p>
        </w:tc>
      </w:tr>
      <w:tr>
        <w:tc>
          <w:tcPr>
            <w:tcW w:type="dxa" w:w="3168"/>
            <w:tcMar>
              <w:top w:w="100" w:type="dxa"/>
              <w:start w:w="120" w:type="dxa"/>
              <w:bottom w:w="100" w:type="dxa"/>
              <w:end w:w="120" w:type="dxa"/>
            </w:tcMar>
            <w:vAlign w:val="center"/>
          </w:tcPr>
          <w:p>
            <w:r>
              <w:rPr>
                <w:sz w:val="18"/>
              </w:rPr>
              <w:t>Security/privacy/audit/review controls</w:t>
            </w:r>
          </w:p>
        </w:tc>
        <w:tc>
          <w:tcPr>
            <w:tcW w:type="dxa" w:w="7200"/>
            <w:tcMar>
              <w:top w:w="100" w:type="dxa"/>
              <w:start w:w="120" w:type="dxa"/>
              <w:bottom w:w="100" w:type="dxa"/>
              <w:end w:w="120" w:type="dxa"/>
            </w:tcMar>
            <w:vAlign w:val="center"/>
          </w:tcPr>
          <w:p>
            <w:r>
              <w:rPr>
                <w:sz w:val="18"/>
              </w:rPr>
              <w:t>CS-AML Control Implementation Guide</w:t>
            </w:r>
          </w:p>
        </w:tc>
      </w:tr>
      <w:tr>
        <w:tc>
          <w:tcPr>
            <w:tcW w:type="dxa" w:w="3168"/>
            <w:tcMar>
              <w:top w:w="100" w:type="dxa"/>
              <w:start w:w="120" w:type="dxa"/>
              <w:bottom w:w="100" w:type="dxa"/>
              <w:end w:w="120" w:type="dxa"/>
            </w:tcMar>
            <w:vAlign w:val="center"/>
          </w:tcPr>
          <w:p>
            <w:r>
              <w:rPr>
                <w:sz w:val="18"/>
              </w:rPr>
              <w:t>System architecture / canonical vs derived / AI</w:t>
            </w:r>
          </w:p>
        </w:tc>
        <w:tc>
          <w:tcPr>
            <w:tcW w:type="dxa" w:w="7200"/>
            <w:tcMar>
              <w:top w:w="100" w:type="dxa"/>
              <w:start w:w="120" w:type="dxa"/>
              <w:bottom w:w="100" w:type="dxa"/>
              <w:end w:w="120" w:type="dxa"/>
            </w:tcMar>
            <w:vAlign w:val="center"/>
          </w:tcPr>
          <w:p>
            <w:r>
              <w:rPr>
                <w:sz w:val="18"/>
              </w:rPr>
              <w:t>CS-AML Technology Architecture</w:t>
            </w:r>
          </w:p>
        </w:tc>
      </w:tr>
      <w:tr>
        <w:tc>
          <w:tcPr>
            <w:tcW w:type="dxa" w:w="3168"/>
            <w:tcMar>
              <w:top w:w="100" w:type="dxa"/>
              <w:start w:w="120" w:type="dxa"/>
              <w:bottom w:w="100" w:type="dxa"/>
              <w:end w:w="120" w:type="dxa"/>
            </w:tcMar>
            <w:vAlign w:val="center"/>
          </w:tcPr>
          <w:p>
            <w:r>
              <w:rPr>
                <w:sz w:val="18"/>
              </w:rPr>
              <w:t>Feature IDs / prioritisation master list</w:t>
            </w:r>
          </w:p>
        </w:tc>
        <w:tc>
          <w:tcPr>
            <w:tcW w:type="dxa" w:w="7200"/>
            <w:tcMar>
              <w:top w:w="100" w:type="dxa"/>
              <w:start w:w="120" w:type="dxa"/>
              <w:bottom w:w="100" w:type="dxa"/>
              <w:end w:w="120" w:type="dxa"/>
            </w:tcMar>
            <w:vAlign w:val="center"/>
          </w:tcPr>
          <w:p>
            <w:r>
              <w:rPr>
                <w:sz w:val="18"/>
              </w:rPr>
              <w:t>CS-AML Product &amp; Feature Specification</w:t>
            </w:r>
          </w:p>
        </w:tc>
      </w:tr>
    </w:tbl>
    <w:p>
      <w:pPr>
        <w:spacing w:after="20"/>
      </w:pPr>
    </w:p>
    <w:p>
      <w:pPr>
        <w:pStyle w:val="Heading1"/>
      </w:pPr>
      <w:r>
        <w:t>Annex A — MVP P0 Feature IDs</w:t>
      </w:r>
    </w:p>
    <w:p>
      <w:r>
        <w:t>The Product &amp; Feature Specification remains the authoritative detailed feature catalogue. The following list identifies the P0 baseline expected to be represented in MVP planning; final sprint sequencing is an engineering/product decision.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456"/>
            <w:shd w:fill="19304A"/>
            <w:tcMar>
              <w:top w:w="100" w:type="dxa"/>
              <w:start w:w="120" w:type="dxa"/>
              <w:bottom w:w="100" w:type="dxa"/>
              <w:end w:w="120" w:type="dxa"/>
            </w:tcMar>
            <w:vAlign w:val="center"/>
          </w:tcPr>
          <w:p>
            <w:r>
              <w:rPr>
                <w:b/>
                <w:color w:val="FFFFFF"/>
                <w:sz w:val="18"/>
              </w:rPr>
              <w:t>P0 Feature</w:t>
            </w:r>
          </w:p>
        </w:tc>
        <w:tc>
          <w:tcPr>
            <w:tcW w:type="dxa" w:w="3456"/>
            <w:shd w:fill="19304A"/>
            <w:tcMar>
              <w:top w:w="100" w:type="dxa"/>
              <w:start w:w="120" w:type="dxa"/>
              <w:bottom w:w="100" w:type="dxa"/>
              <w:end w:w="120" w:type="dxa"/>
            </w:tcMar>
            <w:vAlign w:val="center"/>
          </w:tcPr>
          <w:p>
            <w:r>
              <w:rPr>
                <w:b/>
                <w:color w:val="FFFFFF"/>
                <w:sz w:val="18"/>
              </w:rPr>
              <w:t>P0 Feature</w:t>
            </w:r>
          </w:p>
        </w:tc>
        <w:tc>
          <w:tcPr>
            <w:tcW w:type="dxa" w:w="3456"/>
            <w:shd w:fill="19304A"/>
            <w:tcMar>
              <w:top w:w="100" w:type="dxa"/>
              <w:start w:w="120" w:type="dxa"/>
              <w:bottom w:w="100" w:type="dxa"/>
              <w:end w:w="120" w:type="dxa"/>
            </w:tcMar>
            <w:vAlign w:val="center"/>
          </w:tcPr>
          <w:p>
            <w:r>
              <w:rPr>
                <w:b/>
                <w:color w:val="FFFFFF"/>
                <w:sz w:val="18"/>
              </w:rPr>
              <w:t>P0 Feature</w:t>
            </w:r>
          </w:p>
        </w:tc>
      </w:tr>
      <w:tr>
        <w:tc>
          <w:tcPr>
            <w:tcW w:type="dxa" w:w="3456"/>
            <w:tcMar>
              <w:top w:w="100" w:type="dxa"/>
              <w:start w:w="120" w:type="dxa"/>
              <w:bottom w:w="100" w:type="dxa"/>
              <w:end w:w="120" w:type="dxa"/>
            </w:tcMar>
            <w:vAlign w:val="center"/>
          </w:tcPr>
          <w:p>
            <w:r>
              <w:rPr>
                <w:sz w:val="18"/>
              </w:rPr>
              <w:t>F-CASE-001</w:t>
            </w:r>
          </w:p>
        </w:tc>
        <w:tc>
          <w:tcPr>
            <w:tcW w:type="dxa" w:w="3456"/>
            <w:tcMar>
              <w:top w:w="100" w:type="dxa"/>
              <w:start w:w="120" w:type="dxa"/>
              <w:bottom w:w="100" w:type="dxa"/>
              <w:end w:w="120" w:type="dxa"/>
            </w:tcMar>
            <w:vAlign w:val="center"/>
          </w:tcPr>
          <w:p>
            <w:r>
              <w:rPr>
                <w:sz w:val="18"/>
              </w:rPr>
              <w:t>F-CASE-002</w:t>
            </w:r>
          </w:p>
        </w:tc>
        <w:tc>
          <w:tcPr>
            <w:tcW w:type="dxa" w:w="3456"/>
            <w:tcMar>
              <w:top w:w="100" w:type="dxa"/>
              <w:start w:w="120" w:type="dxa"/>
              <w:bottom w:w="100" w:type="dxa"/>
              <w:end w:w="120" w:type="dxa"/>
            </w:tcMar>
            <w:vAlign w:val="center"/>
          </w:tcPr>
          <w:p>
            <w:r>
              <w:rPr>
                <w:sz w:val="18"/>
              </w:rPr>
              <w:t>F-CASE-003</w:t>
            </w:r>
          </w:p>
        </w:tc>
      </w:tr>
      <w:tr>
        <w:tc>
          <w:tcPr>
            <w:tcW w:type="dxa" w:w="3456"/>
            <w:tcMar>
              <w:top w:w="100" w:type="dxa"/>
              <w:start w:w="120" w:type="dxa"/>
              <w:bottom w:w="100" w:type="dxa"/>
              <w:end w:w="120" w:type="dxa"/>
            </w:tcMar>
            <w:vAlign w:val="center"/>
          </w:tcPr>
          <w:p>
            <w:r>
              <w:rPr>
                <w:sz w:val="18"/>
              </w:rPr>
              <w:t>F-CASE-004</w:t>
            </w:r>
          </w:p>
        </w:tc>
        <w:tc>
          <w:tcPr>
            <w:tcW w:type="dxa" w:w="3456"/>
            <w:tcMar>
              <w:top w:w="100" w:type="dxa"/>
              <w:start w:w="120" w:type="dxa"/>
              <w:bottom w:w="100" w:type="dxa"/>
              <w:end w:w="120" w:type="dxa"/>
            </w:tcMar>
            <w:vAlign w:val="center"/>
          </w:tcPr>
          <w:p>
            <w:r>
              <w:rPr>
                <w:sz w:val="18"/>
              </w:rPr>
              <w:t>F-CASE-005</w:t>
            </w:r>
          </w:p>
        </w:tc>
        <w:tc>
          <w:tcPr>
            <w:tcW w:type="dxa" w:w="3456"/>
            <w:tcMar>
              <w:top w:w="100" w:type="dxa"/>
              <w:start w:w="120" w:type="dxa"/>
              <w:bottom w:w="100" w:type="dxa"/>
              <w:end w:w="120" w:type="dxa"/>
            </w:tcMar>
            <w:vAlign w:val="center"/>
          </w:tcPr>
          <w:p>
            <w:r>
              <w:rPr>
                <w:sz w:val="18"/>
              </w:rPr>
              <w:t>F-EVD-001</w:t>
            </w:r>
          </w:p>
        </w:tc>
      </w:tr>
      <w:tr>
        <w:tc>
          <w:tcPr>
            <w:tcW w:type="dxa" w:w="3456"/>
            <w:tcMar>
              <w:top w:w="100" w:type="dxa"/>
              <w:start w:w="120" w:type="dxa"/>
              <w:bottom w:w="100" w:type="dxa"/>
              <w:end w:w="120" w:type="dxa"/>
            </w:tcMar>
            <w:vAlign w:val="center"/>
          </w:tcPr>
          <w:p>
            <w:r>
              <w:rPr>
                <w:sz w:val="18"/>
              </w:rPr>
              <w:t>F-EVD-002</w:t>
            </w:r>
          </w:p>
        </w:tc>
        <w:tc>
          <w:tcPr>
            <w:tcW w:type="dxa" w:w="3456"/>
            <w:tcMar>
              <w:top w:w="100" w:type="dxa"/>
              <w:start w:w="120" w:type="dxa"/>
              <w:bottom w:w="100" w:type="dxa"/>
              <w:end w:w="120" w:type="dxa"/>
            </w:tcMar>
            <w:vAlign w:val="center"/>
          </w:tcPr>
          <w:p>
            <w:r>
              <w:rPr>
                <w:sz w:val="18"/>
              </w:rPr>
              <w:t>F-EVD-003</w:t>
            </w:r>
          </w:p>
        </w:tc>
        <w:tc>
          <w:tcPr>
            <w:tcW w:type="dxa" w:w="3456"/>
            <w:tcMar>
              <w:top w:w="100" w:type="dxa"/>
              <w:start w:w="120" w:type="dxa"/>
              <w:bottom w:w="100" w:type="dxa"/>
              <w:end w:w="120" w:type="dxa"/>
            </w:tcMar>
            <w:vAlign w:val="center"/>
          </w:tcPr>
          <w:p>
            <w:r>
              <w:rPr>
                <w:sz w:val="18"/>
              </w:rPr>
              <w:t>F-EVD-004</w:t>
            </w:r>
          </w:p>
        </w:tc>
      </w:tr>
      <w:tr>
        <w:tc>
          <w:tcPr>
            <w:tcW w:type="dxa" w:w="3456"/>
            <w:tcMar>
              <w:top w:w="100" w:type="dxa"/>
              <w:start w:w="120" w:type="dxa"/>
              <w:bottom w:w="100" w:type="dxa"/>
              <w:end w:w="120" w:type="dxa"/>
            </w:tcMar>
            <w:vAlign w:val="center"/>
          </w:tcPr>
          <w:p>
            <w:r>
              <w:rPr>
                <w:sz w:val="18"/>
              </w:rPr>
              <w:t>F-EVD-005</w:t>
            </w:r>
          </w:p>
        </w:tc>
        <w:tc>
          <w:tcPr>
            <w:tcW w:type="dxa" w:w="3456"/>
            <w:tcMar>
              <w:top w:w="100" w:type="dxa"/>
              <w:start w:w="120" w:type="dxa"/>
              <w:bottom w:w="100" w:type="dxa"/>
              <w:end w:w="120" w:type="dxa"/>
            </w:tcMar>
            <w:vAlign w:val="center"/>
          </w:tcPr>
          <w:p>
            <w:r>
              <w:rPr>
                <w:sz w:val="18"/>
              </w:rPr>
              <w:t>F-EVD-006</w:t>
            </w:r>
          </w:p>
        </w:tc>
        <w:tc>
          <w:tcPr>
            <w:tcW w:type="dxa" w:w="3456"/>
            <w:tcMar>
              <w:top w:w="100" w:type="dxa"/>
              <w:start w:w="120" w:type="dxa"/>
              <w:bottom w:w="100" w:type="dxa"/>
              <w:end w:w="120" w:type="dxa"/>
            </w:tcMar>
            <w:vAlign w:val="center"/>
          </w:tcPr>
          <w:p>
            <w:r>
              <w:rPr>
                <w:sz w:val="18"/>
              </w:rPr>
              <w:t>F-DOC-001</w:t>
            </w:r>
          </w:p>
        </w:tc>
      </w:tr>
      <w:tr>
        <w:tc>
          <w:tcPr>
            <w:tcW w:type="dxa" w:w="3456"/>
            <w:tcMar>
              <w:top w:w="100" w:type="dxa"/>
              <w:start w:w="120" w:type="dxa"/>
              <w:bottom w:w="100" w:type="dxa"/>
              <w:end w:w="120" w:type="dxa"/>
            </w:tcMar>
            <w:vAlign w:val="center"/>
          </w:tcPr>
          <w:p>
            <w:r>
              <w:rPr>
                <w:sz w:val="18"/>
              </w:rPr>
              <w:t>F-ENT-001</w:t>
            </w:r>
          </w:p>
        </w:tc>
        <w:tc>
          <w:tcPr>
            <w:tcW w:type="dxa" w:w="3456"/>
            <w:tcMar>
              <w:top w:w="100" w:type="dxa"/>
              <w:start w:w="120" w:type="dxa"/>
              <w:bottom w:w="100" w:type="dxa"/>
              <w:end w:w="120" w:type="dxa"/>
            </w:tcMar>
            <w:vAlign w:val="center"/>
          </w:tcPr>
          <w:p>
            <w:r>
              <w:rPr>
                <w:sz w:val="18"/>
              </w:rPr>
              <w:t>F-ENT-002</w:t>
            </w:r>
          </w:p>
        </w:tc>
        <w:tc>
          <w:tcPr>
            <w:tcW w:type="dxa" w:w="3456"/>
            <w:tcMar>
              <w:top w:w="100" w:type="dxa"/>
              <w:start w:w="120" w:type="dxa"/>
              <w:bottom w:w="100" w:type="dxa"/>
              <w:end w:w="120" w:type="dxa"/>
            </w:tcMar>
            <w:vAlign w:val="center"/>
          </w:tcPr>
          <w:p>
            <w:r>
              <w:rPr>
                <w:sz w:val="18"/>
              </w:rPr>
              <w:t>F-ENT-003</w:t>
            </w:r>
          </w:p>
        </w:tc>
      </w:tr>
      <w:tr>
        <w:tc>
          <w:tcPr>
            <w:tcW w:type="dxa" w:w="3456"/>
            <w:tcMar>
              <w:top w:w="100" w:type="dxa"/>
              <w:start w:w="120" w:type="dxa"/>
              <w:bottom w:w="100" w:type="dxa"/>
              <w:end w:w="120" w:type="dxa"/>
            </w:tcMar>
            <w:vAlign w:val="center"/>
          </w:tcPr>
          <w:p>
            <w:r>
              <w:rPr>
                <w:sz w:val="18"/>
              </w:rPr>
              <w:t>F-ENT-004</w:t>
            </w:r>
          </w:p>
        </w:tc>
        <w:tc>
          <w:tcPr>
            <w:tcW w:type="dxa" w:w="3456"/>
            <w:tcMar>
              <w:top w:w="100" w:type="dxa"/>
              <w:start w:w="120" w:type="dxa"/>
              <w:bottom w:w="100" w:type="dxa"/>
              <w:end w:w="120" w:type="dxa"/>
            </w:tcMar>
            <w:vAlign w:val="center"/>
          </w:tcPr>
          <w:p>
            <w:r>
              <w:rPr>
                <w:sz w:val="18"/>
              </w:rPr>
              <w:t>F-ENT-005</w:t>
            </w:r>
          </w:p>
        </w:tc>
        <w:tc>
          <w:tcPr>
            <w:tcW w:type="dxa" w:w="3456"/>
            <w:tcMar>
              <w:top w:w="100" w:type="dxa"/>
              <w:start w:w="120" w:type="dxa"/>
              <w:bottom w:w="100" w:type="dxa"/>
              <w:end w:w="120" w:type="dxa"/>
            </w:tcMar>
            <w:vAlign w:val="center"/>
          </w:tcPr>
          <w:p>
            <w:r>
              <w:rPr>
                <w:sz w:val="18"/>
              </w:rPr>
              <w:t>F-REL-001</w:t>
            </w:r>
          </w:p>
        </w:tc>
      </w:tr>
      <w:tr>
        <w:tc>
          <w:tcPr>
            <w:tcW w:type="dxa" w:w="3456"/>
            <w:tcMar>
              <w:top w:w="100" w:type="dxa"/>
              <w:start w:w="120" w:type="dxa"/>
              <w:bottom w:w="100" w:type="dxa"/>
              <w:end w:w="120" w:type="dxa"/>
            </w:tcMar>
            <w:vAlign w:val="center"/>
          </w:tcPr>
          <w:p>
            <w:r>
              <w:rPr>
                <w:sz w:val="18"/>
              </w:rPr>
              <w:t>F-REL-002</w:t>
            </w:r>
          </w:p>
        </w:tc>
        <w:tc>
          <w:tcPr>
            <w:tcW w:type="dxa" w:w="3456"/>
            <w:tcMar>
              <w:top w:w="100" w:type="dxa"/>
              <w:start w:w="120" w:type="dxa"/>
              <w:bottom w:w="100" w:type="dxa"/>
              <w:end w:w="120" w:type="dxa"/>
            </w:tcMar>
            <w:vAlign w:val="center"/>
          </w:tcPr>
          <w:p>
            <w:r>
              <w:rPr>
                <w:sz w:val="18"/>
              </w:rPr>
              <w:t>F-REL-003</w:t>
            </w:r>
          </w:p>
        </w:tc>
        <w:tc>
          <w:tcPr>
            <w:tcW w:type="dxa" w:w="3456"/>
            <w:tcMar>
              <w:top w:w="100" w:type="dxa"/>
              <w:start w:w="120" w:type="dxa"/>
              <w:bottom w:w="100" w:type="dxa"/>
              <w:end w:w="120" w:type="dxa"/>
            </w:tcMar>
            <w:vAlign w:val="center"/>
          </w:tcPr>
          <w:p>
            <w:r>
              <w:rPr>
                <w:sz w:val="18"/>
              </w:rPr>
              <w:t>F-AST-001</w:t>
            </w:r>
          </w:p>
        </w:tc>
      </w:tr>
      <w:tr>
        <w:tc>
          <w:tcPr>
            <w:tcW w:type="dxa" w:w="3456"/>
            <w:tcMar>
              <w:top w:w="100" w:type="dxa"/>
              <w:start w:w="120" w:type="dxa"/>
              <w:bottom w:w="100" w:type="dxa"/>
              <w:end w:w="120" w:type="dxa"/>
            </w:tcMar>
            <w:vAlign w:val="center"/>
          </w:tcPr>
          <w:p>
            <w:r>
              <w:rPr>
                <w:sz w:val="18"/>
              </w:rPr>
              <w:t>F-TIM-001</w:t>
            </w:r>
          </w:p>
        </w:tc>
        <w:tc>
          <w:tcPr>
            <w:tcW w:type="dxa" w:w="3456"/>
            <w:tcMar>
              <w:top w:w="100" w:type="dxa"/>
              <w:start w:w="120" w:type="dxa"/>
              <w:bottom w:w="100" w:type="dxa"/>
              <w:end w:w="120" w:type="dxa"/>
            </w:tcMar>
            <w:vAlign w:val="center"/>
          </w:tcPr>
          <w:p>
            <w:r>
              <w:rPr>
                <w:sz w:val="18"/>
              </w:rPr>
              <w:t>F-TIM-002</w:t>
            </w:r>
          </w:p>
        </w:tc>
        <w:tc>
          <w:tcPr>
            <w:tcW w:type="dxa" w:w="3456"/>
            <w:tcMar>
              <w:top w:w="100" w:type="dxa"/>
              <w:start w:w="120" w:type="dxa"/>
              <w:bottom w:w="100" w:type="dxa"/>
              <w:end w:w="120" w:type="dxa"/>
            </w:tcMar>
            <w:vAlign w:val="center"/>
          </w:tcPr>
          <w:p>
            <w:r>
              <w:rPr>
                <w:sz w:val="18"/>
              </w:rPr>
              <w:t>F-VAL-001</w:t>
            </w:r>
          </w:p>
        </w:tc>
      </w:tr>
      <w:tr>
        <w:tc>
          <w:tcPr>
            <w:tcW w:type="dxa" w:w="3456"/>
            <w:tcMar>
              <w:top w:w="100" w:type="dxa"/>
              <w:start w:w="120" w:type="dxa"/>
              <w:bottom w:w="100" w:type="dxa"/>
              <w:end w:w="120" w:type="dxa"/>
            </w:tcMar>
            <w:vAlign w:val="center"/>
          </w:tcPr>
          <w:p>
            <w:r>
              <w:rPr>
                <w:sz w:val="18"/>
              </w:rPr>
              <w:t>F-VAL-002</w:t>
            </w:r>
          </w:p>
        </w:tc>
        <w:tc>
          <w:tcPr>
            <w:tcW w:type="dxa" w:w="3456"/>
            <w:tcMar>
              <w:top w:w="100" w:type="dxa"/>
              <w:start w:w="120" w:type="dxa"/>
              <w:bottom w:w="100" w:type="dxa"/>
              <w:end w:w="120" w:type="dxa"/>
            </w:tcMar>
            <w:vAlign w:val="center"/>
          </w:tcPr>
          <w:p>
            <w:r>
              <w:rPr>
                <w:sz w:val="18"/>
              </w:rPr>
              <w:t>F-VAL-003</w:t>
            </w:r>
          </w:p>
        </w:tc>
        <w:tc>
          <w:tcPr>
            <w:tcW w:type="dxa" w:w="3456"/>
            <w:tcMar>
              <w:top w:w="100" w:type="dxa"/>
              <w:start w:w="120" w:type="dxa"/>
              <w:bottom w:w="100" w:type="dxa"/>
              <w:end w:w="120" w:type="dxa"/>
            </w:tcMar>
            <w:vAlign w:val="center"/>
          </w:tcPr>
          <w:p>
            <w:r>
              <w:rPr>
                <w:sz w:val="18"/>
              </w:rPr>
              <w:t>F-VAL-004</w:t>
            </w:r>
          </w:p>
        </w:tc>
      </w:tr>
      <w:tr>
        <w:tc>
          <w:tcPr>
            <w:tcW w:type="dxa" w:w="3456"/>
            <w:tcMar>
              <w:top w:w="100" w:type="dxa"/>
              <w:start w:w="120" w:type="dxa"/>
              <w:bottom w:w="100" w:type="dxa"/>
              <w:end w:w="120" w:type="dxa"/>
            </w:tcMar>
            <w:vAlign w:val="center"/>
          </w:tcPr>
          <w:p>
            <w:r>
              <w:rPr>
                <w:sz w:val="18"/>
              </w:rPr>
              <w:t>F-TYP-001</w:t>
            </w:r>
          </w:p>
        </w:tc>
        <w:tc>
          <w:tcPr>
            <w:tcW w:type="dxa" w:w="3456"/>
            <w:tcMar>
              <w:top w:w="100" w:type="dxa"/>
              <w:start w:w="120" w:type="dxa"/>
              <w:bottom w:w="100" w:type="dxa"/>
              <w:end w:w="120" w:type="dxa"/>
            </w:tcMar>
            <w:vAlign w:val="center"/>
          </w:tcPr>
          <w:p>
            <w:r>
              <w:rPr>
                <w:sz w:val="18"/>
              </w:rPr>
              <w:t>F-TYP-002</w:t>
            </w:r>
          </w:p>
        </w:tc>
        <w:tc>
          <w:tcPr>
            <w:tcW w:type="dxa" w:w="3456"/>
            <w:tcMar>
              <w:top w:w="100" w:type="dxa"/>
              <w:start w:w="120" w:type="dxa"/>
              <w:bottom w:w="100" w:type="dxa"/>
              <w:end w:w="120" w:type="dxa"/>
            </w:tcMar>
            <w:vAlign w:val="center"/>
          </w:tcPr>
          <w:p>
            <w:r>
              <w:rPr>
                <w:sz w:val="18"/>
              </w:rPr>
              <w:t>F-TYP-003</w:t>
            </w:r>
          </w:p>
        </w:tc>
      </w:tr>
      <w:tr>
        <w:tc>
          <w:tcPr>
            <w:tcW w:type="dxa" w:w="3456"/>
            <w:tcMar>
              <w:top w:w="100" w:type="dxa"/>
              <w:start w:w="120" w:type="dxa"/>
              <w:bottom w:w="100" w:type="dxa"/>
              <w:end w:w="120" w:type="dxa"/>
            </w:tcMar>
            <w:vAlign w:val="center"/>
          </w:tcPr>
          <w:p>
            <w:r>
              <w:rPr>
                <w:sz w:val="18"/>
              </w:rPr>
              <w:t>F-HYP-001</w:t>
            </w:r>
          </w:p>
        </w:tc>
        <w:tc>
          <w:tcPr>
            <w:tcW w:type="dxa" w:w="3456"/>
            <w:tcMar>
              <w:top w:w="100" w:type="dxa"/>
              <w:start w:w="120" w:type="dxa"/>
              <w:bottom w:w="100" w:type="dxa"/>
              <w:end w:w="120" w:type="dxa"/>
            </w:tcMar>
            <w:vAlign w:val="center"/>
          </w:tcPr>
          <w:p>
            <w:r>
              <w:rPr>
                <w:sz w:val="18"/>
              </w:rPr>
              <w:t>F-HYP-002</w:t>
            </w:r>
          </w:p>
        </w:tc>
        <w:tc>
          <w:tcPr>
            <w:tcW w:type="dxa" w:w="3456"/>
            <w:tcMar>
              <w:top w:w="100" w:type="dxa"/>
              <w:start w:w="120" w:type="dxa"/>
              <w:bottom w:w="100" w:type="dxa"/>
              <w:end w:w="120" w:type="dxa"/>
            </w:tcMar>
            <w:vAlign w:val="center"/>
          </w:tcPr>
          <w:p>
            <w:r>
              <w:rPr>
                <w:sz w:val="18"/>
              </w:rPr>
              <w:t>F-HYP-003</w:t>
            </w:r>
          </w:p>
        </w:tc>
      </w:tr>
      <w:tr>
        <w:tc>
          <w:tcPr>
            <w:tcW w:type="dxa" w:w="3456"/>
            <w:tcMar>
              <w:top w:w="100" w:type="dxa"/>
              <w:start w:w="120" w:type="dxa"/>
              <w:bottom w:w="100" w:type="dxa"/>
              <w:end w:w="120" w:type="dxa"/>
            </w:tcMar>
            <w:vAlign w:val="center"/>
          </w:tcPr>
          <w:p>
            <w:r>
              <w:rPr>
                <w:sz w:val="18"/>
              </w:rPr>
              <w:t>F-ASM-001</w:t>
            </w:r>
          </w:p>
        </w:tc>
        <w:tc>
          <w:tcPr>
            <w:tcW w:type="dxa" w:w="3456"/>
            <w:tcMar>
              <w:top w:w="100" w:type="dxa"/>
              <w:start w:w="120" w:type="dxa"/>
              <w:bottom w:w="100" w:type="dxa"/>
              <w:end w:w="120" w:type="dxa"/>
            </w:tcMar>
            <w:vAlign w:val="center"/>
          </w:tcPr>
          <w:p>
            <w:r>
              <w:rPr>
                <w:sz w:val="18"/>
              </w:rPr>
              <w:t>F-ASM-002</w:t>
            </w:r>
          </w:p>
        </w:tc>
        <w:tc>
          <w:tcPr>
            <w:tcW w:type="dxa" w:w="3456"/>
            <w:tcMar>
              <w:top w:w="100" w:type="dxa"/>
              <w:start w:w="120" w:type="dxa"/>
              <w:bottom w:w="100" w:type="dxa"/>
              <w:end w:w="120" w:type="dxa"/>
            </w:tcMar>
            <w:vAlign w:val="center"/>
          </w:tcPr>
          <w:p>
            <w:r>
              <w:rPr>
                <w:sz w:val="18"/>
              </w:rPr>
              <w:t>F-ASM-003</w:t>
            </w:r>
          </w:p>
        </w:tc>
      </w:tr>
      <w:tr>
        <w:tc>
          <w:tcPr>
            <w:tcW w:type="dxa" w:w="3456"/>
            <w:tcMar>
              <w:top w:w="100" w:type="dxa"/>
              <w:start w:w="120" w:type="dxa"/>
              <w:bottom w:w="100" w:type="dxa"/>
              <w:end w:w="120" w:type="dxa"/>
            </w:tcMar>
            <w:vAlign w:val="center"/>
          </w:tcPr>
          <w:p>
            <w:r>
              <w:rPr>
                <w:sz w:val="18"/>
              </w:rPr>
              <w:t>F-SCH-001</w:t>
            </w:r>
          </w:p>
        </w:tc>
        <w:tc>
          <w:tcPr>
            <w:tcW w:type="dxa" w:w="3456"/>
            <w:tcMar>
              <w:top w:w="100" w:type="dxa"/>
              <w:start w:w="120" w:type="dxa"/>
              <w:bottom w:w="100" w:type="dxa"/>
              <w:end w:w="120" w:type="dxa"/>
            </w:tcMar>
            <w:vAlign w:val="center"/>
          </w:tcPr>
          <w:p>
            <w:r>
              <w:rPr>
                <w:sz w:val="18"/>
              </w:rPr>
              <w:t>F-SCH-002</w:t>
            </w:r>
          </w:p>
        </w:tc>
        <w:tc>
          <w:tcPr>
            <w:tcW w:type="dxa" w:w="3456"/>
            <w:tcMar>
              <w:top w:w="100" w:type="dxa"/>
              <w:start w:w="120" w:type="dxa"/>
              <w:bottom w:w="100" w:type="dxa"/>
              <w:end w:w="120" w:type="dxa"/>
            </w:tcMar>
            <w:vAlign w:val="center"/>
          </w:tcPr>
          <w:p>
            <w:r>
              <w:rPr>
                <w:sz w:val="18"/>
              </w:rPr>
              <w:t>F-GRF-001</w:t>
            </w:r>
          </w:p>
        </w:tc>
      </w:tr>
      <w:tr>
        <w:tc>
          <w:tcPr>
            <w:tcW w:type="dxa" w:w="3456"/>
            <w:tcMar>
              <w:top w:w="100" w:type="dxa"/>
              <w:start w:w="120" w:type="dxa"/>
              <w:bottom w:w="100" w:type="dxa"/>
              <w:end w:w="120" w:type="dxa"/>
            </w:tcMar>
            <w:vAlign w:val="center"/>
          </w:tcPr>
          <w:p>
            <w:r>
              <w:rPr>
                <w:sz w:val="18"/>
              </w:rPr>
              <w:t>F-PRD-001</w:t>
            </w:r>
          </w:p>
        </w:tc>
        <w:tc>
          <w:tcPr>
            <w:tcW w:type="dxa" w:w="3456"/>
            <w:tcMar>
              <w:top w:w="100" w:type="dxa"/>
              <w:start w:w="120" w:type="dxa"/>
              <w:bottom w:w="100" w:type="dxa"/>
              <w:end w:w="120" w:type="dxa"/>
            </w:tcMar>
            <w:vAlign w:val="center"/>
          </w:tcPr>
          <w:p>
            <w:r>
              <w:rPr>
                <w:sz w:val="18"/>
              </w:rPr>
              <w:t>F-REV-001</w:t>
            </w:r>
          </w:p>
        </w:tc>
        <w:tc>
          <w:tcPr>
            <w:tcW w:type="dxa" w:w="3456"/>
            <w:tcMar>
              <w:top w:w="100" w:type="dxa"/>
              <w:start w:w="120" w:type="dxa"/>
              <w:bottom w:w="100" w:type="dxa"/>
              <w:end w:w="120" w:type="dxa"/>
            </w:tcMar>
            <w:vAlign w:val="center"/>
          </w:tcPr>
          <w:p>
            <w:r>
              <w:rPr>
                <w:sz w:val="18"/>
              </w:rPr>
              <w:t>F-PRD-002</w:t>
            </w:r>
          </w:p>
        </w:tc>
      </w:tr>
      <w:tr>
        <w:tc>
          <w:tcPr>
            <w:tcW w:type="dxa" w:w="3456"/>
            <w:tcMar>
              <w:top w:w="100" w:type="dxa"/>
              <w:start w:w="120" w:type="dxa"/>
              <w:bottom w:w="100" w:type="dxa"/>
              <w:end w:w="120" w:type="dxa"/>
            </w:tcMar>
            <w:vAlign w:val="center"/>
          </w:tcPr>
          <w:p>
            <w:r>
              <w:rPr>
                <w:sz w:val="18"/>
              </w:rPr>
              <w:t>F-PRD-003</w:t>
            </w:r>
          </w:p>
        </w:tc>
        <w:tc>
          <w:tcPr>
            <w:tcW w:type="dxa" w:w="3456"/>
            <w:tcMar>
              <w:top w:w="100" w:type="dxa"/>
              <w:start w:w="120" w:type="dxa"/>
              <w:bottom w:w="100" w:type="dxa"/>
              <w:end w:w="120" w:type="dxa"/>
            </w:tcMar>
            <w:vAlign w:val="center"/>
          </w:tcPr>
          <w:p>
            <w:r>
              <w:rPr>
                <w:sz w:val="18"/>
              </w:rPr>
              <w:t>F-DIS-001</w:t>
            </w:r>
          </w:p>
        </w:tc>
        <w:tc>
          <w:tcPr>
            <w:tcW w:type="dxa" w:w="3456"/>
            <w:tcMar>
              <w:top w:w="100" w:type="dxa"/>
              <w:start w:w="120" w:type="dxa"/>
              <w:bottom w:w="100" w:type="dxa"/>
              <w:end w:w="120" w:type="dxa"/>
            </w:tcMar>
            <w:vAlign w:val="center"/>
          </w:tcPr>
          <w:p>
            <w:r>
              <w:rPr>
                <w:sz w:val="18"/>
              </w:rPr>
              <w:t>F-DIS-002</w:t>
            </w:r>
          </w:p>
        </w:tc>
      </w:tr>
      <w:tr>
        <w:tc>
          <w:tcPr>
            <w:tcW w:type="dxa" w:w="3456"/>
            <w:tcMar>
              <w:top w:w="100" w:type="dxa"/>
              <w:start w:w="120" w:type="dxa"/>
              <w:bottom w:w="100" w:type="dxa"/>
              <w:end w:w="120" w:type="dxa"/>
            </w:tcMar>
            <w:vAlign w:val="center"/>
          </w:tcPr>
          <w:p>
            <w:r>
              <w:rPr>
                <w:sz w:val="18"/>
              </w:rPr>
              <w:t>F-DIS-003</w:t>
            </w:r>
          </w:p>
        </w:tc>
        <w:tc>
          <w:tcPr>
            <w:tcW w:type="dxa" w:w="3456"/>
            <w:tcMar>
              <w:top w:w="100" w:type="dxa"/>
              <w:start w:w="120" w:type="dxa"/>
              <w:bottom w:w="100" w:type="dxa"/>
              <w:end w:w="120" w:type="dxa"/>
            </w:tcMar>
            <w:vAlign w:val="center"/>
          </w:tcPr>
          <w:p>
            <w:r>
              <w:rPr>
                <w:sz w:val="18"/>
              </w:rPr>
              <w:t>F-DIS-004</w:t>
            </w:r>
          </w:p>
        </w:tc>
        <w:tc>
          <w:tcPr>
            <w:tcW w:type="dxa" w:w="3456"/>
            <w:tcMar>
              <w:top w:w="100" w:type="dxa"/>
              <w:start w:w="120" w:type="dxa"/>
              <w:bottom w:w="100" w:type="dxa"/>
              <w:end w:w="120" w:type="dxa"/>
            </w:tcMar>
            <w:vAlign w:val="center"/>
          </w:tcPr>
          <w:p>
            <w:r>
              <w:rPr>
                <w:sz w:val="18"/>
              </w:rPr>
              <w:t>F-ADM-001</w:t>
            </w:r>
          </w:p>
        </w:tc>
      </w:tr>
      <w:tr>
        <w:tc>
          <w:tcPr>
            <w:tcW w:type="dxa" w:w="3456"/>
            <w:tcMar>
              <w:top w:w="100" w:type="dxa"/>
              <w:start w:w="120" w:type="dxa"/>
              <w:bottom w:w="100" w:type="dxa"/>
              <w:end w:w="120" w:type="dxa"/>
            </w:tcMar>
            <w:vAlign w:val="center"/>
          </w:tcPr>
          <w:p>
            <w:r>
              <w:rPr>
                <w:sz w:val="18"/>
              </w:rPr>
              <w:t>F-ADM-003</w:t>
            </w:r>
          </w:p>
        </w:tc>
        <w:tc>
          <w:tcPr>
            <w:tcW w:type="dxa" w:w="3456"/>
            <w:tcMar>
              <w:top w:w="100" w:type="dxa"/>
              <w:start w:w="120" w:type="dxa"/>
              <w:bottom w:w="100" w:type="dxa"/>
              <w:end w:w="120" w:type="dxa"/>
            </w:tcMar>
            <w:vAlign w:val="center"/>
          </w:tcPr>
          <w:p>
            <w:r>
              <w:rPr>
                <w:sz w:val="18"/>
              </w:rPr>
              <w:t>F-SEC-001</w:t>
            </w:r>
          </w:p>
        </w:tc>
        <w:tc>
          <w:tcPr>
            <w:tcW w:type="dxa" w:w="3456"/>
            <w:tcMar>
              <w:top w:w="100" w:type="dxa"/>
              <w:start w:w="120" w:type="dxa"/>
              <w:bottom w:w="100" w:type="dxa"/>
              <w:end w:w="120" w:type="dxa"/>
            </w:tcMar>
            <w:vAlign w:val="center"/>
          </w:tcPr>
          <w:p>
            <w:r>
              <w:rPr>
                <w:sz w:val="18"/>
              </w:rPr>
              <w:t>F-SEC-002</w:t>
            </w:r>
          </w:p>
        </w:tc>
      </w:tr>
      <w:tr>
        <w:tc>
          <w:tcPr>
            <w:tcW w:type="dxa" w:w="3456"/>
            <w:tcMar>
              <w:top w:w="100" w:type="dxa"/>
              <w:start w:w="120" w:type="dxa"/>
              <w:bottom w:w="100" w:type="dxa"/>
              <w:end w:w="120" w:type="dxa"/>
            </w:tcMar>
            <w:vAlign w:val="center"/>
          </w:tcPr>
          <w:p>
            <w:r>
              <w:rPr>
                <w:sz w:val="18"/>
              </w:rPr>
              <w:t>F-SEC-003</w:t>
            </w:r>
          </w:p>
        </w:tc>
        <w:tc>
          <w:tcPr>
            <w:tcW w:type="dxa" w:w="3456"/>
            <w:tcMar>
              <w:top w:w="100" w:type="dxa"/>
              <w:start w:w="120" w:type="dxa"/>
              <w:bottom w:w="100" w:type="dxa"/>
              <w:end w:w="120" w:type="dxa"/>
            </w:tcMar>
            <w:vAlign w:val="center"/>
          </w:tcPr>
          <w:p>
            <w:r>
              <w:rPr>
                <w:sz w:val="18"/>
              </w:rPr>
              <w:t>F-AUD-001</w:t>
            </w:r>
          </w:p>
        </w:tc>
        <w:tc>
          <w:tcPr>
            <w:tcW w:type="dxa" w:w="3456"/>
            <w:tcMar>
              <w:top w:w="100" w:type="dxa"/>
              <w:start w:w="120" w:type="dxa"/>
              <w:bottom w:w="100" w:type="dxa"/>
              <w:end w:w="120" w:type="dxa"/>
            </w:tcMar>
            <w:vAlign w:val="center"/>
          </w:tcPr>
          <w:p>
            <w:r>
              <w:rPr>
                <w:sz w:val="18"/>
              </w:rPr>
              <w:t>F-OPS-001</w:t>
            </w:r>
          </w:p>
        </w:tc>
      </w:tr>
    </w:tbl>
    <w:p>
      <w:pPr>
        <w:spacing w:after="20"/>
      </w:pPr>
    </w:p>
    <w:p>
      <w:pPr>
        <w:pStyle w:val="Heading1"/>
      </w:pPr>
      <w:r>
        <w:t>Annex B — Representative End-to-End Pilot Scenario</w:t>
      </w:r>
    </w:p>
    <w:p>
      <w:r>
        <w:t>A pilot case should use synthetic or legally cleared data and include: one public procurement contract, two organisations with partially overlapping identifiers, one person with an alias, one asset, one time-bounded ownership relationship, one reconstructed value-flow leg, one direct/documented leg, one typology with a counter-indicator, two competing hypotheses, one protected source reference, one peer-review challenge, and one controlled referral/export. The test succeeds only if a reviewer can reproduce the final assessment without relying on undocumented analyst memory.</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CS-AML Product Requirements Document v0.1  |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9304A"/>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84E6E"/>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3D60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color w:val="5A5A5A"/>
      <w:sz w:val="18"/>
    </w:rPr>
  </w:style>
  <w:style w:type="paragraph" w:customStyle="1" w:styleId="Callout">
    <w:name w:val="Callout"/>
    <w:pPr>
      <w:spacing w:after="100" w:line="259" w:lineRule="auto"/>
    </w:pPr>
    <w:rPr>
      <w:rFonts w:ascii="Aptos" w:hAnsi="Aptos"/>
      <w:b w:val="0"/>
      <w:color w:val="232323"/>
      <w:sz w:val="20"/>
    </w:rPr>
  </w:style>
  <w:style w:type="paragraph" w:customStyle="1" w:styleId="Codeish">
    <w:name w:val="Codeish"/>
    <w:rPr>
      <w:rFonts w:ascii="Aptos" w:hAnsi="Aptos"/>
      <w:b w:val="0"/>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