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68"/>
        </w:rPr>
        <w:t>CS-AML</w:t>
      </w:r>
    </w:p>
    <w:p>
      <w:pPr>
        <w:jc w:val="center"/>
      </w:pPr>
      <w:r>
        <w:rPr>
          <w:b/>
          <w:color w:val="1F4E78"/>
          <w:sz w:val="48"/>
        </w:rPr>
        <w:t>Software Requirements Specification (SRS)</w:t>
      </w:r>
    </w:p>
    <w:p>
      <w:pPr>
        <w:jc w:val="center"/>
      </w:pPr>
      <w:r>
        <w:rPr>
          <w:sz w:val="32"/>
        </w:rPr>
        <w:t>Version 0.1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7365D"/>
                <w:sz w:val="21"/>
              </w:rPr>
              <w:t>Document status</w:t>
              <w:br/>
            </w:r>
            <w:r>
              <w:rPr>
                <w:sz w:val="20"/>
              </w:rPr>
              <w:t>Normative software baseline for MVP 0.1 implementation. This SRS translates the approved PRD, Product &amp; Feature Specification, Data Model Specification, Control Implementation Guide, Investigation Methodology, and Technology Architecture into testable software requirements.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i/>
          <w:color w:val="505050"/>
          <w:sz w:val="22"/>
        </w:rPr>
        <w:t>Civil Society Financial Intelligence / AML Investigation Platform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CS-AML Software Requirements Specification</w:t>
            </w:r>
          </w:p>
        </w:tc>
      </w:tr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Normative baseline</w:t>
            </w:r>
          </w:p>
        </w:tc>
      </w:tr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Primary product scope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MVP 0.1</w:t>
            </w:r>
          </w:p>
        </w:tc>
      </w:tr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Product, engineering, QA, security, data, reviewers, governance</w:t>
            </w:r>
          </w:p>
        </w:tc>
      </w:tr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Upstream documents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CS-AML PRD v0.1; Product &amp; Feature Specification v0.1; Data Model Specification v0.1; Technology Architecture v0.1; Control Implementation Guide v0.1; Investigation Methodology v0.1</w:t>
            </w:r>
          </w:p>
        </w:tc>
      </w:tr>
      <w:tr>
        <w:tc>
          <w:tcPr>
            <w:tcW w:type="dxa" w:w="2448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8"/>
              </w:rPr>
              <w:t>Normative terms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SHALL / MUST = mandatory; SHOULD = recommended; MAY = optional</w:t>
            </w:r>
          </w:p>
        </w:tc>
      </w:tr>
    </w:tbl>
    <w:p>
      <w:pPr>
        <w:pStyle w:val="Heading1"/>
      </w:pPr>
      <w:r>
        <w:t>Contents</w:t>
      </w:r>
    </w:p>
    <w:p>
      <w:r>
        <w:t>1. Purpose and Scope</w:t>
      </w:r>
    </w:p>
    <w:p>
      <w:r>
        <w:t>2. Product and System Context</w:t>
      </w:r>
    </w:p>
    <w:p>
      <w:r>
        <w:t>3. Definitions and Conventions</w:t>
      </w:r>
    </w:p>
    <w:p>
      <w:r>
        <w:t>4. System Boundary and Actors</w:t>
      </w:r>
    </w:p>
    <w:p>
      <w:r>
        <w:t>5. Architectural Constraints</w:t>
      </w:r>
    </w:p>
    <w:p>
      <w:r>
        <w:t>6. Functional Requirements</w:t>
      </w:r>
    </w:p>
    <w:p>
      <w:r>
        <w:t>7. Data Requirements</w:t>
      </w:r>
    </w:p>
    <w:p>
      <w:r>
        <w:t>8. External Interface Requirements</w:t>
      </w:r>
    </w:p>
    <w:p>
      <w:r>
        <w:t>9. Security and Privacy Requirements</w:t>
      </w:r>
    </w:p>
    <w:p>
      <w:r>
        <w:t>10. Audit and Provenance Requirements</w:t>
      </w:r>
    </w:p>
    <w:p>
      <w:r>
        <w:t>11. Performance and Scalability</w:t>
      </w:r>
    </w:p>
    <w:p>
      <w:r>
        <w:t>12. Reliability, Backup and Disaster Recovery</w:t>
      </w:r>
    </w:p>
    <w:p>
      <w:r>
        <w:t>13. Search, Graph and Analytical Requirements</w:t>
      </w:r>
    </w:p>
    <w:p>
      <w:r>
        <w:t>14. AI and Automation Requirements</w:t>
      </w:r>
    </w:p>
    <w:p>
      <w:r>
        <w:t>15. UX and Accessibility Requirements</w:t>
      </w:r>
    </w:p>
    <w:p>
      <w:r>
        <w:t>16. Administration and Configuration</w:t>
      </w:r>
    </w:p>
    <w:p>
      <w:r>
        <w:t>17. Interoperability and Integration</w:t>
      </w:r>
    </w:p>
    <w:p>
      <w:r>
        <w:t>18. Deployment and Operations</w:t>
      </w:r>
    </w:p>
    <w:p>
      <w:r>
        <w:t>19. Verification and Acceptance</w:t>
      </w:r>
    </w:p>
    <w:p>
      <w:r>
        <w:t>20. Traceability Matrix</w:t>
      </w:r>
    </w:p>
    <w:p>
      <w:r>
        <w:t>21. MVP Release Baseline</w:t>
      </w:r>
    </w:p>
    <w:p>
      <w:r>
        <w:t>Annex A — Requirement ID Taxonomy</w:t>
      </w:r>
    </w:p>
    <w:p>
      <w:r>
        <w:t>Annex B — State Models</w:t>
      </w:r>
    </w:p>
    <w:p>
      <w:r>
        <w:t>Annex C — API Resource Baseline</w:t>
      </w:r>
    </w:p>
    <w:p>
      <w:r>
        <w:t>Annex D — Test Scenario Baseline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SRS specifies the software behaviour, data obligations, interfaces, controls, quality attributes, and verification conditions required to implement CS-AML MVP 0.1 as a secure system of record for civil-society financial-intelligence investigations.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7365D"/>
                <w:sz w:val="21"/>
              </w:rPr>
              <w:t>Primary acceptance objective</w:t>
              <w:br/>
            </w:r>
            <w:r>
              <w:rPr>
                <w:sz w:val="20"/>
              </w:rPr>
              <w:t>A small two-analyst team SHALL be able to open a sensitive case, ingest and preserve evidence, resolve entities, map relationships/assets/events/value flows, test competing hypotheses, assess typology consistency and confidence, complete independent review, and export an approved intelligence product while retaining provenance and audit history.</w:t>
            </w:r>
          </w:p>
        </w:tc>
      </w:tr>
    </w:tbl>
    <w:p>
      <w:pPr>
        <w:spacing w:after="0"/>
      </w:pPr>
    </w:p>
    <w:p>
      <w:pPr>
        <w:pStyle w:val="Heading2"/>
      </w:pPr>
      <w:r>
        <w:t>1.1 In scope</w:t>
      </w:r>
    </w:p>
    <w:p>
      <w:pPr>
        <w:pStyle w:val="ListBullet"/>
      </w:pPr>
      <w:r>
        <w:t>Case and workflow management</w:t>
      </w:r>
    </w:p>
    <w:p>
      <w:pPr>
        <w:pStyle w:val="ListBullet"/>
      </w:pPr>
      <w:r>
        <w:t>Source/evidence/provenance management</w:t>
      </w:r>
    </w:p>
    <w:p>
      <w:pPr>
        <w:pStyle w:val="ListBullet"/>
      </w:pPr>
      <w:r>
        <w:t>Document ingestion</w:t>
      </w:r>
    </w:p>
    <w:p>
      <w:pPr>
        <w:pStyle w:val="ListBullet"/>
      </w:pPr>
      <w:r>
        <w:t>Entity registry and reversible entity resolution</w:t>
      </w:r>
    </w:p>
    <w:p>
      <w:pPr>
        <w:pStyle w:val="ListBullet"/>
      </w:pPr>
      <w:r>
        <w:t>Relationships, ownership, control, and assets</w:t>
      </w:r>
    </w:p>
    <w:p>
      <w:pPr>
        <w:pStyle w:val="ListBullet"/>
      </w:pPr>
      <w:r>
        <w:t>Events and timeline</w:t>
      </w:r>
    </w:p>
    <w:p>
      <w:pPr>
        <w:pStyle w:val="ListBullet"/>
      </w:pPr>
      <w:r>
        <w:t>Value-flow modelling</w:t>
      </w:r>
    </w:p>
    <w:p>
      <w:pPr>
        <w:pStyle w:val="ListBullet"/>
      </w:pPr>
      <w:r>
        <w:t>Typology and indicator analysis</w:t>
      </w:r>
    </w:p>
    <w:p>
      <w:pPr>
        <w:pStyle w:val="ListBullet"/>
      </w:pPr>
      <w:r>
        <w:t>Hypothesis, gap, confidence, and assessment management</w:t>
      </w:r>
    </w:p>
    <w:p>
      <w:pPr>
        <w:pStyle w:val="ListBullet"/>
      </w:pPr>
      <w:r>
        <w:t>Search and graph exploration</w:t>
      </w:r>
    </w:p>
    <w:p>
      <w:pPr>
        <w:pStyle w:val="ListBullet"/>
      </w:pPr>
      <w:r>
        <w:t>Intelligence products, review, dissemination and sharing logs</w:t>
      </w:r>
    </w:p>
    <w:p>
      <w:pPr>
        <w:pStyle w:val="ListBullet"/>
      </w:pPr>
      <w:r>
        <w:t>IAM, protected-source compartment, audit, retention, backup and restore</w:t>
      </w:r>
    </w:p>
    <w:p>
      <w:pPr>
        <w:pStyle w:val="Heading2"/>
      </w:pPr>
      <w:r>
        <w:t>1.2 Out of scope for MVP 0.1</w:t>
      </w:r>
    </w:p>
    <w:p>
      <w:pPr>
        <w:pStyle w:val="ListBullet"/>
      </w:pPr>
      <w:r>
        <w:t>Automated AML transaction monitoring against banking core systems</w:t>
      </w:r>
    </w:p>
    <w:p>
      <w:pPr>
        <w:pStyle w:val="ListBullet"/>
      </w:pPr>
      <w:r>
        <w:t>Autonomous guilt determination or law-enforcement decisioning</w:t>
      </w:r>
    </w:p>
    <w:p>
      <w:pPr>
        <w:pStyle w:val="ListBullet"/>
      </w:pPr>
      <w:r>
        <w:t>Continuous web-scale scraping</w:t>
      </w:r>
    </w:p>
    <w:p>
      <w:pPr>
        <w:pStyle w:val="ListBullet"/>
      </w:pPr>
      <w:r>
        <w:t>Cross-organisation federation</w:t>
      </w:r>
    </w:p>
    <w:p>
      <w:pPr>
        <w:pStyle w:val="ListBullet"/>
      </w:pPr>
      <w:r>
        <w:t>Advanced blockchain tracing</w:t>
      </w:r>
    </w:p>
    <w:p>
      <w:pPr>
        <w:pStyle w:val="ListBullet"/>
      </w:pPr>
      <w:r>
        <w:t>Automated sanctions/PEP screening as a mandatory workflow</w:t>
      </w:r>
    </w:p>
    <w:p>
      <w:pPr>
        <w:pStyle w:val="ListBullet"/>
      </w:pPr>
      <w:r>
        <w:t>Advanced machine-learning risk scoring</w:t>
      </w:r>
    </w:p>
    <w:p>
      <w:pPr>
        <w:pStyle w:val="ListBullet"/>
      </w:pPr>
      <w:r>
        <w:t>Multi-tenant SaaS operation</w:t>
      </w:r>
    </w:p>
    <w:p>
      <w:pPr>
        <w:pStyle w:val="Heading1"/>
      </w:pPr>
      <w:r>
        <w:t>2. Product and System Context</w:t>
      </w:r>
    </w:p>
    <w:p>
      <w:r>
        <w:t>CS-AML is positioned as a civil-society financial-intelligence and investigation platform, not a bank compliance engine. The software converts structured investigative work into reproducible intelligence while preserving uncertainty and provenance.</w:t>
      </w:r>
    </w:p>
    <w:p>
      <w:pPr>
        <w:pStyle w:val="Heading2"/>
      </w:pPr>
      <w:r>
        <w:t>2.1 Product axiom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7365D"/>
                <w:sz w:val="21"/>
              </w:rPr>
              <w:t>Axiom</w:t>
              <w:br/>
            </w:r>
            <w:r>
              <w:rPr>
                <w:sz w:val="20"/>
              </w:rPr>
              <w:t>Technology SHALL preserve analytical uncertainty rather than erase it. Source, evidence, claim, fact, indicator, hypothesis, assessment, and intelligence product remain distinguishable in storage, APIs, UI, graph views, automation, and exports.</w:t>
            </w:r>
          </w:p>
        </w:tc>
      </w:tr>
    </w:tbl>
    <w:p>
      <w:pPr>
        <w:spacing w:after="0"/>
      </w:pPr>
    </w:p>
    <w:p>
      <w:pPr>
        <w:pStyle w:val="Heading2"/>
      </w:pPr>
      <w:r>
        <w:t>2.2 Upstream analytical chain</w:t>
      </w:r>
    </w:p>
    <w:p>
      <w:pPr>
        <w:pStyle w:val="CodeBlock"/>
      </w:pPr>
      <w:r>
        <w:t>SOURCE → EVIDENCE → CLAIM/FACT → INDICATOR → HYPOTHESIS → ASSESSMENT → INTELLIGENCE PRODUCT</w:t>
      </w:r>
    </w:p>
    <w:p>
      <w:pPr>
        <w:pStyle w:val="Heading2"/>
      </w:pPr>
      <w:r>
        <w:t>2.3 Mandatory value-flow classes</w:t>
      </w:r>
    </w:p>
    <w:p>
      <w:pPr>
        <w:pStyle w:val="CodeBlock"/>
      </w:pPr>
      <w:r>
        <w:t>DIRECT | DOCUMENTED | RECONSTRUCTED | HYPOTHETICAL</w:t>
      </w:r>
    </w:p>
    <w:p>
      <w:pPr>
        <w:pStyle w:val="Heading1"/>
      </w:pPr>
      <w:r>
        <w:t>3. Definitions and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7"/>
              </w:rPr>
              <w:t>Software implication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Canonical object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Authoritative record of investigative state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Must be durable, versioned where material, access-controlled, and auditable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Derived projection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Rebuildable search/graph/cache/AI representation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Must never become sole source of truth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Material action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Action capable of changing analytical meaning, access, review status, or dissemination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Must be auditable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Protected source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Human/source identity requiring compartmentalisation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Identity access separate from routine evidence access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High-impact product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Product containing potentially harmful adverse findings or public attribution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Requires independent review and dissemination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  <w:tc>
          <w:tcPr>
            <w:tcW w:type="dxa" w:w="38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Minimum release satisfying end-to-end case completion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All P0 requirements required unless explicitly waived</w:t>
            </w:r>
          </w:p>
        </w:tc>
      </w:tr>
    </w:tbl>
    <w:p>
      <w:pPr>
        <w:pStyle w:val="Heading1"/>
      </w:pPr>
      <w:r>
        <w:t>4. System Boundary and Actors</w:t>
      </w:r>
    </w:p>
    <w:p>
      <w:pPr>
        <w:pStyle w:val="Heading2"/>
      </w:pPr>
      <w:r>
        <w:t>4.1 Primary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63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Investigator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Creates and develops case material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Case Owner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Accountable for scope, gates, and dissemination decisions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Analyst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Performs entity/value-flow/typology/hypothesis analysis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Independent quality review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Evidence Custodian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Preserves originals, integrity, and evidence lineage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Data Steward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Approves significant entity merge/unmerge and data-quality changes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Source Handler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Controls protected-source identity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Platform/Security Admin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Operates IAM, configuration, backup, monitoring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Auditor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Reviews controls and audit history</w:t>
            </w:r>
          </w:p>
        </w:tc>
      </w:tr>
    </w:tbl>
    <w:p>
      <w:pPr>
        <w:pStyle w:val="Heading2"/>
      </w:pPr>
      <w:r>
        <w:t>4.2 Trust boundaries</w:t>
      </w:r>
    </w:p>
    <w:p>
      <w:pPr>
        <w:pStyle w:val="ListBullet"/>
      </w:pPr>
      <w:r>
        <w:t>User browser/client</w:t>
      </w:r>
    </w:p>
    <w:p>
      <w:pPr>
        <w:pStyle w:val="ListBullet"/>
      </w:pPr>
      <w:r>
        <w:t>Application/API policy layer</w:t>
      </w:r>
    </w:p>
    <w:p>
      <w:pPr>
        <w:pStyle w:val="ListBullet"/>
      </w:pPr>
      <w:r>
        <w:t>Canonical database</w:t>
      </w:r>
    </w:p>
    <w:p>
      <w:pPr>
        <w:pStyle w:val="ListBullet"/>
      </w:pPr>
      <w:r>
        <w:t>Evidence object store</w:t>
      </w:r>
    </w:p>
    <w:p>
      <w:pPr>
        <w:pStyle w:val="ListBullet"/>
      </w:pPr>
      <w:r>
        <w:t>Protected-source compartment</w:t>
      </w:r>
    </w:p>
    <w:p>
      <w:pPr>
        <w:pStyle w:val="ListBullet"/>
      </w:pPr>
      <w:r>
        <w:t>Search/graph projections</w:t>
      </w:r>
    </w:p>
    <w:p>
      <w:pPr>
        <w:pStyle w:val="ListBullet"/>
      </w:pPr>
      <w:r>
        <w:t>External integrations</w:t>
      </w:r>
    </w:p>
    <w:p>
      <w:pPr>
        <w:pStyle w:val="ListBullet"/>
      </w:pPr>
      <w:r>
        <w:t>Backup/restore environment</w:t>
      </w:r>
    </w:p>
    <w:p>
      <w:pPr>
        <w:pStyle w:val="ListBullet"/>
      </w:pPr>
      <w:r>
        <w:t>Administrative control plane</w:t>
      </w:r>
    </w:p>
    <w:p>
      <w:pPr>
        <w:pStyle w:val="Heading1"/>
      </w:pPr>
      <w:r>
        <w:t>5. Architectural Constraints</w:t>
      </w:r>
    </w:p>
    <w:p>
      <w:pPr>
        <w:pStyle w:val="ListBullet"/>
      </w:pPr>
      <w:r>
        <w:t>Canonical data and evidence remain independent from rebuildable search/graph projections.</w:t>
      </w:r>
    </w:p>
    <w:p>
      <w:pPr>
        <w:pStyle w:val="ListBullet"/>
      </w:pPr>
      <w:r>
        <w:t>Original evidence is immutable to routine analyst workflows; transformations create derivatives.</w:t>
      </w:r>
    </w:p>
    <w:p>
      <w:pPr>
        <w:pStyle w:val="ListBullet"/>
      </w:pPr>
      <w:r>
        <w:t>Entity merge decisions are reversible and must preserve history.</w:t>
      </w:r>
    </w:p>
    <w:p>
      <w:pPr>
        <w:pStyle w:val="ListBullet"/>
      </w:pPr>
      <w:r>
        <w:t>All material adverse analytical claims remain traceable to evidence.</w:t>
      </w:r>
    </w:p>
    <w:p>
      <w:pPr>
        <w:pStyle w:val="ListBullet"/>
      </w:pPr>
      <w:r>
        <w:t>Authorization is enforced at API/service layer, not only UI.</w:t>
      </w:r>
    </w:p>
    <w:p>
      <w:pPr>
        <w:pStyle w:val="ListBullet"/>
      </w:pPr>
      <w:r>
        <w:t>High-impact dissemination requires accountable human authorization.</w:t>
      </w:r>
    </w:p>
    <w:p>
      <w:pPr>
        <w:pStyle w:val="ListBullet"/>
      </w:pPr>
      <w:r>
        <w:t>AI and automation may assist but cannot silently promote generated output into material facts.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Case and Workflow</w:t>
      </w:r>
    </w:p>
    <w:p>
      <w:pPr>
        <w:pStyle w:val="Heading3"/>
      </w:pPr>
      <w:r>
        <w:t>SRS-FR-CASE-001 — Case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create a stable Case ID and require title, accountable owner, purpose, investigation question, sensitivity/classification, and status before a case becomes Active.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orphaned or undefined investigations.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incomplete case and verify activation is blocked; complete required fields and verify activation succeeds.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F-CASE-001; GOV-01; CAS-01</w:t>
            </w:r>
          </w:p>
        </w:tc>
      </w:tr>
    </w:tbl>
    <w:p>
      <w:pPr>
        <w:pStyle w:val="Heading3"/>
      </w:pPr>
      <w:r>
        <w:t>SRS-FR-CASE-002 — Investigation Charter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version the Investigation Charter, including question, scope, exclusions, jurisdictions, period, authorised/prohibited collection methods, risks, and intended outputs.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Controls scope and mission creep.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Edit charter twice and verify prior version remains retrievable with actor/time.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F-CASE-002; CAS-01; PRI-01</w:t>
            </w:r>
          </w:p>
        </w:tc>
      </w:tr>
    </w:tbl>
    <w:p>
      <w:pPr>
        <w:pStyle w:val="Heading3"/>
      </w:pPr>
      <w:r>
        <w:t>SRS-FR-CASE-003 — Lifecycle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configurable G0–G6 lifecycle gates and SHALL prevent controlled actions when required approval is absent.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Enforces stage-gated investigation methodology.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Attempt high-impact transition without approval and verify denial; approve independently and retry.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F-CASE-003; CAS-02; QUA-01</w:t>
            </w:r>
          </w:p>
        </w:tc>
      </w:tr>
    </w:tbl>
    <w:p>
      <w:pPr>
        <w:pStyle w:val="Heading3"/>
      </w:pPr>
      <w:r>
        <w:t>SRS-FR-CASE-004 — Tasks and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case-scoped tasks with owner, due date, type, status, dependencies, and immutable completion history.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Coordinates investigative work.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Create, reassign, complete task and verify audit trail.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F-CASE-004</w:t>
            </w:r>
          </w:p>
        </w:tc>
      </w:tr>
    </w:tbl>
    <w:p>
      <w:pPr>
        <w:pStyle w:val="Heading3"/>
      </w:pPr>
      <w:r>
        <w:t>SRS-FR-CASE-005 — Case activity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display material case actions in chronological order with actor, timestamp, object, and action type.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reconstructability.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Perform material actions and verify ordered visibility.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F-CASE-005; AUD-01</w:t>
            </w:r>
          </w:p>
        </w:tc>
      </w:tr>
    </w:tbl>
    <w:p>
      <w:pPr>
        <w:pStyle w:val="Heading2"/>
      </w:pPr>
      <w:r>
        <w:t>6.2 Source, Evidence and Documents</w:t>
      </w:r>
    </w:p>
    <w:p>
      <w:pPr>
        <w:pStyle w:val="Heading3"/>
      </w:pPr>
      <w:r>
        <w:t>SRS-FR-EVD-001 —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register material sources with origin, type, publisher/owner where known, access method, access timestamp, URL/location, reliability, legal/access note, and archival reference where available.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Maintains provenance.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source and verify mandatory provenance validation.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F-EVD-001; SRC-01</w:t>
            </w:r>
          </w:p>
        </w:tc>
      </w:tr>
    </w:tbl>
    <w:p>
      <w:pPr>
        <w:pStyle w:val="Heading3"/>
      </w:pPr>
      <w:r>
        <w:t>SRS-FR-EVD-002 — Original preservation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preserve original evidence separately from working/derived artefacts and SHALL prevent routine analysts from modifying the original object.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evidence integrity.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Upload file, attempt overwrite as analyst, verify denial and new-version workflow.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F-EVD-002; EVD-01</w:t>
            </w:r>
          </w:p>
        </w:tc>
      </w:tr>
    </w:tbl>
    <w:p>
      <w:pPr>
        <w:pStyle w:val="Heading3"/>
      </w:pPr>
      <w:r>
        <w:t>SRS-FR-EVD-003 — Cryptographic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compute SHA-256 or stronger approved hash for critical uploaded evidence and SHALL support recomputation/verification.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Detects silent change.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Recompute hash and compare; alter test copy and verify mismatch.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F-EVD-003; EVD-01</w:t>
            </w:r>
          </w:p>
        </w:tc>
      </w:tr>
    </w:tbl>
    <w:p>
      <w:pPr>
        <w:pStyle w:val="Heading3"/>
      </w:pPr>
      <w:r>
        <w:t>SRS-FR-EVD-004 — Evidence extracts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allow page/paragraph/region extracts that remain linked to parent evidence and a precise source location.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Enables citations and review.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extract and navigate back to original location.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F-EVD-004; EVD-02</w:t>
            </w:r>
          </w:p>
        </w:tc>
      </w:tr>
    </w:tbl>
    <w:p>
      <w:pPr>
        <w:pStyle w:val="Heading3"/>
      </w:pPr>
      <w:r>
        <w:t>SRS-FR-EVD-005 — Derivative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record parent evidence, transformation type, tool/version where material, creator, and timestamp for OCR, translation, crop, parse, or derived dataset.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Preserves transformation lineage.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derivative and verify reverse trace to original.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F-EVD-005; EVD-02</w:t>
            </w:r>
          </w:p>
        </w:tc>
      </w:tr>
    </w:tbl>
    <w:p>
      <w:pPr>
        <w:pStyle w:val="Heading3"/>
      </w:pPr>
      <w:r>
        <w:t>SRS-FR-EVD-006 — Reliability and credibility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store source reliability independently from information credibility and SHALL not reuse one value for both dimensions.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false certainty.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Save different ratings and verify independent display/storage.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F-EVD-006; SRC-02; ASM-01</w:t>
            </w:r>
          </w:p>
        </w:tc>
      </w:tr>
    </w:tbl>
    <w:p>
      <w:pPr>
        <w:pStyle w:val="Heading3"/>
      </w:pPr>
      <w:r>
        <w:t>SRS-FR-DOC-001 — Document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ingest PDF, DOCX, XLSX, CSV, TXT, and common image formats while preserving original bytes.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core evidence intake.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Upload representative formats and verify originals plus metadata.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F-DOC-001</w:t>
            </w:r>
          </w:p>
        </w:tc>
      </w:tr>
    </w:tbl>
    <w:p>
      <w:pPr>
        <w:pStyle w:val="Heading2"/>
      </w:pPr>
      <w:r>
        <w:t>6.3 Entity, Relationship and Asset</w:t>
      </w:r>
    </w:p>
    <w:p>
      <w:pPr>
        <w:pStyle w:val="Heading3"/>
      </w:pPr>
      <w:r>
        <w:t>SRS-FR-ENT-001 — Entity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canonical Entity records for person, organisation/company, account, wallet, address, domain, phone/email, government agency, and extensible types.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Provides reusable identity layer.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each baseline type and verify unique stable identifiers.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F-ENT-001; ENT-01</w:t>
            </w:r>
          </w:p>
        </w:tc>
      </w:tr>
    </w:tbl>
    <w:p>
      <w:pPr>
        <w:pStyle w:val="Heading3"/>
      </w:pPr>
      <w:r>
        <w:t>SRS-FR-ENT-002 — Aliases and identifiers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allow conflicting aliases/identifiers to coexist with separate provenance and status.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Preserves uncertainty and contradictory data.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Add conflicting identifiers and verify neither overwrites the other.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F-ENT-002</w:t>
            </w:r>
          </w:p>
        </w:tc>
      </w:tr>
    </w:tbl>
    <w:p>
      <w:pPr>
        <w:pStyle w:val="Heading3"/>
      </w:pPr>
      <w:r>
        <w:t>SRS-FR-ENT-003 — Candidate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present matching and conflicting features for possible duplicates before merge.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Reduces false entity consolidation.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similar entities and verify comparison view.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F-ENT-003; ENT-01</w:t>
            </w:r>
          </w:p>
        </w:tc>
      </w:tr>
    </w:tbl>
    <w:p>
      <w:pPr>
        <w:pStyle w:val="Heading3"/>
      </w:pPr>
      <w:r>
        <w:t>SRS-FR-ENT-004 — Merge and unmerge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evidence-based merge with rationale and SHALL support unmerge that restores prior records and relationships without erasing history.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analytical reversibility.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Merge then unmerge test entities; compare pre/post state and audit log.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F-ENT-004; AUD-01</w:t>
            </w:r>
          </w:p>
        </w:tc>
      </w:tr>
    </w:tbl>
    <w:p>
      <w:pPr>
        <w:pStyle w:val="Heading3"/>
      </w:pPr>
      <w:r>
        <w:t>SRS-FR-ENT-005 — Entity resolution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candidate, probable, confirmed, disputed, and unresolved statuses and SHALL expose status in search/graph views.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Keeps identity uncertainty visible.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Change status and verify graph/search labels.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F-ENT-005</w:t>
            </w:r>
          </w:p>
        </w:tc>
      </w:tr>
    </w:tbl>
    <w:p>
      <w:pPr>
        <w:pStyle w:val="Heading3"/>
      </w:pPr>
      <w:r>
        <w:t>SRS-FR-REL-001 — First-class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represent material relationships as canonical objects with type, endpoints, evidence, dates, confidence, status, and analyst.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graph-only unsupported edges.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relationship and trace from graph to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F-REL-001; REL-01</w:t>
            </w:r>
          </w:p>
        </w:tc>
      </w:tr>
    </w:tbl>
    <w:p>
      <w:pPr>
        <w:pStyle w:val="Heading3"/>
      </w:pPr>
      <w:r>
        <w:t>SRS-FR-REL-002 — Ownership interest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represent direct/indirect ownership with percentage or unknown, dates, and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beneficial-ownership analysis without fabricated zeroes.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unknown and numeric ownership records; verify semantics.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F-REL-002</w:t>
            </w:r>
          </w:p>
        </w:tc>
      </w:tr>
    </w:tbl>
    <w:p>
      <w:pPr>
        <w:pStyle w:val="Heading3"/>
      </w:pPr>
      <w:r>
        <w:t>SRS-FR-REL-003 — Control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distinguish legal ownership, beneficial ownership, control, use, and association.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Avoids collapsing materially different relationships.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each relation type and verify distinct UI/API representation.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F-REL-003; AST-01</w:t>
            </w:r>
          </w:p>
        </w:tc>
      </w:tr>
    </w:tbl>
    <w:p>
      <w:pPr>
        <w:pStyle w:val="Heading3"/>
      </w:pPr>
      <w:r>
        <w:t>SRS-FR-AST-001 — Asset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property, vehicle, shares, vessel, aircraft, crypto and extensible asset types with attribution type and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asset tracing.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asset with ownership and control assertions.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F-AST-001</w:t>
            </w:r>
          </w:p>
        </w:tc>
      </w:tr>
    </w:tbl>
    <w:p>
      <w:pPr>
        <w:pStyle w:val="Heading2"/>
      </w:pPr>
      <w:r>
        <w:t>6.4 Event, Timeline and Value Flow</w:t>
      </w:r>
    </w:p>
    <w:p>
      <w:pPr>
        <w:pStyle w:val="Heading3"/>
      </w:pPr>
      <w:r>
        <w:t>SRS-FR-TIM-001 — Event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store events with type, date/date-range, date precision, linked entities/assets, location where relevant, and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temporal analysis.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exact/approximate events and verify precision retained.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F-TIM-001</w:t>
            </w:r>
          </w:p>
        </w:tc>
      </w:tr>
    </w:tbl>
    <w:p>
      <w:pPr>
        <w:pStyle w:val="Heading3"/>
      </w:pPr>
      <w:r>
        <w:t>SRS-FR-TIM-002 — Visual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render filtered timelines for case/entity/asset and link each item to canonical event/evidence.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Enables chronological reconstruction.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Filter timeline and open source event.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F-TIM-002</w:t>
            </w:r>
          </w:p>
        </w:tc>
      </w:tr>
    </w:tbl>
    <w:p>
      <w:pPr>
        <w:pStyle w:val="Heading3"/>
      </w:pPr>
      <w:r>
        <w:t>SRS-FR-VAL-001 — Value-flow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require origin, destination, mechanism, value/range/unknown, currency where applicable, date/date-range, evidence, confidence, and mandatory flow_class.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Makes value movement explicit and qualified.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all four flow classes and verify mandatory fields.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F-VAL-001; VAL-01</w:t>
            </w:r>
          </w:p>
        </w:tc>
      </w:tr>
    </w:tbl>
    <w:p>
      <w:pPr>
        <w:pStyle w:val="Heading3"/>
      </w:pPr>
      <w:r>
        <w:t>SRS-FR-VAL-002 — Multi-leg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multi-leg value-flow chains in which every leg retains separate evidence, class, value, and confidence.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Avoids certainty inheritance across a chain.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3-leg mixed-class flow and inspect each leg.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F-VAL-002</w:t>
            </w:r>
          </w:p>
        </w:tc>
      </w:tr>
    </w:tbl>
    <w:p>
      <w:pPr>
        <w:pStyle w:val="Heading3"/>
      </w:pPr>
      <w:r>
        <w:t>SRS-FR-VAL-003 — Flow visualisation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visually distinguish DIRECT, DOCUMENTED, RECONSTRUCTED, and HYPOTHETICAL flows in interactive and exported views.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inference from looking like direct transaction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Export mixed-class flow and verify class distinction persists.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F-VAL-003</w:t>
            </w:r>
          </w:p>
        </w:tc>
      </w:tr>
    </w:tbl>
    <w:p>
      <w:pPr>
        <w:pStyle w:val="Heading3"/>
      </w:pPr>
      <w:r>
        <w:t>SRS-FR-VAL-004 — Unknown and ranges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represent unknown, minimum, maximum, and approximate values without coercing unknown to numeric zero.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Preserves uncertainty.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Store unknown/range values and inspect API/UI.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F-VAL-004</w:t>
            </w:r>
          </w:p>
        </w:tc>
      </w:tr>
    </w:tbl>
    <w:p>
      <w:pPr>
        <w:pStyle w:val="Heading2"/>
      </w:pPr>
      <w:r>
        <w:t>6.5 Typology, Hypothesis and Assessment</w:t>
      </w:r>
    </w:p>
    <w:p>
      <w:pPr>
        <w:pStyle w:val="Heading3"/>
      </w:pPr>
      <w:r>
        <w:t>SRS-FR-TYP-001 — Typology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expose versioned CS-AML typology entries with definition, mechanism, observables, indicators, counter-indicators, false positives, and references.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consistent analysis.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Open typology and verify version and fields.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F-TYP-001; TYP-01</w:t>
            </w:r>
          </w:p>
        </w:tc>
      </w:tr>
    </w:tbl>
    <w:p>
      <w:pPr>
        <w:pStyle w:val="Heading3"/>
      </w:pPr>
      <w:r>
        <w:t>SRS-FR-TYP-002 — Indicator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allow indicators and counter-indicators to link to evidence and analytical objects.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free-floating allegations.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indicator with evidence and verify assessment traceability.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F-TYP-002</w:t>
            </w:r>
          </w:p>
        </w:tc>
      </w:tr>
    </w:tbl>
    <w:p>
      <w:pPr>
        <w:pStyle w:val="Heading3"/>
      </w:pPr>
      <w:r>
        <w:t>SRS-FR-TYP-003 — Typology match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controlled consistency levels and SHALL prevent a single weak indicator from automatically creating a strong typology match.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Controls overstatement.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single weak indicator and verify no automatic strong match.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F-TYP-003</w:t>
            </w:r>
          </w:p>
        </w:tc>
      </w:tr>
    </w:tbl>
    <w:p>
      <w:pPr>
        <w:pStyle w:val="Heading3"/>
      </w:pPr>
      <w:r>
        <w:t>SRS-FR-HYP-001 — Competing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at least two competing hypotheses per material investigation where alternatives are plausible.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Reduces confirmation bias.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H1/H2 and link supporting/contradicting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F-HYP-001; HYP-01</w:t>
            </w:r>
          </w:p>
        </w:tc>
      </w:tr>
    </w:tbl>
    <w:p>
      <w:pPr>
        <w:pStyle w:val="Heading3"/>
      </w:pPr>
      <w:r>
        <w:t>SRS-FR-HYP-002 — Support and contradiction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store evidence/indicator effect on each hypothesis as support, contradiction, neutral, or unknown with analyst rationale.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Makes reasoning inspectable.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Populate matrix and verify every cell retains rationale/history.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F-HYP-002</w:t>
            </w:r>
          </w:p>
        </w:tc>
      </w:tr>
    </w:tbl>
    <w:p>
      <w:pPr>
        <w:pStyle w:val="Heading3"/>
      </w:pPr>
      <w:r>
        <w:t>SRS-FR-HYP-003 — Intelligence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maintain explicit intelligence gaps capable of affecting an assessment.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Keeps unknowns visible.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gap and include it in final assessment.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F-HYP-003; GAP-01</w:t>
            </w:r>
          </w:p>
        </w:tc>
      </w:tr>
    </w:tbl>
    <w:p>
      <w:pPr>
        <w:pStyle w:val="Heading3"/>
      </w:pPr>
      <w:r>
        <w:t>SRS-FR-ASM-001 —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store judgement, confidence, basis, alternatives, gaps, author, reviewer, and version.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Creates reproducible analytical product.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Create and revise assessment; verify version history.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F-ASM-001; ASM-01</w:t>
            </w:r>
          </w:p>
        </w:tc>
      </w:tr>
    </w:tbl>
    <w:p>
      <w:pPr>
        <w:pStyle w:val="Heading3"/>
      </w:pPr>
      <w:r>
        <w:t>SRS-FR-ASM-002 — Confidence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High, Moderate, Low, and Insufficient Basis (or configured equivalent) with rationale.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Avoids pseudo-precision.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Save each level and verify mandatory rationale.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F-ASM-002</w:t>
            </w:r>
          </w:p>
        </w:tc>
      </w:tr>
    </w:tbl>
    <w:p>
      <w:pPr>
        <w:pStyle w:val="Heading3"/>
      </w:pPr>
      <w:r>
        <w:t>SRS-FR-ASM-003 — Backward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allow a reviewer to traverse an assessment backward through hypotheses/indicators/facts/evidence/sources.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Core reproducibility requirement.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Select key assessment and trace to origin without external notes.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F-ASM-003</w:t>
            </w:r>
          </w:p>
        </w:tc>
      </w:tr>
    </w:tbl>
    <w:p>
      <w:pPr>
        <w:pStyle w:val="Heading2"/>
      </w:pPr>
      <w:r>
        <w:t>6.6 Search and Graph</w:t>
      </w:r>
    </w:p>
    <w:p>
      <w:pPr>
        <w:pStyle w:val="Heading3"/>
      </w:pPr>
      <w:r>
        <w:t>SRS-FR-SCH-001 — Full-text and object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search authorised cases, entities, sources, evidence metadata, extracts, assets, events, and products using full-text and structured filters.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investigation retrieval.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Search known fixture and verify expected scoped results.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F-SCH-001</w:t>
            </w:r>
          </w:p>
        </w:tc>
      </w:tr>
    </w:tbl>
    <w:p>
      <w:pPr>
        <w:pStyle w:val="Heading3"/>
      </w:pPr>
      <w:r>
        <w:t>SRS-FR-SCH-002 — Permission-filtered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apply object-level authorization before returning search results or counts.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existence leakage.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Compare user with/without access and verify hidden objects do not affect result counts.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F-SCH-002; SEC-01</w:t>
            </w:r>
          </w:p>
        </w:tc>
      </w:tr>
    </w:tbl>
    <w:p>
      <w:pPr>
        <w:pStyle w:val="Heading3"/>
      </w:pPr>
      <w:r>
        <w:t>SRS-FR-GRF-001 — Graph exploration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display authorised entities and canonical relationships with evidence/status/confidence access from each edge.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network analysis without hiding provenance.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Expand graph and open edge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F-GRF-001</w:t>
            </w:r>
          </w:p>
        </w:tc>
      </w:tr>
    </w:tbl>
    <w:p>
      <w:pPr>
        <w:pStyle w:val="Heading2"/>
      </w:pPr>
      <w:r>
        <w:t>6.7 Intelligence Product, Review and Dissemination</w:t>
      </w:r>
    </w:p>
    <w:p>
      <w:pPr>
        <w:pStyle w:val="Heading3"/>
      </w:pPr>
      <w:r>
        <w:t>SRS-FR-PRD-001 — Product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generate Financial Intelligence Note, Entity Profile, Asset Profile, Network Analysis, Referral Package, and Case Report from canonical objects.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Standardises outputs.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Generate each baseline template with metadata/evidence index.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F-PRD-001</w:t>
            </w:r>
          </w:p>
        </w:tc>
      </w:tr>
    </w:tbl>
    <w:p>
      <w:pPr>
        <w:pStyle w:val="Heading3"/>
      </w:pPr>
      <w:r>
        <w:t>SRS-FR-REV-001 — Peer review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comment, request-change, approve, and reject; high-impact approval SHALL be attributable and independent where policy requires.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Implements quality gate.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Author attempts self-approval under independent-review policy and is denied.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F-REV-001; QUA-01</w:t>
            </w:r>
          </w:p>
        </w:tc>
      </w:tr>
    </w:tbl>
    <w:p>
      <w:pPr>
        <w:pStyle w:val="Heading3"/>
      </w:pPr>
      <w:r>
        <w:t>SRS-FR-PRD-002 — Versioning and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preserve prior intelligence-product versions and mark superseded/corrected versions explicitly.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historical rewriting.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Issue correction and verify old version remains immutable/readable.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F-PRD-002; AUD-01</w:t>
            </w:r>
          </w:p>
        </w:tc>
      </w:tr>
    </w:tbl>
    <w:p>
      <w:pPr>
        <w:pStyle w:val="Heading3"/>
      </w:pPr>
      <w:r>
        <w:t>SRS-FR-PRD-003 —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generate an evidence/source index sufficient to trace every material fact/findings used in a product.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review and referral.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Generate product and click/resolve each material citation.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F-PRD-003</w:t>
            </w:r>
          </w:p>
        </w:tc>
      </w:tr>
    </w:tbl>
    <w:p>
      <w:pPr>
        <w:pStyle w:val="Heading3"/>
      </w:pPr>
      <w:r>
        <w:t>SRS-FR-DIS-001 — Dissemination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block external export until required handling classification, recipient, purpose, and approval are recorded.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Controls harm and confidentiality.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Attempt export before approval and verify denial.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F-DIS-001; DIS-01</w:t>
            </w:r>
          </w:p>
        </w:tc>
      </w:tr>
    </w:tbl>
    <w:p>
      <w:pPr>
        <w:pStyle w:val="Heading3"/>
      </w:pPr>
      <w:r>
        <w:t>SRS-FR-DIS-002 — Secure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export only explicitly approved objects and SHALL support minimisation/redaction.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accidental over-disclosure.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Export package and verify excluded restricted object is absent.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F-DIS-002; PRI-01</w:t>
            </w:r>
          </w:p>
        </w:tc>
      </w:tr>
    </w:tbl>
    <w:p>
      <w:pPr>
        <w:pStyle w:val="Heading3"/>
      </w:pPr>
      <w:r>
        <w:t>SRS-FR-DIS-003 — Referral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generate structured referral containing subjects, key facts, evidence references, timeline, value flows, indicators, gaps, confidence, and contact point.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Makes outputs actionable.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Generate referral and verify fact/analysis/unknown sections remain distinct.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F-DIS-003</w:t>
            </w:r>
          </w:p>
        </w:tc>
      </w:tr>
    </w:tbl>
    <w:p>
      <w:pPr>
        <w:pStyle w:val="Heading3"/>
      </w:pPr>
      <w:r>
        <w:t>SRS-FR-DIS-004 — Sharing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record recipient, product/version, date, purpose, restrictions, and approving user for every external dissemination.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Maintains accountability.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Share export and verify immutable log entry.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F-DIS-004; AUD-01</w:t>
            </w:r>
          </w:p>
        </w:tc>
      </w:tr>
    </w:tbl>
    <w:p>
      <w:pPr>
        <w:pStyle w:val="Heading2"/>
      </w:pPr>
      <w:r>
        <w:t>6.8 Administration, Security and Operations</w:t>
      </w:r>
    </w:p>
    <w:p>
      <w:pPr>
        <w:pStyle w:val="Heading3"/>
      </w:pPr>
      <w:r>
        <w:t>SRS-FR-ADM-001 — Controlled vocabularies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version relationship types, asset types, statuses, classifications, and other controlled vocabularies.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Preserves historical semantics.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Change label and verify historical record retains version context.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F-ADM-001</w:t>
            </w:r>
          </w:p>
        </w:tc>
      </w:tr>
    </w:tbl>
    <w:p>
      <w:pPr>
        <w:pStyle w:val="Heading3"/>
      </w:pPr>
      <w:r>
        <w:t>SRS-FR-ADM-003 — Retention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retention/disposition policy by object type/classification and SHALL audit disposition actions.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Implements data minimisation lifecycle.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Preview and execute test disposition with audit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F-ADM-003; PRI-02</w:t>
            </w:r>
          </w:p>
        </w:tc>
      </w:tr>
    </w:tbl>
    <w:p>
      <w:pPr>
        <w:pStyle w:val="Heading3"/>
      </w:pPr>
      <w:r>
        <w:t>SRS-FR-SEC-001 — OIDC and MFA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authenticate via OIDC-compatible identity provider and enforce MFA according to deployment policy.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Strong identity control.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Disable IdP user and verify access revoked; validate MFA path.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F-SEC-001</w:t>
            </w:r>
          </w:p>
        </w:tc>
      </w:tr>
    </w:tbl>
    <w:p>
      <w:pPr>
        <w:pStyle w:val="Heading3"/>
      </w:pPr>
      <w:r>
        <w:t>SRS-FR-SEC-002 — Role/object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enforce role, case membership, classification, and need-to-know at the API/service layer.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Core confidentiality requirement.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Direct API access to unauthorised object must return denial regardless of UI.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F-SEC-002; SEC-01</w:t>
            </w:r>
          </w:p>
        </w:tc>
      </w:tr>
    </w:tbl>
    <w:p>
      <w:pPr>
        <w:pStyle w:val="Heading3"/>
      </w:pPr>
      <w:r>
        <w:t>SRS-FR-SEC-003 — Protected-source compartment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store protected-source identity under separate authorization so analysts may use source-derived evidence without automatically seeing identity.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vulnerable sources.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Analyst can access derived evidence but not source identity.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F-SEC-003; SEC-02</w:t>
            </w:r>
          </w:p>
        </w:tc>
      </w:tr>
    </w:tbl>
    <w:p>
      <w:pPr>
        <w:pStyle w:val="Heading3"/>
      </w:pPr>
      <w:r>
        <w:t>SRS-FR-AUD-001 — Immutable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record material create/update/delete/merge/unmerge/review/export/access-policy actions and ordinary users SHALL NOT modify audit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accountability.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Attempt audit modification as ordinary user and verify denial.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F-AUD-001</w:t>
            </w:r>
          </w:p>
        </w:tc>
      </w:tr>
    </w:tbl>
    <w:p>
      <w:pPr>
        <w:pStyle w:val="Heading3"/>
      </w:pPr>
      <w:r>
        <w:t>SRS-FR-OPS-001 — Backup and 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back up canonical DB, evidence, configuration, and required keys/metadata using documented recovery procedures and SHALL support periodic restore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Provides recoverability.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Perform restore drill into isolated environment and document result.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/ P0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F-OPS-001</w:t>
            </w:r>
          </w:p>
        </w:tc>
      </w:tr>
    </w:tbl>
    <w:p>
      <w:pPr>
        <w:pStyle w:val="Heading1"/>
      </w:pPr>
      <w:r>
        <w:t>7. Data Requirements</w:t>
      </w:r>
    </w:p>
    <w:p>
      <w:pPr>
        <w:pStyle w:val="Heading3"/>
      </w:pPr>
      <w:r>
        <w:t>SRS-DR-001 — Canonical object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implement at minimum Case, Source, EvidenceItem, EvidenceExtract, Fact, Entity, Relationship, Asset, Event, ValueFlow, Indicator, TypologyMatch, Hypothesis, IntelligenceGap, Assessment, IntelligenceProduct, Review, Dissemination, and AuditEvent as durable domain objects.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Aligns SRS with canonical data model.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Schema review and CRUD contract tests for all required object types.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Data Model v0.1</w:t>
            </w:r>
          </w:p>
        </w:tc>
      </w:tr>
    </w:tbl>
    <w:p>
      <w:pPr>
        <w:pStyle w:val="Heading3"/>
      </w:pPr>
      <w:r>
        <w:t>SRS-DR-002 — Stable identifiers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Every canonical object SHALL have a stable, non-recycled identifier independent of display name.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audit and linking.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Rename object and verify identifier unchanged.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Data Model v0.1</w:t>
            </w:r>
          </w:p>
        </w:tc>
      </w:tr>
    </w:tbl>
    <w:p>
      <w:pPr>
        <w:pStyle w:val="Heading3"/>
      </w:pPr>
      <w:r>
        <w:t>SRS-DR-003 — Version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Material assessments, charters, products, vocabularies, and other configured material objects SHALL preserve version history.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historical overwrite.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Update object and retrieve prior version.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AUD-01</w:t>
            </w:r>
          </w:p>
        </w:tc>
      </w:tr>
    </w:tbl>
    <w:p>
      <w:pPr>
        <w:pStyle w:val="Heading3"/>
      </w:pPr>
      <w:r>
        <w:t>SRS-DR-004 — Temporal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Objects with temporal meaning SHALL support valid-time fields and precision/unknown semantics rather than forcing exact dates.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imperfect open-source data.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Store year-only and approximate event date.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Data Model v0.1</w:t>
            </w:r>
          </w:p>
        </w:tc>
      </w:tr>
    </w:tbl>
    <w:p>
      <w:pPr>
        <w:pStyle w:val="Heading3"/>
      </w:pPr>
      <w:r>
        <w:t>SRS-DR-005 — Provenance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Material facts, relationships, asset attributions, value-flow legs, indicators, and assessments SHALL reference supporting evidence and/or source objects.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Core evidentiary traceability.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Run orphan-proposition integrity check.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SRC-01; REL-01; VAL-01</w:t>
            </w:r>
          </w:p>
        </w:tc>
      </w:tr>
    </w:tbl>
    <w:p>
      <w:pPr>
        <w:pStyle w:val="Heading3"/>
      </w:pPr>
      <w:r>
        <w:t>SRS-DR-006 — Deletion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Deletion of canonical investigative objects SHALL be soft-delete/tombstone or equivalent where audit/history obligations require preservation; hard deletion SHALL be controlled by retention/disposition policy.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Balances history with minimisation.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Delete test object and verify policy-compliant behaviour.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PRI-02; AUD-01</w:t>
            </w:r>
          </w:p>
        </w:tc>
      </w:tr>
    </w:tbl>
    <w:p>
      <w:pPr>
        <w:pStyle w:val="Heading1"/>
      </w:pPr>
      <w:r>
        <w:t>8. External Interface Requirements</w:t>
      </w:r>
    </w:p>
    <w:p>
      <w:pPr>
        <w:pStyle w:val="Heading3"/>
      </w:pPr>
      <w:r>
        <w:t>SRS-IF-001 — Web user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MVP SHALL provide a responsive web interface for supported desktop browsers; mobile support MAY be read-only or limited.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Primary analyst workstation assumption.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Browser compatibility and viewport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PRD UX</w:t>
            </w:r>
          </w:p>
        </w:tc>
      </w:tr>
    </w:tbl>
    <w:p>
      <w:pPr>
        <w:pStyle w:val="Heading3"/>
      </w:pPr>
      <w:r>
        <w:t>SRS-IF-002 — REST/HTTP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expose versioned authenticated APIs for canonical objects and SHALL enforce identical authorization rules to the UI.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Enables integration and testability.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API contract tests plus authorization parity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SRS-IF-003 — OIDC identity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integrate with an OIDC-compatible provider for authentication and group/claim mapping.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Avoids custom password storage where possible.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IdP login/logout/disable/claim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SEC-01</w:t>
            </w:r>
          </w:p>
        </w:tc>
      </w:tr>
    </w:tbl>
    <w:p>
      <w:pPr>
        <w:pStyle w:val="Heading3"/>
      </w:pPr>
      <w:r>
        <w:t>SRS-IF-004 — Object/evidence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encrypted object/file storage for evidence and derivatives with immutable-original semantics.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Separates binary evidence from transactional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Upload/download/hash/permission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EVD-01</w:t>
            </w:r>
          </w:p>
        </w:tc>
      </w:tr>
    </w:tbl>
    <w:p>
      <w:pPr>
        <w:pStyle w:val="Heading3"/>
      </w:pPr>
      <w:r>
        <w:t>SRS-IF-005 — Export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PDF and machine-readable JSON/CSV where relevant for approved exports; exported analytical semantics SHALL preserve uncertainty/status/classification.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human and system recipients.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Round-trip test representative objects and inspect uncertainty fields.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DIS-01</w:t>
            </w:r>
          </w:p>
        </w:tc>
      </w:tr>
    </w:tbl>
    <w:p>
      <w:pPr>
        <w:pStyle w:val="Heading1"/>
      </w:pPr>
      <w:r>
        <w:t>9. Security and Privacy Requirements</w:t>
      </w:r>
    </w:p>
    <w:p>
      <w:pPr>
        <w:pStyle w:val="Heading3"/>
      </w:pPr>
      <w:r>
        <w:t>SRS-SEC-001 — Least privilege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All authenticated access SHALL default deny and be granted by explicit role/object policy.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Sensitive investigations require compartmentalisation.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Permission matrix tests including negative cases.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SEC-01</w:t>
            </w:r>
          </w:p>
        </w:tc>
      </w:tr>
    </w:tbl>
    <w:p>
      <w:pPr>
        <w:pStyle w:val="Heading3"/>
      </w:pPr>
      <w:r>
        <w:t>SRS-SEC-002 — Encryption in transit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All production HTTP/API traffic SHALL use TLS; plaintext administrative or application access SHALL be disabled except explicitly isolated development environments.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credentials and case data.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TLS configuration scan.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SRS-SEC-003 — Encryption at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Canonical databases, evidence stores, backups, and protected-source data SHALL use encryption at rest appropriate to deployment risk.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stolen media/snapshots.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Configuration and restore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SEC-02</w:t>
            </w:r>
          </w:p>
        </w:tc>
      </w:tr>
    </w:tbl>
    <w:p>
      <w:pPr>
        <w:pStyle w:val="Heading3"/>
      </w:pPr>
      <w:r>
        <w:t>SRS-SEC-004 — Secrets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Application secrets SHALL NOT be embedded in source code or container images and SHALL be stored/rotated through an approved secret-management mechanism.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Reduces credential leakage.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Repository/image scan and rotation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SRS-SEC-005 — Session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Sessions SHALL support idle timeout, absolute lifetime, revocation, and reauthentication for configured high-risk actions.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Reduces account takeover impact.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Session expiry/revocation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SEC-01</w:t>
            </w:r>
          </w:p>
        </w:tc>
      </w:tr>
    </w:tbl>
    <w:p>
      <w:pPr>
        <w:pStyle w:val="Heading3"/>
      </w:pPr>
      <w:r>
        <w:t>SRS-SEC-006 — Protected source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Protected-source identity SHALL be logically separated from routine case content and SHALL use a narrower permission set.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human sources.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Cross-role authorization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SEC-02</w:t>
            </w:r>
          </w:p>
        </w:tc>
      </w:tr>
    </w:tbl>
    <w:p>
      <w:pPr>
        <w:pStyle w:val="Heading3"/>
      </w:pPr>
      <w:r>
        <w:t>SRS-SEC-007 — Data minimisation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support classification, purpose/scope linkage, retention state, and controlled export so sensitive data can be minimised throughout the lifecycle.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Implements CSO privacy guardrails.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Retention/export/minimisation workflow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PRI-01; PRI-02</w:t>
            </w:r>
          </w:p>
        </w:tc>
      </w:tr>
    </w:tbl>
    <w:p>
      <w:pPr>
        <w:pStyle w:val="Heading3"/>
      </w:pPr>
      <w:r>
        <w:t>SRS-SEC-008 — Security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Security logs SHALL capture authentication, authorization failures, admin changes, and export events without unnecessarily recording evidence payloads or protected-source content.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Balances detection and confidentiality.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Log inspection with synthetic sensitive fields.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AUD-01</w:t>
            </w:r>
          </w:p>
        </w:tc>
      </w:tr>
    </w:tbl>
    <w:p>
      <w:pPr>
        <w:pStyle w:val="Heading1"/>
      </w:pPr>
      <w:r>
        <w:t>10. Audit and Provenance Requirements</w:t>
      </w:r>
    </w:p>
    <w:p>
      <w:pPr>
        <w:pStyle w:val="Heading3"/>
      </w:pPr>
      <w:r>
        <w:t>SRS-AUD-001 — Audit event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Material audit events SHALL include actor, action, object ID/type, timestamp, case/context when applicable, and before/after or change reference where appropriate.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Allows reconstruction.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Inspect representative audit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AUD-01</w:t>
            </w:r>
          </w:p>
        </w:tc>
      </w:tr>
    </w:tbl>
    <w:p>
      <w:pPr>
        <w:pStyle w:val="Heading3"/>
      </w:pPr>
      <w:r>
        <w:t>SRS-AUD-002 — Audit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Ordinary application users SHALL NOT alter or delete audit events. Administrative maintenance SHALL itself be logged.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tampering.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Role test and admin-maintenance audit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AUD-01</w:t>
            </w:r>
          </w:p>
        </w:tc>
      </w:tr>
    </w:tbl>
    <w:p>
      <w:pPr>
        <w:pStyle w:val="Heading3"/>
      </w:pPr>
      <w:r>
        <w:t>SRS-AUD-003 — Provenance traversal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system SHALL provide forward/backward traversal between Source, Evidence, derived artefacts, Facts, Indicators, Hypotheses, Assessments and Products.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Makes reasoning reviewable.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Traverse complete pilot-case chain.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ASM-003; EVD-02</w:t>
            </w:r>
          </w:p>
        </w:tc>
      </w:tr>
    </w:tbl>
    <w:p>
      <w:pPr>
        <w:pStyle w:val="Heading3"/>
      </w:pPr>
      <w:r>
        <w:t>SRS-AUD-004 — Merge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Entity merge/unmerge decisions SHALL record rationale, actor, timestamp, compared features, supporting evidence, and resulting mapping.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Critical identity-control history.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Merge/unmerge audit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ENT-01</w:t>
            </w:r>
          </w:p>
        </w:tc>
      </w:tr>
    </w:tbl>
    <w:p>
      <w:pPr>
        <w:pStyle w:val="Heading1"/>
      </w:pPr>
      <w:r>
        <w:t>11. Performance and Scalability</w:t>
      </w:r>
    </w:p>
    <w:p>
      <w:pPr>
        <w:pStyle w:val="Heading3"/>
      </w:pPr>
      <w:r>
        <w:t>SRS-NFR-PERF-001 — Interactive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For a reference MVP deployment, 95% of ordinary authenticated page/API reads SHOULD complete within 2 seconds excluding large file transfer, complex graph traversal, OCR, exports, and external connectors.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Usability baseline.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Load test reference dataset.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target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PRD NFR</w:t>
            </w:r>
          </w:p>
        </w:tc>
      </w:tr>
    </w:tbl>
    <w:p>
      <w:pPr>
        <w:pStyle w:val="Heading3"/>
      </w:pPr>
      <w:r>
        <w:t>SRS-NFR-PERF-002 — Search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Permission-filtered search SHOULD return first-page results within 3 seconds at reference MVP scale.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Analyst productivity.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Search benchmark under concurrent users.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target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CAP-10</w:t>
            </w:r>
          </w:p>
        </w:tc>
      </w:tr>
    </w:tbl>
    <w:p>
      <w:pPr>
        <w:pStyle w:val="Heading3"/>
      </w:pPr>
      <w:r>
        <w:t>SRS-NFR-PERF-003 — Upload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deployment SHALL define configurable maximum upload size and SHALL fail safely without partial canonical records when exceeded or interrupted.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Evidence reliability.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Boundary upload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target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F-DOC-001</w:t>
            </w:r>
          </w:p>
        </w:tc>
      </w:tr>
    </w:tbl>
    <w:p>
      <w:pPr>
        <w:pStyle w:val="Heading3"/>
      </w:pPr>
      <w:r>
        <w:t>SRS-NFR-PERF-004 — Reference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SHALL support at least 25 concurrent authenticated users, 100,000 canonical entities/relationships combined, and 100 GB evidence storage in a reference small-organisation deployment, subject to deployment profile tuning.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Provides engineering sizing target.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Synthetic scale/load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 target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1"/>
      </w:pPr>
      <w:r>
        <w:t>12. Reliability, Backup and Disaster Recovery</w:t>
      </w:r>
    </w:p>
    <w:p>
      <w:pPr>
        <w:pStyle w:val="Heading3"/>
      </w:pPr>
      <w:r>
        <w:t>SRS-NFR-REL-001 — Transactional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Canonical state changes that span related records SHALL use transactional or compensating mechanisms to avoid orphan/inconsistent material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data integrity.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Fault-injection transaction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Data Model</w:t>
            </w:r>
          </w:p>
        </w:tc>
      </w:tr>
    </w:tbl>
    <w:p>
      <w:pPr>
        <w:pStyle w:val="Heading3"/>
      </w:pPr>
      <w:r>
        <w:t>SRS-NFR-REL-002 — Backup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Backups SHALL include canonical DB, evidence metadata and files, configuration required for restore, and protected-source data according to classification.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Complete recovery.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Backup inventory review.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OPS-001</w:t>
            </w:r>
          </w:p>
        </w:tc>
      </w:tr>
    </w:tbl>
    <w:p>
      <w:pPr>
        <w:pStyle w:val="Heading3"/>
      </w:pPr>
      <w:r>
        <w:t>SRS-NFR-REL-003 — Restore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 restore procedure SHALL be executable into an isolated environment and SHOULD be tested at least quarterly for production deployments.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Proves recoverability.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Documented restore drill.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OPS-001</w:t>
            </w:r>
          </w:p>
        </w:tc>
      </w:tr>
    </w:tbl>
    <w:p>
      <w:pPr>
        <w:pStyle w:val="Heading3"/>
      </w:pPr>
      <w:r>
        <w:t>SRS-NFR-REL-004 — RPO/RTO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Deployment documentation SHALL declare target RPO and RTO. MVP reference target SHOULD be RPO ≤24h and RTO ≤8h unless organisational risk requires stricter objectives.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Makes resilience measurable.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DR plan review and timed restore.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1"/>
      </w:pPr>
      <w:r>
        <w:t>13. Search, Graph and Analytical Requirements</w:t>
      </w:r>
    </w:p>
    <w:p>
      <w:pPr>
        <w:pStyle w:val="Heading3"/>
      </w:pPr>
      <w:r>
        <w:t>SRS-AN-001 — Canonical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Search and graph stores SHALL be rebuildable projections from canonical objects and SHALL retain canonical object identifiers.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Avoids projection becoming truth source.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Delete/rebuild projection and compare object identity.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MVP/P1 where noted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SRS-AN-002 — Uncertainty propagation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Graph/search/analytics views SHALL display or expose material status/confidence/class fields used by the canonical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visual certainty inflation.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Inspect disputed entity and reconstructed flow in all views.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MVP/P1 where noted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SRS-AN-003 — Path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Any path/graph traversal result SHALL be presented as a path over existing relationships, not as proof of a direct relationship between endpoints.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inference misuse.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Path-result wording/UI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MVP/P1 where noted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TEC-02</w:t>
            </w:r>
          </w:p>
        </w:tc>
      </w:tr>
    </w:tbl>
    <w:p>
      <w:pPr>
        <w:pStyle w:val="Heading1"/>
      </w:pPr>
      <w:r>
        <w:t>14. AI and Automation Requirements</w:t>
      </w:r>
    </w:p>
    <w:p>
      <w:pPr>
        <w:pStyle w:val="Heading3"/>
      </w:pPr>
      <w:r>
        <w:t>SRS-AI-001 — Derived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AI/OCR/NLP-generated outputs SHALL be marked as derived/candidate material with model/tool version and source context when material.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automation from becoming evidence.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Generate candidate and inspect metadata.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unless AI disabled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TEC-01</w:t>
            </w:r>
          </w:p>
        </w:tc>
      </w:tr>
    </w:tbl>
    <w:p>
      <w:pPr>
        <w:pStyle w:val="Heading3"/>
      </w:pPr>
      <w:r>
        <w:t>SRS-AI-002 — Human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AI output SHALL NOT become a material fact, canonical entity merge, adverse assessment, or dissemination approval without explicit human verification.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Preserves accountability.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Attempt automated promotion and verify blocked state.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unless AI disabled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TEC-01</w:t>
            </w:r>
          </w:p>
        </w:tc>
      </w:tr>
    </w:tbl>
    <w:p>
      <w:pPr>
        <w:pStyle w:val="Heading3"/>
      </w:pPr>
      <w:r>
        <w:t>SRS-AI-003 — Authorization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AI services SHALL receive only content the invoking user/service is authorised to access; retrieval for AI SHALL enforce the same object policies.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cross-case leakage.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Prompt/AI retrieval authorization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unless AI disabled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SEC-01</w:t>
            </w:r>
          </w:p>
        </w:tc>
      </w:tr>
    </w:tbl>
    <w:p>
      <w:pPr>
        <w:pStyle w:val="Heading3"/>
      </w:pPr>
      <w:r>
        <w:t>SRS-AI-004 — Optional feature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AI assistance SHALL be disableable at deployment/environment level without breaking core investigative workflows.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Supports high-risk/offline environments.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Disable AI and execute MVP pilot case.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unless AI disabled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F-ADM-004</w:t>
            </w:r>
          </w:p>
        </w:tc>
      </w:tr>
    </w:tbl>
    <w:p>
      <w:pPr>
        <w:pStyle w:val="Heading1"/>
      </w:pPr>
      <w:r>
        <w:t>15. UX and Accessibility Requirements</w:t>
      </w:r>
    </w:p>
    <w:p>
      <w:pPr>
        <w:pStyle w:val="Heading3"/>
      </w:pPr>
      <w:r>
        <w:t>SRS-UX-001 — Evidence-first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Material analytical records SHALL expose a direct route to supporting evidence/source in no more than a small number of user actions.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Review efficiency.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Usability test with analyst.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PRD UX</w:t>
            </w:r>
          </w:p>
        </w:tc>
      </w:tr>
    </w:tbl>
    <w:p>
      <w:pPr>
        <w:pStyle w:val="Heading3"/>
      </w:pPr>
      <w:r>
        <w:t>SRS-UX-002 — Visible uncertainty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Candidate/disputed entities, inferred relationships, and reconstructed/hypothetical flows SHALL be visually distinguishable from confirmed/direct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Core analytical safety.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Visual regression/usability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SRS-UX-003 — Destructive action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Merge, unmerge, disposition, external export, and other high-impact actions SHALL require explicit confirmation and appropriate authorization.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Reduces accidental harm.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Negative/confirmation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Control Guide</w:t>
            </w:r>
          </w:p>
        </w:tc>
      </w:tr>
    </w:tbl>
    <w:p>
      <w:pPr>
        <w:pStyle w:val="Heading3"/>
      </w:pPr>
      <w:r>
        <w:t>SRS-UX-004 — Accessibility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Primary workflows SHOULD meet WCAG 2.2 AA principles where feasible, including keyboard navigation, labels, contrast, and non-colour-only meaning.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Inclusive use.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Automated plus manual accessibility checks.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Product requirement</w:t>
            </w:r>
          </w:p>
        </w:tc>
      </w:tr>
    </w:tbl>
    <w:p>
      <w:pPr>
        <w:pStyle w:val="Heading1"/>
      </w:pPr>
      <w:r>
        <w:t>16. Administration and Configuration</w:t>
      </w:r>
    </w:p>
    <w:p>
      <w:pPr>
        <w:pStyle w:val="Heading3"/>
      </w:pPr>
      <w:r>
        <w:t>SRS-ADM-001 — Policy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Admins SHALL configure classifications, role mappings, controlled vocabularies, retention rules, and feature flags without direct database editing.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Safe administration.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Admin UI/API configuration tests.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F-ADM-*</w:t>
            </w:r>
          </w:p>
        </w:tc>
      </w:tr>
    </w:tbl>
    <w:p>
      <w:pPr>
        <w:pStyle w:val="Heading3"/>
      </w:pPr>
      <w:r>
        <w:t>SRS-ADM-002 — Configuration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Material policy/configuration changes SHALL be versioned or audit-logged with actor/time.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Change accountability.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Change policy and inspect audit.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AUD-01</w:t>
            </w:r>
          </w:p>
        </w:tc>
      </w:tr>
    </w:tbl>
    <w:p>
      <w:pPr>
        <w:pStyle w:val="Heading3"/>
      </w:pPr>
      <w:r>
        <w:t>SRS-ADM-003 — No silent retroactive rewrite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Vocabulary/template changes SHALL NOT silently rewrite historical analytical meaning.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Preserves historical context.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Rename vocabulary and inspect old record semantics.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F-ADM-001</w:t>
            </w:r>
          </w:p>
        </w:tc>
      </w:tr>
    </w:tbl>
    <w:p>
      <w:pPr>
        <w:pStyle w:val="Heading1"/>
      </w:pPr>
      <w:r>
        <w:t>17. Interoperability and Integration</w:t>
      </w:r>
    </w:p>
    <w:p>
      <w:pPr>
        <w:pStyle w:val="Heading3"/>
      </w:pPr>
      <w:r>
        <w:t>SRS-INT-001 — Connector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Any external connector SHALL retain provider/source, remote identifier, retrieval timestamp, mapping version, and licence/terms metadata where relevant.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Makes enrichment attributable.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Connector fixture import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except architectural rule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SRC-01</w:t>
            </w:r>
          </w:p>
        </w:tc>
      </w:tr>
    </w:tbl>
    <w:p>
      <w:pPr>
        <w:pStyle w:val="Heading3"/>
      </w:pPr>
      <w:r>
        <w:t>SRS-INT-002 — No silent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Imported external entity candidates SHALL NOT silently merge into canonical entities solely because an external identifier or fuzzy match is returned.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external false positives.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Import ambiguous candidate and verify review required.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except architectural rule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ENT-01</w:t>
            </w:r>
          </w:p>
        </w:tc>
      </w:tr>
    </w:tbl>
    <w:p>
      <w:pPr>
        <w:pStyle w:val="Heading3"/>
      </w:pPr>
      <w:r>
        <w:t>SRS-INT-003 — FollowTheMoney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Where implemented, FollowTheMoney import/export SHALL preserve unmapped CS-AML fields and mapping-version metadata.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Maintains interoperability without semantic loss.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Round-trip mapping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except architectural rule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F-INT-003</w:t>
            </w:r>
          </w:p>
        </w:tc>
      </w:tr>
    </w:tbl>
    <w:p>
      <w:pPr>
        <w:pStyle w:val="Heading3"/>
      </w:pPr>
      <w:r>
        <w:t>SRS-INT-004 — Projection connectors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Graph/search integrations SHALL be rebuildable and SHALL not own unique canonical analytical facts.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Architectural consistency.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Projection rebuild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P1 except architectural rule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1"/>
      </w:pPr>
      <w:r>
        <w:t>18. Deployment and Operations</w:t>
      </w:r>
    </w:p>
    <w:p>
      <w:pPr>
        <w:pStyle w:val="Heading3"/>
      </w:pPr>
      <w:r>
        <w:t>SRS-OPS-001 — Containerised/reference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 reference deployment SHOULD be reproducible using containerised or equivalent declarative deployment artefacts with environment-specific secrets externalised.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Repeatable operations.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Fresh deployment from documentation.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Technology Architecture</w:t>
            </w:r>
          </w:p>
        </w:tc>
      </w:tr>
    </w:tbl>
    <w:p>
      <w:pPr>
        <w:pStyle w:val="Heading3"/>
      </w:pPr>
      <w:r>
        <w:t>SRS-OPS-002 — Health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Application services SHALL provide health/readiness indicators that do not reveal case-sensitive content.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Operational monitoring.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Health endpoint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OPS</w:t>
            </w:r>
          </w:p>
        </w:tc>
      </w:tr>
    </w:tbl>
    <w:p>
      <w:pPr>
        <w:pStyle w:val="Heading3"/>
      </w:pPr>
      <w:r>
        <w:t>SRS-OPS-003 — Migration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Schema migrations SHALL be versioned, reversible where practical, and tested against representative backup data before production application.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Protects canonical records.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Migration dry-run/rollback test.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Data Model</w:t>
            </w:r>
          </w:p>
        </w:tc>
      </w:tr>
    </w:tbl>
    <w:p>
      <w:pPr>
        <w:pStyle w:val="Heading3"/>
      </w:pPr>
      <w:r>
        <w:t>SRS-OPS-004 — Observability minimisation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Metrics/logs/traces SHALL avoid storing evidence bodies, protected-source identity, or other case-sensitive payloads unless explicitly required and protected.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Prevents telemetry leakage.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Telemetry inspection.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1944"/>
            <w:shd w:fill="E7E6E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sz w:val="17"/>
              </w:rPr>
              <w:t>Traceability</w:t>
            </w:r>
          </w:p>
        </w:tc>
        <w:tc>
          <w:tcPr>
            <w:tcW w:type="dxa" w:w="82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SEC-02</w:t>
            </w:r>
          </w:p>
        </w:tc>
      </w:tr>
    </w:tbl>
    <w:p>
      <w:pPr>
        <w:pStyle w:val="Heading1"/>
      </w:pPr>
      <w:r>
        <w:t>19. Verification and Acceptance</w:t>
      </w:r>
    </w:p>
    <w:p>
      <w:r>
        <w:t>Each mandatory requirement SHALL be verifiable by one or more of: automated unit/integration/API test, security test, data-integrity test, UI acceptance test, operational drill, or structured manual review. A requirement is not complete merely because code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86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Verification method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V1</w:t>
            </w:r>
          </w:p>
        </w:tc>
        <w:tc>
          <w:tcPr>
            <w:tcW w:type="dxa" w:w="86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Automated functional/API test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V2</w:t>
            </w:r>
          </w:p>
        </w:tc>
        <w:tc>
          <w:tcPr>
            <w:tcW w:type="dxa" w:w="86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Authorization/security negative test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V3</w:t>
            </w:r>
          </w:p>
        </w:tc>
        <w:tc>
          <w:tcPr>
            <w:tcW w:type="dxa" w:w="86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Data integrity/schema/provenance test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V4</w:t>
            </w:r>
          </w:p>
        </w:tc>
        <w:tc>
          <w:tcPr>
            <w:tcW w:type="dxa" w:w="86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UI/usability acceptance test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V5</w:t>
            </w:r>
          </w:p>
        </w:tc>
        <w:tc>
          <w:tcPr>
            <w:tcW w:type="dxa" w:w="86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Operational backup/restore/deployment drill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V6</w:t>
            </w:r>
          </w:p>
        </w:tc>
        <w:tc>
          <w:tcPr>
            <w:tcW w:type="dxa" w:w="86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8"/>
              </w:rPr>
              <w:t>Structured reviewer sign-off</w:t>
            </w:r>
          </w:p>
        </w:tc>
      </w:tr>
    </w:tbl>
    <w:p>
      <w:pPr>
        <w:pStyle w:val="Heading1"/>
      </w:pPr>
      <w:r>
        <w:t>20.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5"/>
              </w:rPr>
              <w:t>SRS family</w:t>
            </w:r>
          </w:p>
        </w:tc>
        <w:tc>
          <w:tcPr>
            <w:tcW w:type="dxa" w:w="24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5"/>
              </w:rPr>
              <w:t>Upstream product</w:t>
            </w:r>
          </w:p>
        </w:tc>
        <w:tc>
          <w:tcPr>
            <w:tcW w:type="dxa" w:w="24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5"/>
              </w:rPr>
              <w:t>Framework/control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5"/>
              </w:rPr>
              <w:t>Canonical data</w:t>
            </w:r>
          </w:p>
        </w:tc>
        <w:tc>
          <w:tcPr>
            <w:tcW w:type="dxa" w:w="129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  <w:sz w:val="15"/>
              </w:rPr>
              <w:t>Primary test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CASE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F-CASE-*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GOV-01/CAS-01/CAS-02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Case, Review, AuditEvent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V1/V6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EVD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F-EVD-*/F-DOC-001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SRC-01/SRC-02/EVD-01/EVD-02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Source, EvidenceItem, EvidenceExtract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V1/V3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ENT/REL/AST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F-ENT-*/F-REL-*/F-AST-001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ENT-01/REL-01/AST-01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Entity, Relationship, Asset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V1/V3/V4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TIM/VAL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F-TIM-*/F-VAL-*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REL-01/VAL-01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Event, ValueFlow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V1/V3/V4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TYP/HYP/ASM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F-TYP-*/F-HYP-*/F-ASM-*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TYP-01/HYP-01/HYP-02/ASM-01/GAP-01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Indicator, TypologyMatch, Hypothesis, Assessment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V1/V4/V6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PRD/REV/DIS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F-PRD-*/F-REV-001/F-DIS-*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QUA-01/DIS-01/PRI-01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IntelligenceProduct, Review, Dissemination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V1/V2/V6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SEC/AUD/OPS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F-SEC-*/F-AUD-001/F-OPS-001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SEC-01/SEC-02/AUD-01/PRI-02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AccessPolicy, AuditEvent, BackupRecord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  <w:t>V2/V5</w:t>
            </w:r>
          </w:p>
        </w:tc>
      </w:tr>
    </w:tbl>
    <w:p>
      <w:pPr>
        <w:pStyle w:val="Heading1"/>
      </w:pPr>
      <w:r>
        <w:t>21. MVP Release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7365D"/>
                <w:sz w:val="21"/>
              </w:rPr>
              <w:t>Release gate</w:t>
              <w:br/>
            </w:r>
            <w:r>
              <w:rPr>
                <w:sz w:val="20"/>
              </w:rPr>
              <w:t>MVP 0.1 SHALL NOT be declared production-ready until the end-to-end pilot scenario passes with provenance, authorization, audit, review, and export controls intact.</w:t>
            </w:r>
          </w:p>
        </w:tc>
      </w:tr>
    </w:tbl>
    <w:p>
      <w:pPr>
        <w:spacing w:after="0"/>
      </w:pPr>
    </w:p>
    <w:p>
      <w:pPr>
        <w:pStyle w:val="ListBullet"/>
      </w:pPr>
      <w:r>
        <w:t>A case can be opened only with accountable owner and valid charter.</w:t>
      </w:r>
    </w:p>
    <w:p>
      <w:pPr>
        <w:pStyle w:val="ListBullet"/>
      </w:pPr>
      <w:r>
        <w:t>Evidence originals and derivatives are separable and integrity-protected.</w:t>
      </w:r>
    </w:p>
    <w:p>
      <w:pPr>
        <w:pStyle w:val="ListBullet"/>
      </w:pPr>
      <w:r>
        <w:t>At least one entity merge/unmerge is demonstrated without history loss.</w:t>
      </w:r>
    </w:p>
    <w:p>
      <w:pPr>
        <w:pStyle w:val="ListBullet"/>
      </w:pPr>
      <w:r>
        <w:t>Ownership/control/asset and mixed-class value flows are represented without semantic collapse.</w:t>
      </w:r>
    </w:p>
    <w:p>
      <w:pPr>
        <w:pStyle w:val="ListBullet"/>
      </w:pPr>
      <w:r>
        <w:t>At least two competing hypotheses are tested using supporting and contradicting evidence.</w:t>
      </w:r>
    </w:p>
    <w:p>
      <w:pPr>
        <w:pStyle w:val="ListBullet"/>
      </w:pPr>
      <w:r>
        <w:t>An assessment is confidence-rated and backward traceable to sources.</w:t>
      </w:r>
    </w:p>
    <w:p>
      <w:pPr>
        <w:pStyle w:val="ListBullet"/>
      </w:pPr>
      <w:r>
        <w:t>Independent peer review is completed.</w:t>
      </w:r>
    </w:p>
    <w:p>
      <w:pPr>
        <w:pStyle w:val="ListBullet"/>
      </w:pPr>
      <w:r>
        <w:t>External export is blocked until dissemination approval.</w:t>
      </w:r>
    </w:p>
    <w:p>
      <w:pPr>
        <w:pStyle w:val="ListBullet"/>
      </w:pPr>
      <w:r>
        <w:t>Audit trail captures all material actions.</w:t>
      </w:r>
    </w:p>
    <w:p>
      <w:pPr>
        <w:pStyle w:val="ListBullet"/>
      </w:pPr>
      <w:r>
        <w:t>Backup restore drill succeeds in an isolated environment.</w:t>
      </w:r>
    </w:p>
    <w:p>
      <w:pPr>
        <w:pStyle w:val="Heading1"/>
      </w:pPr>
      <w:r>
        <w:t>Annex A — Requirement ID Taxonomy</w:t>
      </w:r>
    </w:p>
    <w:p>
      <w:pPr>
        <w:pStyle w:val="ListBullet"/>
      </w:pPr>
      <w:r>
        <w:t>SRS-FR-* Functional requirements</w:t>
      </w:r>
    </w:p>
    <w:p>
      <w:pPr>
        <w:pStyle w:val="ListBullet"/>
      </w:pPr>
      <w:r>
        <w:t>SRS-DR-* Data requirements</w:t>
      </w:r>
    </w:p>
    <w:p>
      <w:pPr>
        <w:pStyle w:val="ListBullet"/>
      </w:pPr>
      <w:r>
        <w:t>SRS-IF-* External interfaces</w:t>
      </w:r>
    </w:p>
    <w:p>
      <w:pPr>
        <w:pStyle w:val="ListBullet"/>
      </w:pPr>
      <w:r>
        <w:t>SRS-SEC-* Security/privacy</w:t>
      </w:r>
    </w:p>
    <w:p>
      <w:pPr>
        <w:pStyle w:val="ListBullet"/>
      </w:pPr>
      <w:r>
        <w:t>SRS-AUD-* Audit/provenance</w:t>
      </w:r>
    </w:p>
    <w:p>
      <w:pPr>
        <w:pStyle w:val="ListBullet"/>
      </w:pPr>
      <w:r>
        <w:t>SRS-NFR-PERF-* Performance</w:t>
      </w:r>
    </w:p>
    <w:p>
      <w:pPr>
        <w:pStyle w:val="ListBullet"/>
      </w:pPr>
      <w:r>
        <w:t>SRS-NFR-REL-* Reliability</w:t>
      </w:r>
    </w:p>
    <w:p>
      <w:pPr>
        <w:pStyle w:val="ListBullet"/>
      </w:pPr>
      <w:r>
        <w:t>SRS-AN-* Search/graph/analytics</w:t>
      </w:r>
    </w:p>
    <w:p>
      <w:pPr>
        <w:pStyle w:val="ListBullet"/>
      </w:pPr>
      <w:r>
        <w:t>SRS-AI-* AI/automation</w:t>
      </w:r>
    </w:p>
    <w:p>
      <w:pPr>
        <w:pStyle w:val="ListBullet"/>
      </w:pPr>
      <w:r>
        <w:t>SRS-UX-* UX/accessibility</w:t>
      </w:r>
    </w:p>
    <w:p>
      <w:pPr>
        <w:pStyle w:val="ListBullet"/>
      </w:pPr>
      <w:r>
        <w:t>SRS-ADM-* Administration</w:t>
      </w:r>
    </w:p>
    <w:p>
      <w:pPr>
        <w:pStyle w:val="ListBullet"/>
      </w:pPr>
      <w:r>
        <w:t>SRS-INT-* Integration</w:t>
      </w:r>
    </w:p>
    <w:p>
      <w:pPr>
        <w:pStyle w:val="ListBullet"/>
      </w:pPr>
      <w:r>
        <w:t>SRS-OPS-* Deployment/operations</w:t>
      </w:r>
    </w:p>
    <w:p>
      <w:pPr>
        <w:pStyle w:val="Heading1"/>
      </w:pPr>
      <w:r>
        <w:t>Annex B — State Models</w:t>
      </w:r>
    </w:p>
    <w:p>
      <w:pPr>
        <w:pStyle w:val="CodeBlock"/>
      </w:pPr>
      <w:r>
        <w:t>Case: DRAFT → TRIAGE → ACTIVE → REVIEW → APPROVED/CLOSED → MONITORING → REOPENED</w:t>
      </w:r>
    </w:p>
    <w:p>
      <w:pPr>
        <w:pStyle w:val="CodeBlock"/>
      </w:pPr>
      <w:r>
        <w:t>Entity resolution: CANDIDATE → PROBABLE → CONFIRMED | DISPUTED | UNRESOLVED</w:t>
      </w:r>
    </w:p>
    <w:p>
      <w:pPr>
        <w:pStyle w:val="CodeBlock"/>
      </w:pPr>
      <w:r>
        <w:t>Intelligence product: DRAFT → IN_REVIEW → CHANGES_REQUESTED → APPROVED → DISSEMINATED → SUPERSEDED/CORRECTED</w:t>
      </w:r>
    </w:p>
    <w:p>
      <w:pPr>
        <w:pStyle w:val="CodeBlock"/>
      </w:pPr>
      <w:r>
        <w:t>Hypothesis: OPEN → SUPPORTED | WEAKENED | REJECTED | INCONCLUSIVE</w:t>
      </w:r>
    </w:p>
    <w:p>
      <w:pPr>
        <w:pStyle w:val="Heading1"/>
      </w:pPr>
      <w:r>
        <w:t>Annex C — API Resource Baseline</w:t>
      </w:r>
    </w:p>
    <w:p>
      <w:pPr>
        <w:pStyle w:val="ListBullet"/>
      </w:pPr>
      <w:r>
        <w:t>/cases</w:t>
      </w:r>
    </w:p>
    <w:p>
      <w:pPr>
        <w:pStyle w:val="ListBullet"/>
      </w:pPr>
      <w:r>
        <w:t>/sources</w:t>
      </w:r>
    </w:p>
    <w:p>
      <w:pPr>
        <w:pStyle w:val="ListBullet"/>
      </w:pPr>
      <w:r>
        <w:t>/evidence</w:t>
      </w:r>
    </w:p>
    <w:p>
      <w:pPr>
        <w:pStyle w:val="ListBullet"/>
      </w:pPr>
      <w:r>
        <w:t>/evidence-extracts</w:t>
      </w:r>
    </w:p>
    <w:p>
      <w:pPr>
        <w:pStyle w:val="ListBullet"/>
      </w:pPr>
      <w:r>
        <w:t>/entities</w:t>
      </w:r>
    </w:p>
    <w:p>
      <w:pPr>
        <w:pStyle w:val="ListBullet"/>
      </w:pPr>
      <w:r>
        <w:t>/relationships</w:t>
      </w:r>
    </w:p>
    <w:p>
      <w:pPr>
        <w:pStyle w:val="ListBullet"/>
      </w:pPr>
      <w:r>
        <w:t>/assets</w:t>
      </w:r>
    </w:p>
    <w:p>
      <w:pPr>
        <w:pStyle w:val="ListBullet"/>
      </w:pPr>
      <w:r>
        <w:t>/events</w:t>
      </w:r>
    </w:p>
    <w:p>
      <w:pPr>
        <w:pStyle w:val="ListBullet"/>
      </w:pPr>
      <w:r>
        <w:t>/value-flows</w:t>
      </w:r>
    </w:p>
    <w:p>
      <w:pPr>
        <w:pStyle w:val="ListBullet"/>
      </w:pPr>
      <w:r>
        <w:t>/indicators</w:t>
      </w:r>
    </w:p>
    <w:p>
      <w:pPr>
        <w:pStyle w:val="ListBullet"/>
      </w:pPr>
      <w:r>
        <w:t>/typologies</w:t>
      </w:r>
    </w:p>
    <w:p>
      <w:pPr>
        <w:pStyle w:val="ListBullet"/>
      </w:pPr>
      <w:r>
        <w:t>/hypotheses</w:t>
      </w:r>
    </w:p>
    <w:p>
      <w:pPr>
        <w:pStyle w:val="ListBullet"/>
      </w:pPr>
      <w:r>
        <w:t>/gaps</w:t>
      </w:r>
    </w:p>
    <w:p>
      <w:pPr>
        <w:pStyle w:val="ListBullet"/>
      </w:pPr>
      <w:r>
        <w:t>/assessments</w:t>
      </w:r>
    </w:p>
    <w:p>
      <w:pPr>
        <w:pStyle w:val="ListBullet"/>
      </w:pPr>
      <w:r>
        <w:t>/products</w:t>
      </w:r>
    </w:p>
    <w:p>
      <w:pPr>
        <w:pStyle w:val="ListBullet"/>
      </w:pPr>
      <w:r>
        <w:t>/reviews</w:t>
      </w:r>
    </w:p>
    <w:p>
      <w:pPr>
        <w:pStyle w:val="ListBullet"/>
      </w:pPr>
      <w:r>
        <w:t>/disseminations</w:t>
      </w:r>
    </w:p>
    <w:p>
      <w:pPr>
        <w:pStyle w:val="ListBullet"/>
      </w:pPr>
      <w:r>
        <w:t>/audit-events</w:t>
      </w:r>
    </w:p>
    <w:p>
      <w:pPr>
        <w:pStyle w:val="ListBullet"/>
      </w:pPr>
      <w:r>
        <w:t>/search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7365D"/>
                <w:sz w:val="21"/>
              </w:rPr>
              <w:t>API rule</w:t>
              <w:br/>
            </w:r>
            <w:r>
              <w:rPr>
                <w:sz w:val="20"/>
              </w:rPr>
              <w:t>Resource naming is informative; exact REST/GraphQL design may vary. Authorization semantics, stable identifiers, provenance, and uncertainty preservation are normative.</w:t>
            </w:r>
          </w:p>
        </w:tc>
      </w:tr>
    </w:tbl>
    <w:p>
      <w:pPr>
        <w:spacing w:after="0"/>
      </w:pPr>
    </w:p>
    <w:p>
      <w:pPr>
        <w:pStyle w:val="Heading1"/>
      </w:pPr>
      <w:r>
        <w:t>Annex D — Test Scenario Baseline</w:t>
      </w:r>
    </w:p>
    <w:p>
      <w:pPr>
        <w:pStyle w:val="ListNumber"/>
      </w:pPr>
      <w:r>
        <w:t>Create a high-sensitivity case and charter.</w:t>
      </w:r>
    </w:p>
    <w:p>
      <w:pPr>
        <w:pStyle w:val="ListNumber"/>
      </w:pPr>
      <w:r>
        <w:t>Register two public sources and upload three evidence files; hash originals.</w:t>
      </w:r>
    </w:p>
    <w:p>
      <w:pPr>
        <w:pStyle w:val="ListNumber"/>
      </w:pPr>
      <w:r>
        <w:t>Create evidence extracts and one OCR derivative.</w:t>
      </w:r>
    </w:p>
    <w:p>
      <w:pPr>
        <w:pStyle w:val="ListNumber"/>
      </w:pPr>
      <w:r>
        <w:t>Create two similar company records, evaluate candidate match, merge, then unmerge one test cycle.</w:t>
      </w:r>
    </w:p>
    <w:p>
      <w:pPr>
        <w:pStyle w:val="ListNumber"/>
      </w:pPr>
      <w:r>
        <w:t>Create Person, Company, Property and Contract entities plus ownership/control relationships.</w:t>
      </w:r>
    </w:p>
    <w:p>
      <w:pPr>
        <w:pStyle w:val="ListNumber"/>
      </w:pPr>
      <w:r>
        <w:t>Add timeline events for incorporation, contract award, property acquisition and ownership change.</w:t>
      </w:r>
    </w:p>
    <w:p>
      <w:pPr>
        <w:pStyle w:val="ListNumber"/>
      </w:pPr>
      <w:r>
        <w:t>Create a four-leg value flow containing DIRECT, DOCUMENTED, RECONSTRUCTED and HYPOTHETICAL legs.</w:t>
      </w:r>
    </w:p>
    <w:p>
      <w:pPr>
        <w:pStyle w:val="ListNumber"/>
      </w:pPr>
      <w:r>
        <w:t>Map two indicators and one counter-indicator to a typology.</w:t>
      </w:r>
    </w:p>
    <w:p>
      <w:pPr>
        <w:pStyle w:val="ListNumber"/>
      </w:pPr>
      <w:r>
        <w:t>Create two competing hypotheses and record supporting/contradicting evidence.</w:t>
      </w:r>
    </w:p>
    <w:p>
      <w:pPr>
        <w:pStyle w:val="ListNumber"/>
      </w:pPr>
      <w:r>
        <w:t>Create assessment with Moderate confidence and two intelligence gaps.</w:t>
      </w:r>
    </w:p>
    <w:p>
      <w:pPr>
        <w:pStyle w:val="ListNumber"/>
      </w:pPr>
      <w:r>
        <w:t>Generate intelligence product, submit to independent reviewer, address change request, approve.</w:t>
      </w:r>
    </w:p>
    <w:p>
      <w:pPr>
        <w:pStyle w:val="ListNumber"/>
      </w:pPr>
      <w:r>
        <w:t>Attempt export before approval (must fail), then approve dissemination and export.</w:t>
      </w:r>
    </w:p>
    <w:p>
      <w:pPr>
        <w:pStyle w:val="ListNumber"/>
      </w:pPr>
      <w:r>
        <w:t>Verify sharing log and audit history.</w:t>
      </w:r>
    </w:p>
    <w:p>
      <w:pPr>
        <w:pStyle w:val="ListNumber"/>
      </w:pPr>
      <w:r>
        <w:t>Restore the case from backup into isolated environment and verify object/evidence hashes.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CS-AML Software Requirements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8"/>
    </w:rPr>
  </w:style>
  <w:style w:type="paragraph" w:customStyle="1" w:styleId="CodeBlock">
    <w:name w:val="CodeBlock"/>
    <w:rPr>
      <w:rFonts w:ascii="Aptos Mono" w:hAnsi="Apto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