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pPr>
      <w:r>
        <w:rPr>
          <w:b/>
          <w:i w:val="0"/>
          <w:color w:val="1F4E79"/>
          <w:sz w:val="28"/>
        </w:rPr>
        <w:t>CS-AML</w:t>
      </w:r>
    </w:p>
    <w:p>
      <w:pPr>
        <w:spacing w:after="100" w:line="259" w:lineRule="auto"/>
      </w:pPr>
      <w:r>
        <w:rPr>
          <w:b/>
          <w:i w:val="0"/>
          <w:color w:val="1F354A"/>
          <w:sz w:val="56"/>
        </w:rPr>
        <w:t>Technology Architecture</w:t>
      </w:r>
    </w:p>
    <w:p>
      <w:pPr>
        <w:spacing w:after="100" w:line="259" w:lineRule="auto"/>
      </w:pPr>
      <w:r>
        <w:rPr>
          <w:b w:val="0"/>
          <w:i w:val="0"/>
          <w:color w:val="546978"/>
          <w:sz w:val="30"/>
        </w:rPr>
        <w:t>Version 0.1</w:t>
      </w:r>
    </w:p>
    <w:p>
      <w:pPr>
        <w:spacing w:after="100" w:line="259" w:lineRule="auto"/>
      </w:pPr>
      <w:r>
        <w:rPr>
          <w:b w:val="0"/>
          <w:i/>
          <w:color w:val="646E78"/>
          <w:sz w:val="22"/>
        </w:rPr>
        <w:t>Normative derivative specification</w:t>
      </w:r>
    </w:p>
    <w:p>
      <w:pPr>
        <w:spacing w:after="100" w:line="259" w:lineRule="auto"/>
      </w:pPr>
      <w:r>
        <w:rPr>
          <w:b/>
          <w:i w:val="0"/>
          <w:sz w:val="24"/>
        </w:rPr>
        <w:t>Civil Society Financial Intelligence / AML Investigation Framework</w:t>
      </w:r>
    </w:p>
    <w:tbl>
      <w:tblPr>
        <w:tblStyle w:val="TableGrid"/>
        <w:tblW w:type="auto" w:w="0"/>
        <w:jc w:val="center"/>
        <w:tblLook w:firstColumn="1" w:firstRow="1" w:lastColumn="0" w:lastRow="0" w:noHBand="0" w:noVBand="1" w:val="04A0"/>
      </w:tblPr>
      <w:tblGrid>
        <w:gridCol w:w="10080"/>
      </w:tblGrid>
      <w:tr>
        <w:tc>
          <w:tcPr>
            <w:tcW w:type="dxa" w:w="10080"/>
            <w:shd w:fill="EAF2F8"/>
            <w:tcMar>
              <w:top w:w="150" w:type="dxa"/>
              <w:start w:w="160" w:type="dxa"/>
              <w:bottom w:w="150" w:type="dxa"/>
              <w:end w:w="160" w:type="dxa"/>
            </w:tcMar>
          </w:tcPr>
          <w:p>
            <w:r>
              <w:rPr>
                <w:b/>
                <w:color w:val="1F4E79"/>
                <w:sz w:val="20"/>
              </w:rPr>
              <w:t>Architectural axiom</w:t>
              <w:br/>
            </w:r>
            <w:r>
              <w:rPr>
                <w:sz w:val="19"/>
              </w:rPr>
              <w:t>Technology SHALL preserve analytical uncertainty rather than erase it. Direct evidence, reconstructed value flow, inference, hypothesis, and assessment MUST remain distinguishable in storage, API responses, search, visualisation, automation, and exported intelligence products.</w:t>
            </w:r>
          </w:p>
        </w:tc>
      </w:tr>
    </w:tbl>
    <w:p>
      <w:pPr>
        <w:spacing w:after="20"/>
      </w:pPr>
    </w:p>
    <w:tbl>
      <w:tblPr>
        <w:tblStyle w:val="TableGrid"/>
        <w:tblW w:type="auto" w:w="0"/>
        <w:jc w:val="center"/>
        <w:tblLook w:firstColumn="1" w:firstRow="1" w:lastColumn="0" w:lastRow="0" w:noHBand="0" w:noVBand="1" w:val="04A0"/>
      </w:tblPr>
      <w:tblGrid>
        <w:gridCol w:w="5040"/>
        <w:gridCol w:w="5040"/>
      </w:tblGrid>
      <w:tr>
        <w:tc>
          <w:tcPr>
            <w:tcW w:type="dxa" w:w="2304"/>
            <w:shd w:fill="1F4E79"/>
            <w:vAlign w:val="center"/>
            <w:tcMar>
              <w:top w:w="90" w:type="dxa"/>
              <w:start w:w="110" w:type="dxa"/>
              <w:bottom w:w="90" w:type="dxa"/>
              <w:end w:w="110" w:type="dxa"/>
            </w:tcMar>
          </w:tcPr>
          <w:p>
            <w:r>
              <w:rPr>
                <w:b/>
                <w:color w:val="FFFFFF"/>
                <w:sz w:val="17"/>
              </w:rPr>
              <w:t>Document field</w:t>
            </w:r>
          </w:p>
        </w:tc>
        <w:tc>
          <w:tcPr>
            <w:tcW w:type="dxa" w:w="7776"/>
            <w:shd w:fill="1F4E79"/>
            <w:vAlign w:val="center"/>
            <w:tcMar>
              <w:top w:w="90" w:type="dxa"/>
              <w:start w:w="110" w:type="dxa"/>
              <w:bottom w:w="90" w:type="dxa"/>
              <w:end w:w="110" w:type="dxa"/>
            </w:tcMar>
          </w:tcPr>
          <w:p>
            <w:r>
              <w:rPr>
                <w:b/>
                <w:color w:val="FFFFFF"/>
                <w:sz w:val="17"/>
              </w:rPr>
              <w:t>Value</w:t>
            </w:r>
          </w:p>
        </w:tc>
      </w:tr>
      <w:tr>
        <w:tc>
          <w:tcPr>
            <w:tcW w:type="dxa" w:w="2304"/>
            <w:vAlign w:val="center"/>
            <w:tcMar>
              <w:top w:w="90" w:type="dxa"/>
              <w:start w:w="110" w:type="dxa"/>
              <w:bottom w:w="90" w:type="dxa"/>
              <w:end w:w="110" w:type="dxa"/>
            </w:tcMar>
          </w:tcPr>
          <w:p>
            <w:pPr>
              <w:spacing w:after="0"/>
            </w:pPr>
            <w:r>
              <w:rPr>
                <w:sz w:val="17"/>
              </w:rPr>
              <w:t>Document ID</w:t>
            </w:r>
          </w:p>
        </w:tc>
        <w:tc>
          <w:tcPr>
            <w:tcW w:type="dxa" w:w="7776"/>
            <w:vAlign w:val="center"/>
            <w:tcMar>
              <w:top w:w="90" w:type="dxa"/>
              <w:start w:w="110" w:type="dxa"/>
              <w:bottom w:w="90" w:type="dxa"/>
              <w:end w:w="110" w:type="dxa"/>
            </w:tcMar>
          </w:tcPr>
          <w:p>
            <w:pPr>
              <w:spacing w:after="0"/>
            </w:pPr>
            <w:r>
              <w:rPr>
                <w:sz w:val="17"/>
              </w:rPr>
              <w:t>CSAML-TA-0.1</w:t>
            </w:r>
          </w:p>
        </w:tc>
      </w:tr>
      <w:tr>
        <w:tc>
          <w:tcPr>
            <w:tcW w:type="dxa" w:w="2304"/>
            <w:vAlign w:val="center"/>
            <w:tcMar>
              <w:top w:w="90" w:type="dxa"/>
              <w:start w:w="110" w:type="dxa"/>
              <w:bottom w:w="90" w:type="dxa"/>
              <w:end w:w="110" w:type="dxa"/>
            </w:tcMar>
          </w:tcPr>
          <w:p>
            <w:pPr>
              <w:spacing w:after="0"/>
            </w:pPr>
            <w:r>
              <w:rPr>
                <w:sz w:val="17"/>
              </w:rPr>
              <w:t>Status</w:t>
            </w:r>
          </w:p>
        </w:tc>
        <w:tc>
          <w:tcPr>
            <w:tcW w:type="dxa" w:w="7776"/>
            <w:vAlign w:val="center"/>
            <w:tcMar>
              <w:top w:w="90" w:type="dxa"/>
              <w:start w:w="110" w:type="dxa"/>
              <w:bottom w:w="90" w:type="dxa"/>
              <w:end w:w="110" w:type="dxa"/>
            </w:tcMar>
          </w:tcPr>
          <w:p>
            <w:pPr>
              <w:spacing w:after="0"/>
            </w:pPr>
            <w:r>
              <w:rPr>
                <w:sz w:val="17"/>
              </w:rPr>
              <w:t>Normative baseline</w:t>
            </w:r>
          </w:p>
        </w:tc>
      </w:tr>
      <w:tr>
        <w:tc>
          <w:tcPr>
            <w:tcW w:type="dxa" w:w="2304"/>
            <w:vAlign w:val="center"/>
            <w:tcMar>
              <w:top w:w="90" w:type="dxa"/>
              <w:start w:w="110" w:type="dxa"/>
              <w:bottom w:w="90" w:type="dxa"/>
              <w:end w:w="110" w:type="dxa"/>
            </w:tcMar>
          </w:tcPr>
          <w:p>
            <w:pPr>
              <w:spacing w:after="0"/>
            </w:pPr>
            <w:r>
              <w:rPr>
                <w:sz w:val="17"/>
              </w:rPr>
              <w:t>Applies to</w:t>
            </w:r>
          </w:p>
        </w:tc>
        <w:tc>
          <w:tcPr>
            <w:tcW w:type="dxa" w:w="7776"/>
            <w:vAlign w:val="center"/>
            <w:tcMar>
              <w:top w:w="90" w:type="dxa"/>
              <w:start w:w="110" w:type="dxa"/>
              <w:bottom w:w="90" w:type="dxa"/>
              <w:end w:w="110" w:type="dxa"/>
            </w:tcMar>
          </w:tcPr>
          <w:p>
            <w:pPr>
              <w:spacing w:after="0"/>
            </w:pPr>
            <w:r>
              <w:rPr>
                <w:sz w:val="17"/>
              </w:rPr>
              <w:t>Systems implementing CS-AML investigations and intelligence workflows</w:t>
            </w:r>
          </w:p>
        </w:tc>
      </w:tr>
      <w:tr>
        <w:tc>
          <w:tcPr>
            <w:tcW w:type="dxa" w:w="2304"/>
            <w:vAlign w:val="center"/>
            <w:tcMar>
              <w:top w:w="90" w:type="dxa"/>
              <w:start w:w="110" w:type="dxa"/>
              <w:bottom w:w="90" w:type="dxa"/>
              <w:end w:w="110" w:type="dxa"/>
            </w:tcMar>
          </w:tcPr>
          <w:p>
            <w:pPr>
              <w:spacing w:after="0"/>
            </w:pPr>
            <w:r>
              <w:rPr>
                <w:sz w:val="17"/>
              </w:rPr>
              <w:t>Dependency</w:t>
            </w:r>
          </w:p>
        </w:tc>
        <w:tc>
          <w:tcPr>
            <w:tcW w:type="dxa" w:w="7776"/>
            <w:vAlign w:val="center"/>
            <w:tcMar>
              <w:top w:w="90" w:type="dxa"/>
              <w:start w:w="110" w:type="dxa"/>
              <w:bottom w:w="90" w:type="dxa"/>
              <w:end w:w="110" w:type="dxa"/>
            </w:tcMar>
          </w:tcPr>
          <w:p>
            <w:pPr>
              <w:spacing w:after="0"/>
            </w:pPr>
            <w:r>
              <w:rPr>
                <w:sz w:val="17"/>
              </w:rPr>
              <w:t>CS-AML Framework, Investigation Methodology, Data Model Specification, Control Implementation Guide, Typology Catalogue</w:t>
            </w:r>
          </w:p>
        </w:tc>
      </w:tr>
      <w:tr>
        <w:tc>
          <w:tcPr>
            <w:tcW w:type="dxa" w:w="2304"/>
            <w:vAlign w:val="center"/>
            <w:tcMar>
              <w:top w:w="90" w:type="dxa"/>
              <w:start w:w="110" w:type="dxa"/>
              <w:bottom w:w="90" w:type="dxa"/>
              <w:end w:w="110" w:type="dxa"/>
            </w:tcMar>
          </w:tcPr>
          <w:p>
            <w:pPr>
              <w:spacing w:after="0"/>
            </w:pPr>
            <w:r>
              <w:rPr>
                <w:sz w:val="17"/>
              </w:rPr>
              <w:t>Normative language</w:t>
            </w:r>
          </w:p>
        </w:tc>
        <w:tc>
          <w:tcPr>
            <w:tcW w:type="dxa" w:w="7776"/>
            <w:vAlign w:val="center"/>
            <w:tcMar>
              <w:top w:w="90" w:type="dxa"/>
              <w:start w:w="110" w:type="dxa"/>
              <w:bottom w:w="90" w:type="dxa"/>
              <w:end w:w="110" w:type="dxa"/>
            </w:tcMar>
          </w:tcPr>
          <w:p>
            <w:pPr>
              <w:spacing w:after="0"/>
            </w:pPr>
            <w:r>
              <w:rPr>
                <w:sz w:val="17"/>
              </w:rPr>
              <w:t>SHALL / MUST = mandatory; SHOULD = recommended; MAY = optional</w:t>
            </w:r>
          </w:p>
        </w:tc>
      </w:tr>
      <w:tr>
        <w:tc>
          <w:tcPr>
            <w:tcW w:type="dxa" w:w="2304"/>
            <w:vAlign w:val="center"/>
            <w:tcMar>
              <w:top w:w="90" w:type="dxa"/>
              <w:start w:w="110" w:type="dxa"/>
              <w:bottom w:w="90" w:type="dxa"/>
              <w:end w:w="110" w:type="dxa"/>
            </w:tcMar>
          </w:tcPr>
          <w:p>
            <w:pPr>
              <w:spacing w:after="0"/>
            </w:pPr>
            <w:r>
              <w:rPr>
                <w:sz w:val="17"/>
              </w:rPr>
              <w:t>Architecture stance</w:t>
            </w:r>
          </w:p>
        </w:tc>
        <w:tc>
          <w:tcPr>
            <w:tcW w:type="dxa" w:w="7776"/>
            <w:vAlign w:val="center"/>
            <w:tcMar>
              <w:top w:w="90" w:type="dxa"/>
              <w:start w:w="110" w:type="dxa"/>
              <w:bottom w:w="90" w:type="dxa"/>
              <w:end w:w="110" w:type="dxa"/>
            </w:tcMar>
          </w:tcPr>
          <w:p>
            <w:pPr>
              <w:spacing w:after="0"/>
            </w:pPr>
            <w:r>
              <w:rPr>
                <w:sz w:val="17"/>
              </w:rPr>
              <w:t>Implementation-neutral core with non-normative reference profiles</w:t>
            </w:r>
          </w:p>
        </w:tc>
      </w:tr>
    </w:tbl>
    <w:p>
      <w:pPr>
        <w:spacing w:after="20"/>
      </w:pPr>
    </w:p>
    <w:p>
      <w:pPr>
        <w:spacing w:after="100" w:line="259" w:lineRule="auto"/>
      </w:pPr>
      <w:r>
        <w:rPr>
          <w:b w:val="0"/>
          <w:i w:val="0"/>
        </w:rPr>
        <w:t>This document specifies the minimum architectural capabilities, trust boundaries, service responsibilities, data planes, security controls, interoperability rules, and deployment characteristics required for a technology system to support CS-AML in a defensible and auditable manner.</w:t>
      </w:r>
    </w:p>
    <w:p>
      <w:r>
        <w:br w:type="page"/>
      </w:r>
    </w:p>
    <w:p>
      <w:pPr>
        <w:pStyle w:val="Heading1"/>
      </w:pPr>
      <w:r>
        <w:t>Document Structure</w:t>
      </w:r>
    </w:p>
    <w:p>
      <w:pPr>
        <w:pStyle w:val="ListBullet"/>
        <w:spacing w:after="40"/>
      </w:pPr>
      <w:r>
        <w:t>1. Purpose, Scope, and Architectural Outcomes</w:t>
      </w:r>
    </w:p>
    <w:p>
      <w:pPr>
        <w:pStyle w:val="ListBullet"/>
        <w:spacing w:after="40"/>
      </w:pPr>
      <w:r>
        <w:t>2. Normative Architecture Principles</w:t>
      </w:r>
    </w:p>
    <w:p>
      <w:pPr>
        <w:pStyle w:val="ListBullet"/>
        <w:spacing w:after="40"/>
      </w:pPr>
      <w:r>
        <w:t>3. Stakeholders, Roles, and Trust Boundaries</w:t>
      </w:r>
    </w:p>
    <w:p>
      <w:pPr>
        <w:pStyle w:val="ListBullet"/>
        <w:spacing w:after="40"/>
      </w:pPr>
      <w:r>
        <w:t>4. Capability Architecture</w:t>
      </w:r>
    </w:p>
    <w:p>
      <w:pPr>
        <w:pStyle w:val="ListBullet"/>
        <w:spacing w:after="40"/>
      </w:pPr>
      <w:r>
        <w:t>5. Logical Architecture</w:t>
      </w:r>
    </w:p>
    <w:p>
      <w:pPr>
        <w:pStyle w:val="ListBullet"/>
        <w:spacing w:after="40"/>
      </w:pPr>
      <w:r>
        <w:t>6. Information and Data Architecture</w:t>
      </w:r>
    </w:p>
    <w:p>
      <w:pPr>
        <w:pStyle w:val="ListBullet"/>
        <w:spacing w:after="40"/>
      </w:pPr>
      <w:r>
        <w:t>7. Case and Workflow Architecture</w:t>
      </w:r>
    </w:p>
    <w:p>
      <w:pPr>
        <w:pStyle w:val="ListBullet"/>
        <w:spacing w:after="40"/>
      </w:pPr>
      <w:r>
        <w:t>8. Evidence and Provenance Architecture</w:t>
      </w:r>
    </w:p>
    <w:p>
      <w:pPr>
        <w:pStyle w:val="ListBullet"/>
        <w:spacing w:after="40"/>
      </w:pPr>
      <w:r>
        <w:t>9. Entity Resolution Architecture</w:t>
      </w:r>
    </w:p>
    <w:p>
      <w:pPr>
        <w:pStyle w:val="ListBullet"/>
        <w:spacing w:after="40"/>
      </w:pPr>
      <w:r>
        <w:t>10. Knowledge Graph Architecture</w:t>
      </w:r>
    </w:p>
    <w:p>
      <w:pPr>
        <w:pStyle w:val="ListBullet"/>
        <w:spacing w:after="40"/>
      </w:pPr>
      <w:r>
        <w:t>11. Search and Retrieval Architecture</w:t>
      </w:r>
    </w:p>
    <w:p>
      <w:pPr>
        <w:pStyle w:val="ListBullet"/>
        <w:spacing w:after="40"/>
      </w:pPr>
      <w:r>
        <w:t>12. Timeline, Asset, and Value-Flow Analytics</w:t>
      </w:r>
    </w:p>
    <w:p>
      <w:pPr>
        <w:pStyle w:val="ListBullet"/>
        <w:spacing w:after="40"/>
      </w:pPr>
      <w:r>
        <w:t>13. Typology and Analytical Services</w:t>
      </w:r>
    </w:p>
    <w:p>
      <w:pPr>
        <w:pStyle w:val="ListBullet"/>
        <w:spacing w:after="40"/>
      </w:pPr>
      <w:r>
        <w:t>14. Hypothesis, Assessment, and Intelligence Product Services</w:t>
      </w:r>
    </w:p>
    <w:p>
      <w:pPr>
        <w:pStyle w:val="ListBullet"/>
        <w:spacing w:after="40"/>
      </w:pPr>
      <w:r>
        <w:t>15. API and Integration Architecture</w:t>
      </w:r>
    </w:p>
    <w:p>
      <w:pPr>
        <w:pStyle w:val="ListBullet"/>
        <w:spacing w:after="40"/>
      </w:pPr>
      <w:r>
        <w:t>16. Identity, Authentication, and Authorization</w:t>
      </w:r>
    </w:p>
    <w:p>
      <w:pPr>
        <w:pStyle w:val="ListBullet"/>
        <w:spacing w:after="40"/>
      </w:pPr>
      <w:r>
        <w:t>17. Privacy and Data-Protection Architecture</w:t>
      </w:r>
    </w:p>
    <w:p>
      <w:pPr>
        <w:pStyle w:val="ListBullet"/>
        <w:spacing w:after="40"/>
      </w:pPr>
      <w:r>
        <w:t>18. Cryptography, Secrets, and Key Management</w:t>
      </w:r>
    </w:p>
    <w:p>
      <w:pPr>
        <w:pStyle w:val="ListBullet"/>
        <w:spacing w:after="40"/>
      </w:pPr>
      <w:r>
        <w:t>19. Security Architecture and Threat Model</w:t>
      </w:r>
    </w:p>
    <w:p>
      <w:pPr>
        <w:pStyle w:val="ListBullet"/>
        <w:spacing w:after="40"/>
      </w:pPr>
      <w:r>
        <w:t>20. Audit, Logging, and Non-Repudiation</w:t>
      </w:r>
    </w:p>
    <w:p>
      <w:pPr>
        <w:pStyle w:val="ListBullet"/>
        <w:spacing w:after="40"/>
      </w:pPr>
      <w:r>
        <w:t>21. Observability and Operational Monitoring</w:t>
      </w:r>
    </w:p>
    <w:p>
      <w:pPr>
        <w:pStyle w:val="ListBullet"/>
        <w:spacing w:after="40"/>
      </w:pPr>
      <w:r>
        <w:t>22. Reliability, Backup, and Disaster Recovery</w:t>
      </w:r>
    </w:p>
    <w:p>
      <w:pPr>
        <w:pStyle w:val="ListBullet"/>
        <w:spacing w:after="40"/>
      </w:pPr>
      <w:r>
        <w:t>23. Deployment Models</w:t>
      </w:r>
    </w:p>
    <w:p>
      <w:pPr>
        <w:pStyle w:val="ListBullet"/>
        <w:spacing w:after="40"/>
      </w:pPr>
      <w:r>
        <w:t>24. Multi-Tenancy and Federation</w:t>
      </w:r>
    </w:p>
    <w:p>
      <w:pPr>
        <w:pStyle w:val="ListBullet"/>
        <w:spacing w:after="40"/>
      </w:pPr>
      <w:r>
        <w:t>25. Software Supply Chain and Secure Delivery</w:t>
      </w:r>
    </w:p>
    <w:p>
      <w:pPr>
        <w:pStyle w:val="ListBullet"/>
        <w:spacing w:after="40"/>
      </w:pPr>
      <w:r>
        <w:t>26. AI and Automation Architecture</w:t>
      </w:r>
    </w:p>
    <w:p>
      <w:pPr>
        <w:pStyle w:val="ListBullet"/>
        <w:spacing w:after="40"/>
      </w:pPr>
      <w:r>
        <w:t>27. Performance and Scalability</w:t>
      </w:r>
    </w:p>
    <w:p>
      <w:pPr>
        <w:pStyle w:val="ListBullet"/>
        <w:spacing w:after="40"/>
      </w:pPr>
      <w:r>
        <w:t>28. Reference Implementation Profiles</w:t>
      </w:r>
    </w:p>
    <w:p>
      <w:pPr>
        <w:pStyle w:val="ListBullet"/>
        <w:spacing w:after="40"/>
      </w:pPr>
      <w:r>
        <w:t>29. Architecture Decision Records</w:t>
      </w:r>
    </w:p>
    <w:p>
      <w:pPr>
        <w:pStyle w:val="ListBullet"/>
        <w:spacing w:after="40"/>
      </w:pPr>
      <w:r>
        <w:t>30. Conformance and Verification</w:t>
      </w:r>
    </w:p>
    <w:p>
      <w:pPr>
        <w:pStyle w:val="ListBullet"/>
        <w:spacing w:after="40"/>
      </w:pPr>
      <w:r>
        <w:t>Annexes</w:t>
      </w:r>
    </w:p>
    <w:p>
      <w:r>
        <w:br w:type="page"/>
      </w:r>
    </w:p>
    <w:p>
      <w:pPr>
        <w:pStyle w:val="Heading1"/>
      </w:pPr>
      <w:r>
        <w:t>1. Purpose, Scope, and Architectural Outcomes</w:t>
      </w:r>
    </w:p>
    <w:p>
      <w:pPr>
        <w:spacing w:after="100" w:line="259" w:lineRule="auto"/>
      </w:pPr>
      <w:r>
        <w:rPr>
          <w:b w:val="0"/>
          <w:i w:val="0"/>
        </w:rPr>
        <w:t>The Technology Architecture translates the CS-AML normative methodology, canonical data model, and control catalogue into a system architecture that can be implemented by civil-society organisations, investigative networks, research teams, or trusted technical service providers. It does not prescribe one software product or vendor.</w:t>
      </w:r>
    </w:p>
    <w:p>
      <w:pPr>
        <w:pStyle w:val="Heading2"/>
      </w:pPr>
      <w:r>
        <w:t>1.1 Primary architectural goal</w:t>
      </w:r>
    </w:p>
    <w:tbl>
      <w:tblPr>
        <w:tblStyle w:val="TableGrid"/>
        <w:tblW w:type="auto" w:w="0"/>
        <w:jc w:val="center"/>
        <w:tblLook w:firstColumn="1" w:firstRow="1" w:lastColumn="0" w:lastRow="0" w:noHBand="0" w:noVBand="1" w:val="04A0"/>
      </w:tblPr>
      <w:tblGrid>
        <w:gridCol w:w="10080"/>
      </w:tblGrid>
      <w:tr>
        <w:tc>
          <w:tcPr>
            <w:tcW w:type="dxa" w:w="10080"/>
            <w:shd w:fill="EAF2F8"/>
            <w:tcMar>
              <w:top w:w="150" w:type="dxa"/>
              <w:start w:w="160" w:type="dxa"/>
              <w:bottom w:w="150" w:type="dxa"/>
              <w:end w:w="160" w:type="dxa"/>
            </w:tcMar>
          </w:tcPr>
          <w:p>
            <w:r>
              <w:rPr>
                <w:b/>
                <w:color w:val="1F4E79"/>
                <w:sz w:val="20"/>
              </w:rPr>
              <w:t>Primary goal</w:t>
              <w:br/>
            </w:r>
            <w:r>
              <w:rPr>
                <w:sz w:val="19"/>
              </w:rPr>
              <w:t>Provide a secure, evidence-preserving, analyst-centred technology environment that supports lawful collection, structured investigation, entity and relationship analysis, follow-the-value reconstruction, hypothesis testing, review, and controlled dissemination without converting uncertainty into false certainty.</w:t>
            </w:r>
          </w:p>
        </w:tc>
      </w:tr>
    </w:tbl>
    <w:p>
      <w:pPr>
        <w:spacing w:after="20"/>
      </w:pPr>
    </w:p>
    <w:p>
      <w:pPr>
        <w:pStyle w:val="Heading2"/>
      </w:pPr>
      <w:r>
        <w:t>1.2 Required outcomes</w:t>
      </w:r>
    </w:p>
    <w:p>
      <w:pPr>
        <w:pStyle w:val="ListBullet"/>
        <w:spacing w:after="40"/>
      </w:pPr>
      <w:r>
        <w:t>Every material analytical statement can be traced to source and evidence objects.</w:t>
      </w:r>
    </w:p>
    <w:p>
      <w:pPr>
        <w:pStyle w:val="ListBullet"/>
        <w:spacing w:after="40"/>
      </w:pPr>
      <w:r>
        <w:t>Analytical objects remain versioned and attributable to human or system actors.</w:t>
      </w:r>
    </w:p>
    <w:p>
      <w:pPr>
        <w:pStyle w:val="ListBullet"/>
        <w:spacing w:after="40"/>
      </w:pPr>
      <w:r>
        <w:t>Direct, documented, reconstructed, and hypothetical value flows remain visibly distinct.</w:t>
      </w:r>
    </w:p>
    <w:p>
      <w:pPr>
        <w:pStyle w:val="ListBullet"/>
        <w:spacing w:after="40"/>
      </w:pPr>
      <w:r>
        <w:t>Entity resolution decisions are reversible, reviewable, and supported by evidence.</w:t>
      </w:r>
    </w:p>
    <w:p>
      <w:pPr>
        <w:pStyle w:val="ListBullet"/>
        <w:spacing w:after="40"/>
      </w:pPr>
      <w:r>
        <w:t>High-impact actions require appropriate human authorization and produce durable audit evidence.</w:t>
      </w:r>
    </w:p>
    <w:p>
      <w:pPr>
        <w:pStyle w:val="ListBullet"/>
        <w:spacing w:after="40"/>
      </w:pPr>
      <w:r>
        <w:t>Privacy classification and access restrictions travel with data objects rather than relying only on folder or network location.</w:t>
      </w:r>
    </w:p>
    <w:p>
      <w:pPr>
        <w:pStyle w:val="ListBullet"/>
        <w:spacing w:after="40"/>
      </w:pPr>
      <w:r>
        <w:t>The system can be operated in resource-constrained civil-society environments without requiring hyperscale infrastructure.</w:t>
      </w:r>
    </w:p>
    <w:p>
      <w:pPr>
        <w:pStyle w:val="ListBullet"/>
        <w:spacing w:after="40"/>
      </w:pPr>
      <w:r>
        <w:t>The architecture supports incremental maturity: a small deployment can conform without implementing every advanced analytical component.</w:t>
      </w:r>
    </w:p>
    <w:p>
      <w:pPr>
        <w:pStyle w:val="Heading2"/>
      </w:pPr>
      <w:r>
        <w:t>1.3 Non-goals</w:t>
      </w:r>
    </w:p>
    <w:p>
      <w:pPr>
        <w:pStyle w:val="ListBullet"/>
        <w:spacing w:after="40"/>
      </w:pPr>
      <w:r>
        <w:t>Automated determination of criminal liability.</w:t>
      </w:r>
    </w:p>
    <w:p>
      <w:pPr>
        <w:pStyle w:val="ListBullet"/>
        <w:spacing w:after="40"/>
      </w:pPr>
      <w:r>
        <w:t>Mass population surveillance or indiscriminate financial profiling.</w:t>
      </w:r>
    </w:p>
    <w:p>
      <w:pPr>
        <w:pStyle w:val="ListBullet"/>
        <w:spacing w:after="40"/>
      </w:pPr>
      <w:r>
        <w:t>Unauthorized access to banking or communications systems.</w:t>
      </w:r>
    </w:p>
    <w:p>
      <w:pPr>
        <w:pStyle w:val="ListBullet"/>
        <w:spacing w:after="40"/>
      </w:pPr>
      <w:r>
        <w:t>Replacement of FIU, regulator, law-enforcement, prosecutorial, or judicial functions.</w:t>
      </w:r>
    </w:p>
    <w:p>
      <w:pPr>
        <w:pStyle w:val="ListBullet"/>
        <w:spacing w:after="40"/>
      </w:pPr>
      <w:r>
        <w:t>Black-box risk scores that cannot be explained or challenged.</w:t>
      </w:r>
    </w:p>
    <w:p>
      <w:pPr>
        <w:pStyle w:val="ListBullet"/>
        <w:spacing w:after="40"/>
      </w:pPr>
      <w:r>
        <w:t>A mandatory microservices architecture or mandatory graph database.</w:t>
      </w:r>
    </w:p>
    <w:p>
      <w:pPr>
        <w:pStyle w:val="Heading1"/>
      </w:pPr>
      <w:r>
        <w:t>2. Normative Architecture Principles</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1F4E79"/>
            <w:vAlign w:val="center"/>
            <w:tcMar>
              <w:top w:w="90" w:type="dxa"/>
              <w:start w:w="110" w:type="dxa"/>
              <w:bottom w:w="90" w:type="dxa"/>
              <w:end w:w="110" w:type="dxa"/>
            </w:tcMar>
          </w:tcPr>
          <w:p>
            <w:r>
              <w:rPr>
                <w:b/>
                <w:color w:val="FFFFFF"/>
                <w:sz w:val="17"/>
              </w:rPr>
              <w:t>ID</w:t>
            </w:r>
          </w:p>
        </w:tc>
        <w:tc>
          <w:tcPr>
            <w:tcW w:type="dxa" w:w="2448"/>
            <w:shd w:fill="1F4E79"/>
            <w:vAlign w:val="center"/>
            <w:tcMar>
              <w:top w:w="90" w:type="dxa"/>
              <w:start w:w="110" w:type="dxa"/>
              <w:bottom w:w="90" w:type="dxa"/>
              <w:end w:w="110" w:type="dxa"/>
            </w:tcMar>
          </w:tcPr>
          <w:p>
            <w:r>
              <w:rPr>
                <w:b/>
                <w:color w:val="FFFFFF"/>
                <w:sz w:val="17"/>
              </w:rPr>
              <w:t>Principle</w:t>
            </w:r>
          </w:p>
        </w:tc>
        <w:tc>
          <w:tcPr>
            <w:tcW w:type="dxa" w:w="6480"/>
            <w:shd w:fill="1F4E79"/>
            <w:vAlign w:val="center"/>
            <w:tcMar>
              <w:top w:w="90" w:type="dxa"/>
              <w:start w:w="110" w:type="dxa"/>
              <w:bottom w:w="90" w:type="dxa"/>
              <w:end w:w="110" w:type="dxa"/>
            </w:tcMar>
          </w:tcPr>
          <w:p>
            <w:r>
              <w:rPr>
                <w:b/>
                <w:color w:val="FFFFFF"/>
                <w:sz w:val="17"/>
              </w:rPr>
              <w:t>Normative statement</w:t>
            </w:r>
          </w:p>
        </w:tc>
      </w:tr>
      <w:tr>
        <w:tc>
          <w:tcPr>
            <w:tcW w:type="dxa" w:w="1152"/>
            <w:vAlign w:val="center"/>
            <w:tcMar>
              <w:top w:w="90" w:type="dxa"/>
              <w:start w:w="110" w:type="dxa"/>
              <w:bottom w:w="90" w:type="dxa"/>
              <w:end w:w="110" w:type="dxa"/>
            </w:tcMar>
          </w:tcPr>
          <w:p>
            <w:pPr>
              <w:spacing w:after="0"/>
            </w:pPr>
            <w:r>
              <w:rPr>
                <w:sz w:val="17"/>
              </w:rPr>
              <w:t>TA-P01</w:t>
            </w:r>
          </w:p>
        </w:tc>
        <w:tc>
          <w:tcPr>
            <w:tcW w:type="dxa" w:w="2448"/>
            <w:vAlign w:val="center"/>
            <w:tcMar>
              <w:top w:w="90" w:type="dxa"/>
              <w:start w:w="110" w:type="dxa"/>
              <w:bottom w:w="90" w:type="dxa"/>
              <w:end w:w="110" w:type="dxa"/>
            </w:tcMar>
          </w:tcPr>
          <w:p>
            <w:pPr>
              <w:spacing w:after="0"/>
            </w:pPr>
            <w:r>
              <w:rPr>
                <w:sz w:val="17"/>
              </w:rPr>
              <w:t>Evidence before analytics</w:t>
            </w:r>
          </w:p>
        </w:tc>
        <w:tc>
          <w:tcPr>
            <w:tcW w:type="dxa" w:w="6480"/>
            <w:vAlign w:val="center"/>
            <w:tcMar>
              <w:top w:w="90" w:type="dxa"/>
              <w:start w:w="110" w:type="dxa"/>
              <w:bottom w:w="90" w:type="dxa"/>
              <w:end w:w="110" w:type="dxa"/>
            </w:tcMar>
          </w:tcPr>
          <w:p>
            <w:pPr>
              <w:spacing w:after="0"/>
            </w:pPr>
            <w:r>
              <w:rPr>
                <w:sz w:val="17"/>
              </w:rPr>
              <w:t>Architecture SHALL preserve original source/evidence and provenance before enrichment or analytical transformation.</w:t>
            </w:r>
          </w:p>
        </w:tc>
      </w:tr>
      <w:tr>
        <w:tc>
          <w:tcPr>
            <w:tcW w:type="dxa" w:w="1152"/>
            <w:vAlign w:val="center"/>
            <w:tcMar>
              <w:top w:w="90" w:type="dxa"/>
              <w:start w:w="110" w:type="dxa"/>
              <w:bottom w:w="90" w:type="dxa"/>
              <w:end w:w="110" w:type="dxa"/>
            </w:tcMar>
          </w:tcPr>
          <w:p>
            <w:pPr>
              <w:spacing w:after="0"/>
            </w:pPr>
            <w:r>
              <w:rPr>
                <w:sz w:val="17"/>
              </w:rPr>
              <w:t>TA-P02</w:t>
            </w:r>
          </w:p>
        </w:tc>
        <w:tc>
          <w:tcPr>
            <w:tcW w:type="dxa" w:w="2448"/>
            <w:vAlign w:val="center"/>
            <w:tcMar>
              <w:top w:w="90" w:type="dxa"/>
              <w:start w:w="110" w:type="dxa"/>
              <w:bottom w:w="90" w:type="dxa"/>
              <w:end w:w="110" w:type="dxa"/>
            </w:tcMar>
          </w:tcPr>
          <w:p>
            <w:pPr>
              <w:spacing w:after="0"/>
            </w:pPr>
            <w:r>
              <w:rPr>
                <w:sz w:val="17"/>
              </w:rPr>
              <w:t>Uncertainty preservation</w:t>
            </w:r>
          </w:p>
        </w:tc>
        <w:tc>
          <w:tcPr>
            <w:tcW w:type="dxa" w:w="6480"/>
            <w:vAlign w:val="center"/>
            <w:tcMar>
              <w:top w:w="90" w:type="dxa"/>
              <w:start w:w="110" w:type="dxa"/>
              <w:bottom w:w="90" w:type="dxa"/>
              <w:end w:w="110" w:type="dxa"/>
            </w:tcMar>
          </w:tcPr>
          <w:p>
            <w:pPr>
              <w:spacing w:after="0"/>
            </w:pPr>
            <w:r>
              <w:rPr>
                <w:sz w:val="17"/>
              </w:rPr>
              <w:t>Confidence, contradiction, inference class, and unknowns SHALL be first-class metadata.</w:t>
            </w:r>
          </w:p>
        </w:tc>
      </w:tr>
      <w:tr>
        <w:tc>
          <w:tcPr>
            <w:tcW w:type="dxa" w:w="1152"/>
            <w:vAlign w:val="center"/>
            <w:tcMar>
              <w:top w:w="90" w:type="dxa"/>
              <w:start w:w="110" w:type="dxa"/>
              <w:bottom w:w="90" w:type="dxa"/>
              <w:end w:w="110" w:type="dxa"/>
            </w:tcMar>
          </w:tcPr>
          <w:p>
            <w:pPr>
              <w:spacing w:after="0"/>
            </w:pPr>
            <w:r>
              <w:rPr>
                <w:sz w:val="17"/>
              </w:rPr>
              <w:t>TA-P03</w:t>
            </w:r>
          </w:p>
        </w:tc>
        <w:tc>
          <w:tcPr>
            <w:tcW w:type="dxa" w:w="2448"/>
            <w:vAlign w:val="center"/>
            <w:tcMar>
              <w:top w:w="90" w:type="dxa"/>
              <w:start w:w="110" w:type="dxa"/>
              <w:bottom w:w="90" w:type="dxa"/>
              <w:end w:w="110" w:type="dxa"/>
            </w:tcMar>
          </w:tcPr>
          <w:p>
            <w:pPr>
              <w:spacing w:after="0"/>
            </w:pPr>
            <w:r>
              <w:rPr>
                <w:sz w:val="17"/>
              </w:rPr>
              <w:t>Human accountability</w:t>
            </w:r>
          </w:p>
        </w:tc>
        <w:tc>
          <w:tcPr>
            <w:tcW w:type="dxa" w:w="6480"/>
            <w:vAlign w:val="center"/>
            <w:tcMar>
              <w:top w:w="90" w:type="dxa"/>
              <w:start w:w="110" w:type="dxa"/>
              <w:bottom w:w="90" w:type="dxa"/>
              <w:end w:w="110" w:type="dxa"/>
            </w:tcMar>
          </w:tcPr>
          <w:p>
            <w:pPr>
              <w:spacing w:after="0"/>
            </w:pPr>
            <w:r>
              <w:rPr>
                <w:sz w:val="17"/>
              </w:rPr>
              <w:t>A human SHALL remain accountable for case opening, high-impact assessment, dissemination, and closure.</w:t>
            </w:r>
          </w:p>
        </w:tc>
      </w:tr>
      <w:tr>
        <w:tc>
          <w:tcPr>
            <w:tcW w:type="dxa" w:w="1152"/>
            <w:vAlign w:val="center"/>
            <w:tcMar>
              <w:top w:w="90" w:type="dxa"/>
              <w:start w:w="110" w:type="dxa"/>
              <w:bottom w:w="90" w:type="dxa"/>
              <w:end w:w="110" w:type="dxa"/>
            </w:tcMar>
          </w:tcPr>
          <w:p>
            <w:pPr>
              <w:spacing w:after="0"/>
            </w:pPr>
            <w:r>
              <w:rPr>
                <w:sz w:val="17"/>
              </w:rPr>
              <w:t>TA-P04</w:t>
            </w:r>
          </w:p>
        </w:tc>
        <w:tc>
          <w:tcPr>
            <w:tcW w:type="dxa" w:w="2448"/>
            <w:vAlign w:val="center"/>
            <w:tcMar>
              <w:top w:w="90" w:type="dxa"/>
              <w:start w:w="110" w:type="dxa"/>
              <w:bottom w:w="90" w:type="dxa"/>
              <w:end w:w="110" w:type="dxa"/>
            </w:tcMar>
          </w:tcPr>
          <w:p>
            <w:pPr>
              <w:spacing w:after="0"/>
            </w:pPr>
            <w:r>
              <w:rPr>
                <w:sz w:val="17"/>
              </w:rPr>
              <w:t>Least privilege</w:t>
            </w:r>
          </w:p>
        </w:tc>
        <w:tc>
          <w:tcPr>
            <w:tcW w:type="dxa" w:w="6480"/>
            <w:vAlign w:val="center"/>
            <w:tcMar>
              <w:top w:w="90" w:type="dxa"/>
              <w:start w:w="110" w:type="dxa"/>
              <w:bottom w:w="90" w:type="dxa"/>
              <w:end w:w="110" w:type="dxa"/>
            </w:tcMar>
          </w:tcPr>
          <w:p>
            <w:pPr>
              <w:spacing w:after="0"/>
            </w:pPr>
            <w:r>
              <w:rPr>
                <w:sz w:val="17"/>
              </w:rPr>
              <w:t>Access SHALL be granted to the minimum data and actions required for a defined role and case purpose.</w:t>
            </w:r>
          </w:p>
        </w:tc>
      </w:tr>
      <w:tr>
        <w:tc>
          <w:tcPr>
            <w:tcW w:type="dxa" w:w="1152"/>
            <w:vAlign w:val="center"/>
            <w:tcMar>
              <w:top w:w="90" w:type="dxa"/>
              <w:start w:w="110" w:type="dxa"/>
              <w:bottom w:w="90" w:type="dxa"/>
              <w:end w:w="110" w:type="dxa"/>
            </w:tcMar>
          </w:tcPr>
          <w:p>
            <w:pPr>
              <w:spacing w:after="0"/>
            </w:pPr>
            <w:r>
              <w:rPr>
                <w:sz w:val="17"/>
              </w:rPr>
              <w:t>TA-P05</w:t>
            </w:r>
          </w:p>
        </w:tc>
        <w:tc>
          <w:tcPr>
            <w:tcW w:type="dxa" w:w="2448"/>
            <w:vAlign w:val="center"/>
            <w:tcMar>
              <w:top w:w="90" w:type="dxa"/>
              <w:start w:w="110" w:type="dxa"/>
              <w:bottom w:w="90" w:type="dxa"/>
              <w:end w:w="110" w:type="dxa"/>
            </w:tcMar>
          </w:tcPr>
          <w:p>
            <w:pPr>
              <w:spacing w:after="0"/>
            </w:pPr>
            <w:r>
              <w:rPr>
                <w:sz w:val="17"/>
              </w:rPr>
              <w:t>Data minimisation</w:t>
            </w:r>
          </w:p>
        </w:tc>
        <w:tc>
          <w:tcPr>
            <w:tcW w:type="dxa" w:w="6480"/>
            <w:vAlign w:val="center"/>
            <w:tcMar>
              <w:top w:w="90" w:type="dxa"/>
              <w:start w:w="110" w:type="dxa"/>
              <w:bottom w:w="90" w:type="dxa"/>
              <w:end w:w="110" w:type="dxa"/>
            </w:tcMar>
          </w:tcPr>
          <w:p>
            <w:pPr>
              <w:spacing w:after="0"/>
            </w:pPr>
            <w:r>
              <w:rPr>
                <w:sz w:val="17"/>
              </w:rPr>
              <w:t>The system SHALL support collection limitation, field-level classification, retention, and deletion workflows.</w:t>
            </w:r>
          </w:p>
        </w:tc>
      </w:tr>
      <w:tr>
        <w:tc>
          <w:tcPr>
            <w:tcW w:type="dxa" w:w="1152"/>
            <w:vAlign w:val="center"/>
            <w:tcMar>
              <w:top w:w="90" w:type="dxa"/>
              <w:start w:w="110" w:type="dxa"/>
              <w:bottom w:w="90" w:type="dxa"/>
              <w:end w:w="110" w:type="dxa"/>
            </w:tcMar>
          </w:tcPr>
          <w:p>
            <w:pPr>
              <w:spacing w:after="0"/>
            </w:pPr>
            <w:r>
              <w:rPr>
                <w:sz w:val="17"/>
              </w:rPr>
              <w:t>TA-P06</w:t>
            </w:r>
          </w:p>
        </w:tc>
        <w:tc>
          <w:tcPr>
            <w:tcW w:type="dxa" w:w="2448"/>
            <w:vAlign w:val="center"/>
            <w:tcMar>
              <w:top w:w="90" w:type="dxa"/>
              <w:start w:w="110" w:type="dxa"/>
              <w:bottom w:w="90" w:type="dxa"/>
              <w:end w:w="110" w:type="dxa"/>
            </w:tcMar>
          </w:tcPr>
          <w:p>
            <w:pPr>
              <w:spacing w:after="0"/>
            </w:pPr>
            <w:r>
              <w:rPr>
                <w:sz w:val="17"/>
              </w:rPr>
              <w:t>Reversible analysis</w:t>
            </w:r>
          </w:p>
        </w:tc>
        <w:tc>
          <w:tcPr>
            <w:tcW w:type="dxa" w:w="6480"/>
            <w:vAlign w:val="center"/>
            <w:tcMar>
              <w:top w:w="90" w:type="dxa"/>
              <w:start w:w="110" w:type="dxa"/>
              <w:bottom w:w="90" w:type="dxa"/>
              <w:end w:w="110" w:type="dxa"/>
            </w:tcMar>
          </w:tcPr>
          <w:p>
            <w:pPr>
              <w:spacing w:after="0"/>
            </w:pPr>
            <w:r>
              <w:rPr>
                <w:sz w:val="17"/>
              </w:rPr>
              <w:t>Merges, links, classifications, and analytical conclusions SHALL be reversible or supersedable without deleting historical state.</w:t>
            </w:r>
          </w:p>
        </w:tc>
      </w:tr>
      <w:tr>
        <w:tc>
          <w:tcPr>
            <w:tcW w:type="dxa" w:w="1152"/>
            <w:vAlign w:val="center"/>
            <w:tcMar>
              <w:top w:w="90" w:type="dxa"/>
              <w:start w:w="110" w:type="dxa"/>
              <w:bottom w:w="90" w:type="dxa"/>
              <w:end w:w="110" w:type="dxa"/>
            </w:tcMar>
          </w:tcPr>
          <w:p>
            <w:pPr>
              <w:spacing w:after="0"/>
            </w:pPr>
            <w:r>
              <w:rPr>
                <w:sz w:val="17"/>
              </w:rPr>
              <w:t>TA-P07</w:t>
            </w:r>
          </w:p>
        </w:tc>
        <w:tc>
          <w:tcPr>
            <w:tcW w:type="dxa" w:w="2448"/>
            <w:vAlign w:val="center"/>
            <w:tcMar>
              <w:top w:w="90" w:type="dxa"/>
              <w:start w:w="110" w:type="dxa"/>
              <w:bottom w:w="90" w:type="dxa"/>
              <w:end w:w="110" w:type="dxa"/>
            </w:tcMar>
          </w:tcPr>
          <w:p>
            <w:pPr>
              <w:spacing w:after="0"/>
            </w:pPr>
            <w:r>
              <w:rPr>
                <w:sz w:val="17"/>
              </w:rPr>
              <w:t>Traceability</w:t>
            </w:r>
          </w:p>
        </w:tc>
        <w:tc>
          <w:tcPr>
            <w:tcW w:type="dxa" w:w="6480"/>
            <w:vAlign w:val="center"/>
            <w:tcMar>
              <w:top w:w="90" w:type="dxa"/>
              <w:start w:w="110" w:type="dxa"/>
              <w:bottom w:w="90" w:type="dxa"/>
              <w:end w:w="110" w:type="dxa"/>
            </w:tcMar>
          </w:tcPr>
          <w:p>
            <w:pPr>
              <w:spacing w:after="0"/>
            </w:pPr>
            <w:r>
              <w:rPr>
                <w:sz w:val="17"/>
              </w:rPr>
              <w:t>Every transformation that materially affects an intelligence conclusion SHALL be auditable.</w:t>
            </w:r>
          </w:p>
        </w:tc>
      </w:tr>
      <w:tr>
        <w:tc>
          <w:tcPr>
            <w:tcW w:type="dxa" w:w="1152"/>
            <w:vAlign w:val="center"/>
            <w:tcMar>
              <w:top w:w="90" w:type="dxa"/>
              <w:start w:w="110" w:type="dxa"/>
              <w:bottom w:w="90" w:type="dxa"/>
              <w:end w:w="110" w:type="dxa"/>
            </w:tcMar>
          </w:tcPr>
          <w:p>
            <w:pPr>
              <w:spacing w:after="0"/>
            </w:pPr>
            <w:r>
              <w:rPr>
                <w:sz w:val="17"/>
              </w:rPr>
              <w:t>TA-P08</w:t>
            </w:r>
          </w:p>
        </w:tc>
        <w:tc>
          <w:tcPr>
            <w:tcW w:type="dxa" w:w="2448"/>
            <w:vAlign w:val="center"/>
            <w:tcMar>
              <w:top w:w="90" w:type="dxa"/>
              <w:start w:w="110" w:type="dxa"/>
              <w:bottom w:w="90" w:type="dxa"/>
              <w:end w:w="110" w:type="dxa"/>
            </w:tcMar>
          </w:tcPr>
          <w:p>
            <w:pPr>
              <w:spacing w:after="0"/>
            </w:pPr>
            <w:r>
              <w:rPr>
                <w:sz w:val="17"/>
              </w:rPr>
              <w:t>Separation of planes</w:t>
            </w:r>
          </w:p>
        </w:tc>
        <w:tc>
          <w:tcPr>
            <w:tcW w:type="dxa" w:w="6480"/>
            <w:vAlign w:val="center"/>
            <w:tcMar>
              <w:top w:w="90" w:type="dxa"/>
              <w:start w:w="110" w:type="dxa"/>
              <w:bottom w:w="90" w:type="dxa"/>
              <w:end w:w="110" w:type="dxa"/>
            </w:tcMar>
          </w:tcPr>
          <w:p>
            <w:pPr>
              <w:spacing w:after="0"/>
            </w:pPr>
            <w:r>
              <w:rPr>
                <w:sz w:val="17"/>
              </w:rPr>
              <w:t>Evidence storage, analytical processing, search, presentation, and dissemination SHALL be separable trust functions even when deployed on one host.</w:t>
            </w:r>
          </w:p>
        </w:tc>
      </w:tr>
      <w:tr>
        <w:tc>
          <w:tcPr>
            <w:tcW w:type="dxa" w:w="1152"/>
            <w:vAlign w:val="center"/>
            <w:tcMar>
              <w:top w:w="90" w:type="dxa"/>
              <w:start w:w="110" w:type="dxa"/>
              <w:bottom w:w="90" w:type="dxa"/>
              <w:end w:w="110" w:type="dxa"/>
            </w:tcMar>
          </w:tcPr>
          <w:p>
            <w:pPr>
              <w:spacing w:after="0"/>
            </w:pPr>
            <w:r>
              <w:rPr>
                <w:sz w:val="17"/>
              </w:rPr>
              <w:t>TA-P09</w:t>
            </w:r>
          </w:p>
        </w:tc>
        <w:tc>
          <w:tcPr>
            <w:tcW w:type="dxa" w:w="2448"/>
            <w:vAlign w:val="center"/>
            <w:tcMar>
              <w:top w:w="90" w:type="dxa"/>
              <w:start w:w="110" w:type="dxa"/>
              <w:bottom w:w="90" w:type="dxa"/>
              <w:end w:w="110" w:type="dxa"/>
            </w:tcMar>
          </w:tcPr>
          <w:p>
            <w:pPr>
              <w:spacing w:after="0"/>
            </w:pPr>
            <w:r>
              <w:rPr>
                <w:sz w:val="17"/>
              </w:rPr>
              <w:t>Secure by default</w:t>
            </w:r>
          </w:p>
        </w:tc>
        <w:tc>
          <w:tcPr>
            <w:tcW w:type="dxa" w:w="6480"/>
            <w:vAlign w:val="center"/>
            <w:tcMar>
              <w:top w:w="90" w:type="dxa"/>
              <w:start w:w="110" w:type="dxa"/>
              <w:bottom w:w="90" w:type="dxa"/>
              <w:end w:w="110" w:type="dxa"/>
            </w:tcMar>
          </w:tcPr>
          <w:p>
            <w:pPr>
              <w:spacing w:after="0"/>
            </w:pPr>
            <w:r>
              <w:rPr>
                <w:sz w:val="17"/>
              </w:rPr>
              <w:t>Default configuration SHALL deny unnecessary access, external exposure, bulk export, and privileged automation.</w:t>
            </w:r>
          </w:p>
        </w:tc>
      </w:tr>
      <w:tr>
        <w:tc>
          <w:tcPr>
            <w:tcW w:type="dxa" w:w="1152"/>
            <w:vAlign w:val="center"/>
            <w:tcMar>
              <w:top w:w="90" w:type="dxa"/>
              <w:start w:w="110" w:type="dxa"/>
              <w:bottom w:w="90" w:type="dxa"/>
              <w:end w:w="110" w:type="dxa"/>
            </w:tcMar>
          </w:tcPr>
          <w:p>
            <w:pPr>
              <w:spacing w:after="0"/>
            </w:pPr>
            <w:r>
              <w:rPr>
                <w:sz w:val="17"/>
              </w:rPr>
              <w:t>TA-P10</w:t>
            </w:r>
          </w:p>
        </w:tc>
        <w:tc>
          <w:tcPr>
            <w:tcW w:type="dxa" w:w="2448"/>
            <w:vAlign w:val="center"/>
            <w:tcMar>
              <w:top w:w="90" w:type="dxa"/>
              <w:start w:w="110" w:type="dxa"/>
              <w:bottom w:w="90" w:type="dxa"/>
              <w:end w:w="110" w:type="dxa"/>
            </w:tcMar>
          </w:tcPr>
          <w:p>
            <w:pPr>
              <w:spacing w:after="0"/>
            </w:pPr>
            <w:r>
              <w:rPr>
                <w:sz w:val="17"/>
              </w:rPr>
              <w:t>Portability</w:t>
            </w:r>
          </w:p>
        </w:tc>
        <w:tc>
          <w:tcPr>
            <w:tcW w:type="dxa" w:w="6480"/>
            <w:vAlign w:val="center"/>
            <w:tcMar>
              <w:top w:w="90" w:type="dxa"/>
              <w:start w:w="110" w:type="dxa"/>
              <w:bottom w:w="90" w:type="dxa"/>
              <w:end w:w="110" w:type="dxa"/>
            </w:tcMar>
          </w:tcPr>
          <w:p>
            <w:pPr>
              <w:spacing w:after="0"/>
            </w:pPr>
            <w:r>
              <w:rPr>
                <w:sz w:val="17"/>
              </w:rPr>
              <w:t>Canonical data SHALL be exportable in documented, machine-readable formats without vendor lock-in.</w:t>
            </w:r>
          </w:p>
        </w:tc>
      </w:tr>
      <w:tr>
        <w:tc>
          <w:tcPr>
            <w:tcW w:type="dxa" w:w="1152"/>
            <w:vAlign w:val="center"/>
            <w:tcMar>
              <w:top w:w="90" w:type="dxa"/>
              <w:start w:w="110" w:type="dxa"/>
              <w:bottom w:w="90" w:type="dxa"/>
              <w:end w:w="110" w:type="dxa"/>
            </w:tcMar>
          </w:tcPr>
          <w:p>
            <w:pPr>
              <w:spacing w:after="0"/>
            </w:pPr>
            <w:r>
              <w:rPr>
                <w:sz w:val="17"/>
              </w:rPr>
              <w:t>TA-P11</w:t>
            </w:r>
          </w:p>
        </w:tc>
        <w:tc>
          <w:tcPr>
            <w:tcW w:type="dxa" w:w="2448"/>
            <w:vAlign w:val="center"/>
            <w:tcMar>
              <w:top w:w="90" w:type="dxa"/>
              <w:start w:w="110" w:type="dxa"/>
              <w:bottom w:w="90" w:type="dxa"/>
              <w:end w:w="110" w:type="dxa"/>
            </w:tcMar>
          </w:tcPr>
          <w:p>
            <w:pPr>
              <w:spacing w:after="0"/>
            </w:pPr>
            <w:r>
              <w:rPr>
                <w:sz w:val="17"/>
              </w:rPr>
              <w:t>Graceful degradation</w:t>
            </w:r>
          </w:p>
        </w:tc>
        <w:tc>
          <w:tcPr>
            <w:tcW w:type="dxa" w:w="6480"/>
            <w:vAlign w:val="center"/>
            <w:tcMar>
              <w:top w:w="90" w:type="dxa"/>
              <w:start w:w="110" w:type="dxa"/>
              <w:bottom w:w="90" w:type="dxa"/>
              <w:end w:w="110" w:type="dxa"/>
            </w:tcMar>
          </w:tcPr>
          <w:p>
            <w:pPr>
              <w:spacing w:after="0"/>
            </w:pPr>
            <w:r>
              <w:rPr>
                <w:sz w:val="17"/>
              </w:rPr>
              <w:t>Loss of optional analytics SHALL not make evidence inaccessible or corrupt canonical records.</w:t>
            </w:r>
          </w:p>
        </w:tc>
      </w:tr>
      <w:tr>
        <w:tc>
          <w:tcPr>
            <w:tcW w:type="dxa" w:w="1152"/>
            <w:vAlign w:val="center"/>
            <w:tcMar>
              <w:top w:w="90" w:type="dxa"/>
              <w:start w:w="110" w:type="dxa"/>
              <w:bottom w:w="90" w:type="dxa"/>
              <w:end w:w="110" w:type="dxa"/>
            </w:tcMar>
          </w:tcPr>
          <w:p>
            <w:pPr>
              <w:spacing w:after="0"/>
            </w:pPr>
            <w:r>
              <w:rPr>
                <w:sz w:val="17"/>
              </w:rPr>
              <w:t>TA-P12</w:t>
            </w:r>
          </w:p>
        </w:tc>
        <w:tc>
          <w:tcPr>
            <w:tcW w:type="dxa" w:w="2448"/>
            <w:vAlign w:val="center"/>
            <w:tcMar>
              <w:top w:w="90" w:type="dxa"/>
              <w:start w:w="110" w:type="dxa"/>
              <w:bottom w:w="90" w:type="dxa"/>
              <w:end w:w="110" w:type="dxa"/>
            </w:tcMar>
          </w:tcPr>
          <w:p>
            <w:pPr>
              <w:spacing w:after="0"/>
            </w:pPr>
            <w:r>
              <w:rPr>
                <w:sz w:val="17"/>
              </w:rPr>
              <w:t>No surveillance maturity fallacy</w:t>
            </w:r>
          </w:p>
        </w:tc>
        <w:tc>
          <w:tcPr>
            <w:tcW w:type="dxa" w:w="6480"/>
            <w:vAlign w:val="center"/>
            <w:tcMar>
              <w:top w:w="90" w:type="dxa"/>
              <w:start w:w="110" w:type="dxa"/>
              <w:bottom w:w="90" w:type="dxa"/>
              <w:end w:w="110" w:type="dxa"/>
            </w:tcMar>
          </w:tcPr>
          <w:p>
            <w:pPr>
              <w:spacing w:after="0"/>
            </w:pPr>
            <w:r>
              <w:rPr>
                <w:sz w:val="17"/>
              </w:rPr>
              <w:t>Higher technical maturity SHALL mean stronger quality, security, and accountability, not broader collection.</w:t>
            </w:r>
          </w:p>
        </w:tc>
      </w:tr>
    </w:tbl>
    <w:p>
      <w:pPr>
        <w:spacing w:after="20"/>
      </w:pPr>
    </w:p>
    <w:p>
      <w:pPr>
        <w:pStyle w:val="Heading1"/>
      </w:pPr>
      <w:r>
        <w:t>3. Stakeholders, Roles, and Trust Boundaries</w:t>
      </w:r>
    </w:p>
    <w:p>
      <w:pPr>
        <w:pStyle w:val="Heading2"/>
      </w:pPr>
      <w:r>
        <w:t>3.1 Human roles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4E79"/>
            <w:vAlign w:val="center"/>
            <w:tcMar>
              <w:top w:w="90" w:type="dxa"/>
              <w:start w:w="110" w:type="dxa"/>
              <w:bottom w:w="90" w:type="dxa"/>
              <w:end w:w="110" w:type="dxa"/>
            </w:tcMar>
          </w:tcPr>
          <w:p>
            <w:r>
              <w:rPr>
                <w:b/>
                <w:color w:val="FFFFFF"/>
                <w:sz w:val="17"/>
              </w:rPr>
              <w:t>Role</w:t>
            </w:r>
          </w:p>
        </w:tc>
        <w:tc>
          <w:tcPr>
            <w:tcW w:type="dxa" w:w="3456"/>
            <w:shd w:fill="1F4E79"/>
            <w:vAlign w:val="center"/>
            <w:tcMar>
              <w:top w:w="90" w:type="dxa"/>
              <w:start w:w="110" w:type="dxa"/>
              <w:bottom w:w="90" w:type="dxa"/>
              <w:end w:w="110" w:type="dxa"/>
            </w:tcMar>
          </w:tcPr>
          <w:p>
            <w:r>
              <w:rPr>
                <w:b/>
                <w:color w:val="FFFFFF"/>
                <w:sz w:val="17"/>
              </w:rPr>
              <w:t>Core authority</w:t>
            </w:r>
          </w:p>
        </w:tc>
        <w:tc>
          <w:tcPr>
            <w:tcW w:type="dxa" w:w="4608"/>
            <w:shd w:fill="1F4E79"/>
            <w:vAlign w:val="center"/>
            <w:tcMar>
              <w:top w:w="90" w:type="dxa"/>
              <w:start w:w="110" w:type="dxa"/>
              <w:bottom w:w="90" w:type="dxa"/>
              <w:end w:w="110" w:type="dxa"/>
            </w:tcMar>
          </w:tcPr>
          <w:p>
            <w:r>
              <w:rPr>
                <w:b/>
                <w:color w:val="FFFFFF"/>
                <w:sz w:val="17"/>
              </w:rPr>
              <w:t>Sensitive actions</w:t>
            </w:r>
          </w:p>
        </w:tc>
      </w:tr>
      <w:tr>
        <w:tc>
          <w:tcPr>
            <w:tcW w:type="dxa" w:w="2016"/>
            <w:vAlign w:val="center"/>
            <w:tcMar>
              <w:top w:w="90" w:type="dxa"/>
              <w:start w:w="110" w:type="dxa"/>
              <w:bottom w:w="90" w:type="dxa"/>
              <w:end w:w="110" w:type="dxa"/>
            </w:tcMar>
          </w:tcPr>
          <w:p>
            <w:pPr>
              <w:spacing w:after="0"/>
            </w:pPr>
            <w:r>
              <w:rPr>
                <w:sz w:val="17"/>
              </w:rPr>
              <w:t>Analyst</w:t>
            </w:r>
          </w:p>
        </w:tc>
        <w:tc>
          <w:tcPr>
            <w:tcW w:type="dxa" w:w="3456"/>
            <w:vAlign w:val="center"/>
            <w:tcMar>
              <w:top w:w="90" w:type="dxa"/>
              <w:start w:w="110" w:type="dxa"/>
              <w:bottom w:w="90" w:type="dxa"/>
              <w:end w:w="110" w:type="dxa"/>
            </w:tcMar>
          </w:tcPr>
          <w:p>
            <w:pPr>
              <w:spacing w:after="0"/>
            </w:pPr>
            <w:r>
              <w:rPr>
                <w:sz w:val="17"/>
              </w:rPr>
              <w:t>Create and analyse case-scoped information</w:t>
            </w:r>
          </w:p>
        </w:tc>
        <w:tc>
          <w:tcPr>
            <w:tcW w:type="dxa" w:w="4608"/>
            <w:vAlign w:val="center"/>
            <w:tcMar>
              <w:top w:w="90" w:type="dxa"/>
              <w:start w:w="110" w:type="dxa"/>
              <w:bottom w:w="90" w:type="dxa"/>
              <w:end w:w="110" w:type="dxa"/>
            </w:tcMar>
          </w:tcPr>
          <w:p>
            <w:pPr>
              <w:spacing w:after="0"/>
            </w:pPr>
            <w:r>
              <w:rPr>
                <w:sz w:val="17"/>
              </w:rPr>
              <w:t>Propose entity merge, typology match, hypothesis, assessment</w:t>
            </w:r>
          </w:p>
        </w:tc>
      </w:tr>
      <w:tr>
        <w:tc>
          <w:tcPr>
            <w:tcW w:type="dxa" w:w="2016"/>
            <w:vAlign w:val="center"/>
            <w:tcMar>
              <w:top w:w="90" w:type="dxa"/>
              <w:start w:w="110" w:type="dxa"/>
              <w:bottom w:w="90" w:type="dxa"/>
              <w:end w:w="110" w:type="dxa"/>
            </w:tcMar>
          </w:tcPr>
          <w:p>
            <w:pPr>
              <w:spacing w:after="0"/>
            </w:pPr>
            <w:r>
              <w:rPr>
                <w:sz w:val="17"/>
              </w:rPr>
              <w:t>Case Owner</w:t>
            </w:r>
          </w:p>
        </w:tc>
        <w:tc>
          <w:tcPr>
            <w:tcW w:type="dxa" w:w="3456"/>
            <w:vAlign w:val="center"/>
            <w:tcMar>
              <w:top w:w="90" w:type="dxa"/>
              <w:start w:w="110" w:type="dxa"/>
              <w:bottom w:w="90" w:type="dxa"/>
              <w:end w:w="110" w:type="dxa"/>
            </w:tcMar>
          </w:tcPr>
          <w:p>
            <w:pPr>
              <w:spacing w:after="0"/>
            </w:pPr>
            <w:r>
              <w:rPr>
                <w:sz w:val="17"/>
              </w:rPr>
              <w:t>Accountable for purpose and scope</w:t>
            </w:r>
          </w:p>
        </w:tc>
        <w:tc>
          <w:tcPr>
            <w:tcW w:type="dxa" w:w="4608"/>
            <w:vAlign w:val="center"/>
            <w:tcMar>
              <w:top w:w="90" w:type="dxa"/>
              <w:start w:w="110" w:type="dxa"/>
              <w:bottom w:w="90" w:type="dxa"/>
              <w:end w:w="110" w:type="dxa"/>
            </w:tcMar>
          </w:tcPr>
          <w:p>
            <w:pPr>
              <w:spacing w:after="0"/>
            </w:pPr>
            <w:r>
              <w:rPr>
                <w:sz w:val="17"/>
              </w:rPr>
              <w:t>Approve scope changes, pause/close case</w:t>
            </w:r>
          </w:p>
        </w:tc>
      </w:tr>
      <w:tr>
        <w:tc>
          <w:tcPr>
            <w:tcW w:type="dxa" w:w="2016"/>
            <w:vAlign w:val="center"/>
            <w:tcMar>
              <w:top w:w="90" w:type="dxa"/>
              <w:start w:w="110" w:type="dxa"/>
              <w:bottom w:w="90" w:type="dxa"/>
              <w:end w:w="110" w:type="dxa"/>
            </w:tcMar>
          </w:tcPr>
          <w:p>
            <w:pPr>
              <w:spacing w:after="0"/>
            </w:pPr>
            <w:r>
              <w:rPr>
                <w:sz w:val="17"/>
              </w:rPr>
              <w:t>Reviewer</w:t>
            </w:r>
          </w:p>
        </w:tc>
        <w:tc>
          <w:tcPr>
            <w:tcW w:type="dxa" w:w="3456"/>
            <w:vAlign w:val="center"/>
            <w:tcMar>
              <w:top w:w="90" w:type="dxa"/>
              <w:start w:w="110" w:type="dxa"/>
              <w:bottom w:w="90" w:type="dxa"/>
              <w:end w:w="110" w:type="dxa"/>
            </w:tcMar>
          </w:tcPr>
          <w:p>
            <w:pPr>
              <w:spacing w:after="0"/>
            </w:pPr>
            <w:r>
              <w:rPr>
                <w:sz w:val="17"/>
              </w:rPr>
              <w:t>Independent analytical review</w:t>
            </w:r>
          </w:p>
        </w:tc>
        <w:tc>
          <w:tcPr>
            <w:tcW w:type="dxa" w:w="4608"/>
            <w:vAlign w:val="center"/>
            <w:tcMar>
              <w:top w:w="90" w:type="dxa"/>
              <w:start w:w="110" w:type="dxa"/>
              <w:bottom w:w="90" w:type="dxa"/>
              <w:end w:w="110" w:type="dxa"/>
            </w:tcMar>
          </w:tcPr>
          <w:p>
            <w:pPr>
              <w:spacing w:after="0"/>
            </w:pPr>
            <w:r>
              <w:rPr>
                <w:sz w:val="17"/>
              </w:rPr>
              <w:t>Challenge evidence sufficiency and confidence</w:t>
            </w:r>
          </w:p>
        </w:tc>
      </w:tr>
      <w:tr>
        <w:tc>
          <w:tcPr>
            <w:tcW w:type="dxa" w:w="2016"/>
            <w:vAlign w:val="center"/>
            <w:tcMar>
              <w:top w:w="90" w:type="dxa"/>
              <w:start w:w="110" w:type="dxa"/>
              <w:bottom w:w="90" w:type="dxa"/>
              <w:end w:w="110" w:type="dxa"/>
            </w:tcMar>
          </w:tcPr>
          <w:p>
            <w:pPr>
              <w:spacing w:after="0"/>
            </w:pPr>
            <w:r>
              <w:rPr>
                <w:sz w:val="17"/>
              </w:rPr>
              <w:t>Publication/Referral Approver</w:t>
            </w:r>
          </w:p>
        </w:tc>
        <w:tc>
          <w:tcPr>
            <w:tcW w:type="dxa" w:w="3456"/>
            <w:vAlign w:val="center"/>
            <w:tcMar>
              <w:top w:w="90" w:type="dxa"/>
              <w:start w:w="110" w:type="dxa"/>
              <w:bottom w:w="90" w:type="dxa"/>
              <w:end w:w="110" w:type="dxa"/>
            </w:tcMar>
          </w:tcPr>
          <w:p>
            <w:pPr>
              <w:spacing w:after="0"/>
            </w:pPr>
            <w:r>
              <w:rPr>
                <w:sz w:val="17"/>
              </w:rPr>
              <w:t>Approve external dissemination</w:t>
            </w:r>
          </w:p>
        </w:tc>
        <w:tc>
          <w:tcPr>
            <w:tcW w:type="dxa" w:w="4608"/>
            <w:vAlign w:val="center"/>
            <w:tcMar>
              <w:top w:w="90" w:type="dxa"/>
              <w:start w:w="110" w:type="dxa"/>
              <w:bottom w:w="90" w:type="dxa"/>
              <w:end w:w="110" w:type="dxa"/>
            </w:tcMar>
          </w:tcPr>
          <w:p>
            <w:pPr>
              <w:spacing w:after="0"/>
            </w:pPr>
            <w:r>
              <w:rPr>
                <w:sz w:val="17"/>
              </w:rPr>
              <w:t>Authorize high-impact exports</w:t>
            </w:r>
          </w:p>
        </w:tc>
      </w:tr>
      <w:tr>
        <w:tc>
          <w:tcPr>
            <w:tcW w:type="dxa" w:w="2016"/>
            <w:vAlign w:val="center"/>
            <w:tcMar>
              <w:top w:w="90" w:type="dxa"/>
              <w:start w:w="110" w:type="dxa"/>
              <w:bottom w:w="90" w:type="dxa"/>
              <w:end w:w="110" w:type="dxa"/>
            </w:tcMar>
          </w:tcPr>
          <w:p>
            <w:pPr>
              <w:spacing w:after="0"/>
            </w:pPr>
            <w:r>
              <w:rPr>
                <w:sz w:val="17"/>
              </w:rPr>
              <w:t>Source Protector</w:t>
            </w:r>
          </w:p>
        </w:tc>
        <w:tc>
          <w:tcPr>
            <w:tcW w:type="dxa" w:w="3456"/>
            <w:vAlign w:val="center"/>
            <w:tcMar>
              <w:top w:w="90" w:type="dxa"/>
              <w:start w:w="110" w:type="dxa"/>
              <w:bottom w:w="90" w:type="dxa"/>
              <w:end w:w="110" w:type="dxa"/>
            </w:tcMar>
          </w:tcPr>
          <w:p>
            <w:pPr>
              <w:spacing w:after="0"/>
            </w:pPr>
            <w:r>
              <w:rPr>
                <w:sz w:val="17"/>
              </w:rPr>
              <w:t>Manage protected-source identity</w:t>
            </w:r>
          </w:p>
        </w:tc>
        <w:tc>
          <w:tcPr>
            <w:tcW w:type="dxa" w:w="4608"/>
            <w:vAlign w:val="center"/>
            <w:tcMar>
              <w:top w:w="90" w:type="dxa"/>
              <w:start w:w="110" w:type="dxa"/>
              <w:bottom w:w="90" w:type="dxa"/>
              <w:end w:w="110" w:type="dxa"/>
            </w:tcMar>
          </w:tcPr>
          <w:p>
            <w:pPr>
              <w:spacing w:after="0"/>
            </w:pPr>
            <w:r>
              <w:rPr>
                <w:sz w:val="17"/>
              </w:rPr>
              <w:t>Control reveal/re-identification</w:t>
            </w:r>
          </w:p>
        </w:tc>
      </w:tr>
      <w:tr>
        <w:tc>
          <w:tcPr>
            <w:tcW w:type="dxa" w:w="2016"/>
            <w:vAlign w:val="center"/>
            <w:tcMar>
              <w:top w:w="90" w:type="dxa"/>
              <w:start w:w="110" w:type="dxa"/>
              <w:bottom w:w="90" w:type="dxa"/>
              <w:end w:w="110" w:type="dxa"/>
            </w:tcMar>
          </w:tcPr>
          <w:p>
            <w:pPr>
              <w:spacing w:after="0"/>
            </w:pPr>
            <w:r>
              <w:rPr>
                <w:sz w:val="17"/>
              </w:rPr>
              <w:t>System Administrator</w:t>
            </w:r>
          </w:p>
        </w:tc>
        <w:tc>
          <w:tcPr>
            <w:tcW w:type="dxa" w:w="3456"/>
            <w:vAlign w:val="center"/>
            <w:tcMar>
              <w:top w:w="90" w:type="dxa"/>
              <w:start w:w="110" w:type="dxa"/>
              <w:bottom w:w="90" w:type="dxa"/>
              <w:end w:w="110" w:type="dxa"/>
            </w:tcMar>
          </w:tcPr>
          <w:p>
            <w:pPr>
              <w:spacing w:after="0"/>
            </w:pPr>
            <w:r>
              <w:rPr>
                <w:sz w:val="17"/>
              </w:rPr>
              <w:t>Operate platform</w:t>
            </w:r>
          </w:p>
        </w:tc>
        <w:tc>
          <w:tcPr>
            <w:tcW w:type="dxa" w:w="4608"/>
            <w:vAlign w:val="center"/>
            <w:tcMar>
              <w:top w:w="90" w:type="dxa"/>
              <w:start w:w="110" w:type="dxa"/>
              <w:bottom w:w="90" w:type="dxa"/>
              <w:end w:w="110" w:type="dxa"/>
            </w:tcMar>
          </w:tcPr>
          <w:p>
            <w:pPr>
              <w:spacing w:after="0"/>
            </w:pPr>
            <w:r>
              <w:rPr>
                <w:sz w:val="17"/>
              </w:rPr>
              <w:t>Infrastructure administration, not analytical approval</w:t>
            </w:r>
          </w:p>
        </w:tc>
      </w:tr>
      <w:tr>
        <w:tc>
          <w:tcPr>
            <w:tcW w:type="dxa" w:w="2016"/>
            <w:vAlign w:val="center"/>
            <w:tcMar>
              <w:top w:w="90" w:type="dxa"/>
              <w:start w:w="110" w:type="dxa"/>
              <w:bottom w:w="90" w:type="dxa"/>
              <w:end w:w="110" w:type="dxa"/>
            </w:tcMar>
          </w:tcPr>
          <w:p>
            <w:pPr>
              <w:spacing w:after="0"/>
            </w:pPr>
            <w:r>
              <w:rPr>
                <w:sz w:val="17"/>
              </w:rPr>
              <w:t>Security Administrator</w:t>
            </w:r>
          </w:p>
        </w:tc>
        <w:tc>
          <w:tcPr>
            <w:tcW w:type="dxa" w:w="3456"/>
            <w:vAlign w:val="center"/>
            <w:tcMar>
              <w:top w:w="90" w:type="dxa"/>
              <w:start w:w="110" w:type="dxa"/>
              <w:bottom w:w="90" w:type="dxa"/>
              <w:end w:w="110" w:type="dxa"/>
            </w:tcMar>
          </w:tcPr>
          <w:p>
            <w:pPr>
              <w:spacing w:after="0"/>
            </w:pPr>
            <w:r>
              <w:rPr>
                <w:sz w:val="17"/>
              </w:rPr>
              <w:t>Security policies, keys, incident response</w:t>
            </w:r>
          </w:p>
        </w:tc>
        <w:tc>
          <w:tcPr>
            <w:tcW w:type="dxa" w:w="4608"/>
            <w:vAlign w:val="center"/>
            <w:tcMar>
              <w:top w:w="90" w:type="dxa"/>
              <w:start w:w="110" w:type="dxa"/>
              <w:bottom w:w="90" w:type="dxa"/>
              <w:end w:w="110" w:type="dxa"/>
            </w:tcMar>
          </w:tcPr>
          <w:p>
            <w:pPr>
              <w:spacing w:after="0"/>
            </w:pPr>
            <w:r>
              <w:rPr>
                <w:sz w:val="17"/>
              </w:rPr>
              <w:t>Privileged security configuration</w:t>
            </w:r>
          </w:p>
        </w:tc>
      </w:tr>
      <w:tr>
        <w:tc>
          <w:tcPr>
            <w:tcW w:type="dxa" w:w="2016"/>
            <w:vAlign w:val="center"/>
            <w:tcMar>
              <w:top w:w="90" w:type="dxa"/>
              <w:start w:w="110" w:type="dxa"/>
              <w:bottom w:w="90" w:type="dxa"/>
              <w:end w:w="110" w:type="dxa"/>
            </w:tcMar>
          </w:tcPr>
          <w:p>
            <w:pPr>
              <w:spacing w:after="0"/>
            </w:pPr>
            <w:r>
              <w:rPr>
                <w:sz w:val="17"/>
              </w:rPr>
              <w:t>Auditor</w:t>
            </w:r>
          </w:p>
        </w:tc>
        <w:tc>
          <w:tcPr>
            <w:tcW w:type="dxa" w:w="3456"/>
            <w:vAlign w:val="center"/>
            <w:tcMar>
              <w:top w:w="90" w:type="dxa"/>
              <w:start w:w="110" w:type="dxa"/>
              <w:bottom w:w="90" w:type="dxa"/>
              <w:end w:w="110" w:type="dxa"/>
            </w:tcMar>
          </w:tcPr>
          <w:p>
            <w:pPr>
              <w:spacing w:after="0"/>
            </w:pPr>
            <w:r>
              <w:rPr>
                <w:sz w:val="17"/>
              </w:rPr>
              <w:t>Inspect control evidence</w:t>
            </w:r>
          </w:p>
        </w:tc>
        <w:tc>
          <w:tcPr>
            <w:tcW w:type="dxa" w:w="4608"/>
            <w:vAlign w:val="center"/>
            <w:tcMar>
              <w:top w:w="90" w:type="dxa"/>
              <w:start w:w="110" w:type="dxa"/>
              <w:bottom w:w="90" w:type="dxa"/>
              <w:end w:w="110" w:type="dxa"/>
            </w:tcMar>
          </w:tcPr>
          <w:p>
            <w:pPr>
              <w:spacing w:after="0"/>
            </w:pPr>
            <w:r>
              <w:rPr>
                <w:sz w:val="17"/>
              </w:rPr>
              <w:t>Read audit evidence without altering case state</w:t>
            </w:r>
          </w:p>
        </w:tc>
      </w:tr>
    </w:tbl>
    <w:p>
      <w:pPr>
        <w:spacing w:after="20"/>
      </w:pPr>
    </w:p>
    <w:p>
      <w:pPr>
        <w:pStyle w:val="Heading2"/>
      </w:pPr>
      <w:r>
        <w:t>3.2 Trust boundaries</w:t>
      </w:r>
    </w:p>
    <w:p>
      <w:pPr>
        <w:pStyle w:val="CodeBlock"/>
        <w:shd w:fill="F7F8FA"/>
      </w:pPr>
      <w:r>
        <w:t>External Sources / Public Internet</w:t>
        <w:br/>
        <w:t xml:space="preserve">        |</w:t>
        <w:br/>
        <w:t xml:space="preserve">        v</w:t>
        <w:br/>
        <w:t>[Acquisition Boundary]</w:t>
        <w:br/>
        <w:t xml:space="preserve">        | sanitized/registered objects</w:t>
        <w:br/>
        <w:t xml:space="preserve">        v</w:t>
        <w:br/>
        <w:t>[Evidence Trust Zone] ---- immutable originals / hashes</w:t>
        <w:br/>
        <w:t xml:space="preserve">        |</w:t>
        <w:br/>
        <w:t xml:space="preserve">        v</w:t>
        <w:br/>
        <w:t>[Analytical Trust Zone] -- entities / graph / timelines / hypotheses</w:t>
        <w:br/>
        <w:t xml:space="preserve">        |</w:t>
        <w:br/>
        <w:t xml:space="preserve">        v</w:t>
        <w:br/>
        <w:t>[Review &amp; Approval Zone]</w:t>
        <w:br/>
        <w:t xml:space="preserve">        |</w:t>
        <w:br/>
        <w:t xml:space="preserve">        v</w:t>
        <w:br/>
        <w:t>[Dissemination Boundary] ---&gt; FIU / authority / publication / partner</w:t>
      </w:r>
    </w:p>
    <w:p>
      <w:pPr>
        <w:spacing w:after="100" w:line="259" w:lineRule="auto"/>
      </w:pPr>
      <w:r>
        <w:rPr>
          <w:b w:val="0"/>
          <w:i w:val="0"/>
        </w:rPr>
        <w:t>A single-server deployment MAY host all zones on one machine, but the application SHALL preserve logical separation through roles, authorization policy, service boundaries, object classes, audit events, and export controls.</w:t>
      </w:r>
    </w:p>
    <w:p>
      <w:pPr>
        <w:pStyle w:val="Heading1"/>
      </w:pPr>
      <w:r>
        <w:t>4. Capability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1F4E79"/>
            <w:vAlign w:val="center"/>
            <w:tcMar>
              <w:top w:w="90" w:type="dxa"/>
              <w:start w:w="110" w:type="dxa"/>
              <w:bottom w:w="90" w:type="dxa"/>
              <w:end w:w="110" w:type="dxa"/>
            </w:tcMar>
          </w:tcPr>
          <w:p>
            <w:r>
              <w:rPr>
                <w:b/>
                <w:color w:val="FFFFFF"/>
                <w:sz w:val="17"/>
              </w:rPr>
              <w:t>ID</w:t>
            </w:r>
          </w:p>
        </w:tc>
        <w:tc>
          <w:tcPr>
            <w:tcW w:type="dxa" w:w="2448"/>
            <w:shd w:fill="1F4E79"/>
            <w:vAlign w:val="center"/>
            <w:tcMar>
              <w:top w:w="90" w:type="dxa"/>
              <w:start w:w="110" w:type="dxa"/>
              <w:bottom w:w="90" w:type="dxa"/>
              <w:end w:w="110" w:type="dxa"/>
            </w:tcMar>
          </w:tcPr>
          <w:p>
            <w:r>
              <w:rPr>
                <w:b/>
                <w:color w:val="FFFFFF"/>
                <w:sz w:val="17"/>
              </w:rPr>
              <w:t>Capability</w:t>
            </w:r>
          </w:p>
        </w:tc>
        <w:tc>
          <w:tcPr>
            <w:tcW w:type="dxa" w:w="6480"/>
            <w:shd w:fill="1F4E79"/>
            <w:vAlign w:val="center"/>
            <w:tcMar>
              <w:top w:w="90" w:type="dxa"/>
              <w:start w:w="110" w:type="dxa"/>
              <w:bottom w:w="90" w:type="dxa"/>
              <w:end w:w="110" w:type="dxa"/>
            </w:tcMar>
          </w:tcPr>
          <w:p>
            <w:r>
              <w:rPr>
                <w:b/>
                <w:color w:val="FFFFFF"/>
                <w:sz w:val="17"/>
              </w:rPr>
              <w:t>Minimum responsibility</w:t>
            </w:r>
          </w:p>
        </w:tc>
      </w:tr>
      <w:tr>
        <w:tc>
          <w:tcPr>
            <w:tcW w:type="dxa" w:w="1152"/>
            <w:vAlign w:val="center"/>
            <w:tcMar>
              <w:top w:w="90" w:type="dxa"/>
              <w:start w:w="110" w:type="dxa"/>
              <w:bottom w:w="90" w:type="dxa"/>
              <w:end w:w="110" w:type="dxa"/>
            </w:tcMar>
          </w:tcPr>
          <w:p>
            <w:pPr>
              <w:spacing w:after="0"/>
            </w:pPr>
            <w:r>
              <w:rPr>
                <w:sz w:val="17"/>
              </w:rPr>
              <w:t>CAP-01</w:t>
            </w:r>
          </w:p>
        </w:tc>
        <w:tc>
          <w:tcPr>
            <w:tcW w:type="dxa" w:w="2448"/>
            <w:vAlign w:val="center"/>
            <w:tcMar>
              <w:top w:w="90" w:type="dxa"/>
              <w:start w:w="110" w:type="dxa"/>
              <w:bottom w:w="90" w:type="dxa"/>
              <w:end w:w="110" w:type="dxa"/>
            </w:tcMar>
          </w:tcPr>
          <w:p>
            <w:pPr>
              <w:spacing w:after="0"/>
            </w:pPr>
            <w:r>
              <w:rPr>
                <w:sz w:val="17"/>
              </w:rPr>
              <w:t>Case &amp; workflow</w:t>
            </w:r>
          </w:p>
        </w:tc>
        <w:tc>
          <w:tcPr>
            <w:tcW w:type="dxa" w:w="6480"/>
            <w:vAlign w:val="center"/>
            <w:tcMar>
              <w:top w:w="90" w:type="dxa"/>
              <w:start w:w="110" w:type="dxa"/>
              <w:bottom w:w="90" w:type="dxa"/>
              <w:end w:w="110" w:type="dxa"/>
            </w:tcMar>
          </w:tcPr>
          <w:p>
            <w:pPr>
              <w:spacing w:after="0"/>
            </w:pPr>
            <w:r>
              <w:rPr>
                <w:sz w:val="17"/>
              </w:rPr>
              <w:t>Intake, charter, gates, tasks, review, closure</w:t>
            </w:r>
          </w:p>
        </w:tc>
      </w:tr>
      <w:tr>
        <w:tc>
          <w:tcPr>
            <w:tcW w:type="dxa" w:w="1152"/>
            <w:vAlign w:val="center"/>
            <w:tcMar>
              <w:top w:w="90" w:type="dxa"/>
              <w:start w:w="110" w:type="dxa"/>
              <w:bottom w:w="90" w:type="dxa"/>
              <w:end w:w="110" w:type="dxa"/>
            </w:tcMar>
          </w:tcPr>
          <w:p>
            <w:pPr>
              <w:spacing w:after="0"/>
            </w:pPr>
            <w:r>
              <w:rPr>
                <w:sz w:val="17"/>
              </w:rPr>
              <w:t>CAP-02</w:t>
            </w:r>
          </w:p>
        </w:tc>
        <w:tc>
          <w:tcPr>
            <w:tcW w:type="dxa" w:w="2448"/>
            <w:vAlign w:val="center"/>
            <w:tcMar>
              <w:top w:w="90" w:type="dxa"/>
              <w:start w:w="110" w:type="dxa"/>
              <w:bottom w:w="90" w:type="dxa"/>
              <w:end w:w="110" w:type="dxa"/>
            </w:tcMar>
          </w:tcPr>
          <w:p>
            <w:pPr>
              <w:spacing w:after="0"/>
            </w:pPr>
            <w:r>
              <w:rPr>
                <w:sz w:val="17"/>
              </w:rPr>
              <w:t>Source &amp; evidence</w:t>
            </w:r>
          </w:p>
        </w:tc>
        <w:tc>
          <w:tcPr>
            <w:tcW w:type="dxa" w:w="6480"/>
            <w:vAlign w:val="center"/>
            <w:tcMar>
              <w:top w:w="90" w:type="dxa"/>
              <w:start w:w="110" w:type="dxa"/>
              <w:bottom w:w="90" w:type="dxa"/>
              <w:end w:w="110" w:type="dxa"/>
            </w:tcMar>
          </w:tcPr>
          <w:p>
            <w:pPr>
              <w:spacing w:after="0"/>
            </w:pPr>
            <w:r>
              <w:rPr>
                <w:sz w:val="17"/>
              </w:rPr>
              <w:t>Acquisition, registration, hashing, extracts, provenance</w:t>
            </w:r>
          </w:p>
        </w:tc>
      </w:tr>
      <w:tr>
        <w:tc>
          <w:tcPr>
            <w:tcW w:type="dxa" w:w="1152"/>
            <w:vAlign w:val="center"/>
            <w:tcMar>
              <w:top w:w="90" w:type="dxa"/>
              <w:start w:w="110" w:type="dxa"/>
              <w:bottom w:w="90" w:type="dxa"/>
              <w:end w:w="110" w:type="dxa"/>
            </w:tcMar>
          </w:tcPr>
          <w:p>
            <w:pPr>
              <w:spacing w:after="0"/>
            </w:pPr>
            <w:r>
              <w:rPr>
                <w:sz w:val="17"/>
              </w:rPr>
              <w:t>CAP-03</w:t>
            </w:r>
          </w:p>
        </w:tc>
        <w:tc>
          <w:tcPr>
            <w:tcW w:type="dxa" w:w="2448"/>
            <w:vAlign w:val="center"/>
            <w:tcMar>
              <w:top w:w="90" w:type="dxa"/>
              <w:start w:w="110" w:type="dxa"/>
              <w:bottom w:w="90" w:type="dxa"/>
              <w:end w:w="110" w:type="dxa"/>
            </w:tcMar>
          </w:tcPr>
          <w:p>
            <w:pPr>
              <w:spacing w:after="0"/>
            </w:pPr>
            <w:r>
              <w:rPr>
                <w:sz w:val="17"/>
              </w:rPr>
              <w:t>Entity &amp; identity</w:t>
            </w:r>
          </w:p>
        </w:tc>
        <w:tc>
          <w:tcPr>
            <w:tcW w:type="dxa" w:w="6480"/>
            <w:vAlign w:val="center"/>
            <w:tcMar>
              <w:top w:w="90" w:type="dxa"/>
              <w:start w:w="110" w:type="dxa"/>
              <w:bottom w:w="90" w:type="dxa"/>
              <w:end w:w="110" w:type="dxa"/>
            </w:tcMar>
          </w:tcPr>
          <w:p>
            <w:pPr>
              <w:spacing w:after="0"/>
            </w:pPr>
            <w:r>
              <w:rPr>
                <w:sz w:val="17"/>
              </w:rPr>
              <w:t>Entity creation, aliases, external identifiers, resolution</w:t>
            </w:r>
          </w:p>
        </w:tc>
      </w:tr>
      <w:tr>
        <w:tc>
          <w:tcPr>
            <w:tcW w:type="dxa" w:w="1152"/>
            <w:vAlign w:val="center"/>
            <w:tcMar>
              <w:top w:w="90" w:type="dxa"/>
              <w:start w:w="110" w:type="dxa"/>
              <w:bottom w:w="90" w:type="dxa"/>
              <w:end w:w="110" w:type="dxa"/>
            </w:tcMar>
          </w:tcPr>
          <w:p>
            <w:pPr>
              <w:spacing w:after="0"/>
            </w:pPr>
            <w:r>
              <w:rPr>
                <w:sz w:val="17"/>
              </w:rPr>
              <w:t>CAP-04</w:t>
            </w:r>
          </w:p>
        </w:tc>
        <w:tc>
          <w:tcPr>
            <w:tcW w:type="dxa" w:w="2448"/>
            <w:vAlign w:val="center"/>
            <w:tcMar>
              <w:top w:w="90" w:type="dxa"/>
              <w:start w:w="110" w:type="dxa"/>
              <w:bottom w:w="90" w:type="dxa"/>
              <w:end w:w="110" w:type="dxa"/>
            </w:tcMar>
          </w:tcPr>
          <w:p>
            <w:pPr>
              <w:spacing w:after="0"/>
            </w:pPr>
            <w:r>
              <w:rPr>
                <w:sz w:val="17"/>
              </w:rPr>
              <w:t>Relationships &amp; ownership</w:t>
            </w:r>
          </w:p>
        </w:tc>
        <w:tc>
          <w:tcPr>
            <w:tcW w:type="dxa" w:w="6480"/>
            <w:vAlign w:val="center"/>
            <w:tcMar>
              <w:top w:w="90" w:type="dxa"/>
              <w:start w:w="110" w:type="dxa"/>
              <w:bottom w:w="90" w:type="dxa"/>
              <w:end w:w="110" w:type="dxa"/>
            </w:tcMar>
          </w:tcPr>
          <w:p>
            <w:pPr>
              <w:spacing w:after="0"/>
            </w:pPr>
            <w:r>
              <w:rPr>
                <w:sz w:val="17"/>
              </w:rPr>
              <w:t>Ownership, control, role, kinship/association, provenance</w:t>
            </w:r>
          </w:p>
        </w:tc>
      </w:tr>
      <w:tr>
        <w:tc>
          <w:tcPr>
            <w:tcW w:type="dxa" w:w="1152"/>
            <w:vAlign w:val="center"/>
            <w:tcMar>
              <w:top w:w="90" w:type="dxa"/>
              <w:start w:w="110" w:type="dxa"/>
              <w:bottom w:w="90" w:type="dxa"/>
              <w:end w:w="110" w:type="dxa"/>
            </w:tcMar>
          </w:tcPr>
          <w:p>
            <w:pPr>
              <w:spacing w:after="0"/>
            </w:pPr>
            <w:r>
              <w:rPr>
                <w:sz w:val="17"/>
              </w:rPr>
              <w:t>CAP-05</w:t>
            </w:r>
          </w:p>
        </w:tc>
        <w:tc>
          <w:tcPr>
            <w:tcW w:type="dxa" w:w="2448"/>
            <w:vAlign w:val="center"/>
            <w:tcMar>
              <w:top w:w="90" w:type="dxa"/>
              <w:start w:w="110" w:type="dxa"/>
              <w:bottom w:w="90" w:type="dxa"/>
              <w:end w:w="110" w:type="dxa"/>
            </w:tcMar>
          </w:tcPr>
          <w:p>
            <w:pPr>
              <w:spacing w:after="0"/>
            </w:pPr>
            <w:r>
              <w:rPr>
                <w:sz w:val="17"/>
              </w:rPr>
              <w:t>Assets &amp; events</w:t>
            </w:r>
          </w:p>
        </w:tc>
        <w:tc>
          <w:tcPr>
            <w:tcW w:type="dxa" w:w="6480"/>
            <w:vAlign w:val="center"/>
            <w:tcMar>
              <w:top w:w="90" w:type="dxa"/>
              <w:start w:w="110" w:type="dxa"/>
              <w:bottom w:w="90" w:type="dxa"/>
              <w:end w:w="110" w:type="dxa"/>
            </w:tcMar>
          </w:tcPr>
          <w:p>
            <w:pPr>
              <w:spacing w:after="0"/>
            </w:pPr>
            <w:r>
              <w:rPr>
                <w:sz w:val="17"/>
              </w:rPr>
              <w:t>Asset registry, event timeline, valuation metadata</w:t>
            </w:r>
          </w:p>
        </w:tc>
      </w:tr>
      <w:tr>
        <w:tc>
          <w:tcPr>
            <w:tcW w:type="dxa" w:w="1152"/>
            <w:vAlign w:val="center"/>
            <w:tcMar>
              <w:top w:w="90" w:type="dxa"/>
              <w:start w:w="110" w:type="dxa"/>
              <w:bottom w:w="90" w:type="dxa"/>
              <w:end w:w="110" w:type="dxa"/>
            </w:tcMar>
          </w:tcPr>
          <w:p>
            <w:pPr>
              <w:spacing w:after="0"/>
            </w:pPr>
            <w:r>
              <w:rPr>
                <w:sz w:val="17"/>
              </w:rPr>
              <w:t>CAP-06</w:t>
            </w:r>
          </w:p>
        </w:tc>
        <w:tc>
          <w:tcPr>
            <w:tcW w:type="dxa" w:w="2448"/>
            <w:vAlign w:val="center"/>
            <w:tcMar>
              <w:top w:w="90" w:type="dxa"/>
              <w:start w:w="110" w:type="dxa"/>
              <w:bottom w:w="90" w:type="dxa"/>
              <w:end w:w="110" w:type="dxa"/>
            </w:tcMar>
          </w:tcPr>
          <w:p>
            <w:pPr>
              <w:spacing w:after="0"/>
            </w:pPr>
            <w:r>
              <w:rPr>
                <w:sz w:val="17"/>
              </w:rPr>
              <w:t>Value flow</w:t>
            </w:r>
          </w:p>
        </w:tc>
        <w:tc>
          <w:tcPr>
            <w:tcW w:type="dxa" w:w="6480"/>
            <w:vAlign w:val="center"/>
            <w:tcMar>
              <w:top w:w="90" w:type="dxa"/>
              <w:start w:w="110" w:type="dxa"/>
              <w:bottom w:w="90" w:type="dxa"/>
              <w:end w:w="110" w:type="dxa"/>
            </w:tcMar>
          </w:tcPr>
          <w:p>
            <w:pPr>
              <w:spacing w:after="0"/>
            </w:pPr>
            <w:r>
              <w:rPr>
                <w:sz w:val="17"/>
              </w:rPr>
              <w:t>Direct/documented/reconstructed/hypothetical value flows</w:t>
            </w:r>
          </w:p>
        </w:tc>
      </w:tr>
      <w:tr>
        <w:tc>
          <w:tcPr>
            <w:tcW w:type="dxa" w:w="1152"/>
            <w:vAlign w:val="center"/>
            <w:tcMar>
              <w:top w:w="90" w:type="dxa"/>
              <w:start w:w="110" w:type="dxa"/>
              <w:bottom w:w="90" w:type="dxa"/>
              <w:end w:w="110" w:type="dxa"/>
            </w:tcMar>
          </w:tcPr>
          <w:p>
            <w:pPr>
              <w:spacing w:after="0"/>
            </w:pPr>
            <w:r>
              <w:rPr>
                <w:sz w:val="17"/>
              </w:rPr>
              <w:t>CAP-07</w:t>
            </w:r>
          </w:p>
        </w:tc>
        <w:tc>
          <w:tcPr>
            <w:tcW w:type="dxa" w:w="2448"/>
            <w:vAlign w:val="center"/>
            <w:tcMar>
              <w:top w:w="90" w:type="dxa"/>
              <w:start w:w="110" w:type="dxa"/>
              <w:bottom w:w="90" w:type="dxa"/>
              <w:end w:w="110" w:type="dxa"/>
            </w:tcMar>
          </w:tcPr>
          <w:p>
            <w:pPr>
              <w:spacing w:after="0"/>
            </w:pPr>
            <w:r>
              <w:rPr>
                <w:sz w:val="17"/>
              </w:rPr>
              <w:t>Graph analysis</w:t>
            </w:r>
          </w:p>
        </w:tc>
        <w:tc>
          <w:tcPr>
            <w:tcW w:type="dxa" w:w="6480"/>
            <w:vAlign w:val="center"/>
            <w:tcMar>
              <w:top w:w="90" w:type="dxa"/>
              <w:start w:w="110" w:type="dxa"/>
              <w:bottom w:w="90" w:type="dxa"/>
              <w:end w:w="110" w:type="dxa"/>
            </w:tcMar>
          </w:tcPr>
          <w:p>
            <w:pPr>
              <w:spacing w:after="0"/>
            </w:pPr>
            <w:r>
              <w:rPr>
                <w:sz w:val="17"/>
              </w:rPr>
              <w:t>Network traversal, communities, paths, shared attributes</w:t>
            </w:r>
          </w:p>
        </w:tc>
      </w:tr>
      <w:tr>
        <w:tc>
          <w:tcPr>
            <w:tcW w:type="dxa" w:w="1152"/>
            <w:vAlign w:val="center"/>
            <w:tcMar>
              <w:top w:w="90" w:type="dxa"/>
              <w:start w:w="110" w:type="dxa"/>
              <w:bottom w:w="90" w:type="dxa"/>
              <w:end w:w="110" w:type="dxa"/>
            </w:tcMar>
          </w:tcPr>
          <w:p>
            <w:pPr>
              <w:spacing w:after="0"/>
            </w:pPr>
            <w:r>
              <w:rPr>
                <w:sz w:val="17"/>
              </w:rPr>
              <w:t>CAP-08</w:t>
            </w:r>
          </w:p>
        </w:tc>
        <w:tc>
          <w:tcPr>
            <w:tcW w:type="dxa" w:w="2448"/>
            <w:vAlign w:val="center"/>
            <w:tcMar>
              <w:top w:w="90" w:type="dxa"/>
              <w:start w:w="110" w:type="dxa"/>
              <w:bottom w:w="90" w:type="dxa"/>
              <w:end w:w="110" w:type="dxa"/>
            </w:tcMar>
          </w:tcPr>
          <w:p>
            <w:pPr>
              <w:spacing w:after="0"/>
            </w:pPr>
            <w:r>
              <w:rPr>
                <w:sz w:val="17"/>
              </w:rPr>
              <w:t>Search &amp; discovery</w:t>
            </w:r>
          </w:p>
        </w:tc>
        <w:tc>
          <w:tcPr>
            <w:tcW w:type="dxa" w:w="6480"/>
            <w:vAlign w:val="center"/>
            <w:tcMar>
              <w:top w:w="90" w:type="dxa"/>
              <w:start w:w="110" w:type="dxa"/>
              <w:bottom w:w="90" w:type="dxa"/>
              <w:end w:w="110" w:type="dxa"/>
            </w:tcMar>
          </w:tcPr>
          <w:p>
            <w:pPr>
              <w:spacing w:after="0"/>
            </w:pPr>
            <w:r>
              <w:rPr>
                <w:sz w:val="17"/>
              </w:rPr>
              <w:t>Full text, fielded search, faceting, relationship search</w:t>
            </w:r>
          </w:p>
        </w:tc>
      </w:tr>
      <w:tr>
        <w:tc>
          <w:tcPr>
            <w:tcW w:type="dxa" w:w="1152"/>
            <w:vAlign w:val="center"/>
            <w:tcMar>
              <w:top w:w="90" w:type="dxa"/>
              <w:start w:w="110" w:type="dxa"/>
              <w:bottom w:w="90" w:type="dxa"/>
              <w:end w:w="110" w:type="dxa"/>
            </w:tcMar>
          </w:tcPr>
          <w:p>
            <w:pPr>
              <w:spacing w:after="0"/>
            </w:pPr>
            <w:r>
              <w:rPr>
                <w:sz w:val="17"/>
              </w:rPr>
              <w:t>CAP-09</w:t>
            </w:r>
          </w:p>
        </w:tc>
        <w:tc>
          <w:tcPr>
            <w:tcW w:type="dxa" w:w="2448"/>
            <w:vAlign w:val="center"/>
            <w:tcMar>
              <w:top w:w="90" w:type="dxa"/>
              <w:start w:w="110" w:type="dxa"/>
              <w:bottom w:w="90" w:type="dxa"/>
              <w:end w:w="110" w:type="dxa"/>
            </w:tcMar>
          </w:tcPr>
          <w:p>
            <w:pPr>
              <w:spacing w:after="0"/>
            </w:pPr>
            <w:r>
              <w:rPr>
                <w:sz w:val="17"/>
              </w:rPr>
              <w:t>Typology analysis</w:t>
            </w:r>
          </w:p>
        </w:tc>
        <w:tc>
          <w:tcPr>
            <w:tcW w:type="dxa" w:w="6480"/>
            <w:vAlign w:val="center"/>
            <w:tcMar>
              <w:top w:w="90" w:type="dxa"/>
              <w:start w:w="110" w:type="dxa"/>
              <w:bottom w:w="90" w:type="dxa"/>
              <w:end w:w="110" w:type="dxa"/>
            </w:tcMar>
          </w:tcPr>
          <w:p>
            <w:pPr>
              <w:spacing w:after="0"/>
            </w:pPr>
            <w:r>
              <w:rPr>
                <w:sz w:val="17"/>
              </w:rPr>
              <w:t>Catalogue, indicators, matching, analytical cautions</w:t>
            </w:r>
          </w:p>
        </w:tc>
      </w:tr>
      <w:tr>
        <w:tc>
          <w:tcPr>
            <w:tcW w:type="dxa" w:w="1152"/>
            <w:vAlign w:val="center"/>
            <w:tcMar>
              <w:top w:w="90" w:type="dxa"/>
              <w:start w:w="110" w:type="dxa"/>
              <w:bottom w:w="90" w:type="dxa"/>
              <w:end w:w="110" w:type="dxa"/>
            </w:tcMar>
          </w:tcPr>
          <w:p>
            <w:pPr>
              <w:spacing w:after="0"/>
            </w:pPr>
            <w:r>
              <w:rPr>
                <w:sz w:val="17"/>
              </w:rPr>
              <w:t>CAP-10</w:t>
            </w:r>
          </w:p>
        </w:tc>
        <w:tc>
          <w:tcPr>
            <w:tcW w:type="dxa" w:w="2448"/>
            <w:vAlign w:val="center"/>
            <w:tcMar>
              <w:top w:w="90" w:type="dxa"/>
              <w:start w:w="110" w:type="dxa"/>
              <w:bottom w:w="90" w:type="dxa"/>
              <w:end w:w="110" w:type="dxa"/>
            </w:tcMar>
          </w:tcPr>
          <w:p>
            <w:pPr>
              <w:spacing w:after="0"/>
            </w:pPr>
            <w:r>
              <w:rPr>
                <w:sz w:val="17"/>
              </w:rPr>
              <w:t>Hypothesis &amp; assessment</w:t>
            </w:r>
          </w:p>
        </w:tc>
        <w:tc>
          <w:tcPr>
            <w:tcW w:type="dxa" w:w="6480"/>
            <w:vAlign w:val="center"/>
            <w:tcMar>
              <w:top w:w="90" w:type="dxa"/>
              <w:start w:w="110" w:type="dxa"/>
              <w:bottom w:w="90" w:type="dxa"/>
              <w:end w:w="110" w:type="dxa"/>
            </w:tcMar>
          </w:tcPr>
          <w:p>
            <w:pPr>
              <w:spacing w:after="0"/>
            </w:pPr>
            <w:r>
              <w:rPr>
                <w:sz w:val="17"/>
              </w:rPr>
              <w:t>Competing hypotheses, support/contradiction, gaps, confidence</w:t>
            </w:r>
          </w:p>
        </w:tc>
      </w:tr>
      <w:tr>
        <w:tc>
          <w:tcPr>
            <w:tcW w:type="dxa" w:w="1152"/>
            <w:vAlign w:val="center"/>
            <w:tcMar>
              <w:top w:w="90" w:type="dxa"/>
              <w:start w:w="110" w:type="dxa"/>
              <w:bottom w:w="90" w:type="dxa"/>
              <w:end w:w="110" w:type="dxa"/>
            </w:tcMar>
          </w:tcPr>
          <w:p>
            <w:pPr>
              <w:spacing w:after="0"/>
            </w:pPr>
            <w:r>
              <w:rPr>
                <w:sz w:val="17"/>
              </w:rPr>
              <w:t>CAP-11</w:t>
            </w:r>
          </w:p>
        </w:tc>
        <w:tc>
          <w:tcPr>
            <w:tcW w:type="dxa" w:w="2448"/>
            <w:vAlign w:val="center"/>
            <w:tcMar>
              <w:top w:w="90" w:type="dxa"/>
              <w:start w:w="110" w:type="dxa"/>
              <w:bottom w:w="90" w:type="dxa"/>
              <w:end w:w="110" w:type="dxa"/>
            </w:tcMar>
          </w:tcPr>
          <w:p>
            <w:pPr>
              <w:spacing w:after="0"/>
            </w:pPr>
            <w:r>
              <w:rPr>
                <w:sz w:val="17"/>
              </w:rPr>
              <w:t>Intelligence products</w:t>
            </w:r>
          </w:p>
        </w:tc>
        <w:tc>
          <w:tcPr>
            <w:tcW w:type="dxa" w:w="6480"/>
            <w:vAlign w:val="center"/>
            <w:tcMar>
              <w:top w:w="90" w:type="dxa"/>
              <w:start w:w="110" w:type="dxa"/>
              <w:bottom w:w="90" w:type="dxa"/>
              <w:end w:w="110" w:type="dxa"/>
            </w:tcMar>
          </w:tcPr>
          <w:p>
            <w:pPr>
              <w:spacing w:after="0"/>
            </w:pPr>
            <w:r>
              <w:rPr>
                <w:sz w:val="17"/>
              </w:rPr>
              <w:t>Structured reports, redaction, review, dissemination</w:t>
            </w:r>
          </w:p>
        </w:tc>
      </w:tr>
      <w:tr>
        <w:tc>
          <w:tcPr>
            <w:tcW w:type="dxa" w:w="1152"/>
            <w:vAlign w:val="center"/>
            <w:tcMar>
              <w:top w:w="90" w:type="dxa"/>
              <w:start w:w="110" w:type="dxa"/>
              <w:bottom w:w="90" w:type="dxa"/>
              <w:end w:w="110" w:type="dxa"/>
            </w:tcMar>
          </w:tcPr>
          <w:p>
            <w:pPr>
              <w:spacing w:after="0"/>
            </w:pPr>
            <w:r>
              <w:rPr>
                <w:sz w:val="17"/>
              </w:rPr>
              <w:t>CAP-12</w:t>
            </w:r>
          </w:p>
        </w:tc>
        <w:tc>
          <w:tcPr>
            <w:tcW w:type="dxa" w:w="2448"/>
            <w:vAlign w:val="center"/>
            <w:tcMar>
              <w:top w:w="90" w:type="dxa"/>
              <w:start w:w="110" w:type="dxa"/>
              <w:bottom w:w="90" w:type="dxa"/>
              <w:end w:w="110" w:type="dxa"/>
            </w:tcMar>
          </w:tcPr>
          <w:p>
            <w:pPr>
              <w:spacing w:after="0"/>
            </w:pPr>
            <w:r>
              <w:rPr>
                <w:sz w:val="17"/>
              </w:rPr>
              <w:t>Privacy &amp; protection</w:t>
            </w:r>
          </w:p>
        </w:tc>
        <w:tc>
          <w:tcPr>
            <w:tcW w:type="dxa" w:w="6480"/>
            <w:vAlign w:val="center"/>
            <w:tcMar>
              <w:top w:w="90" w:type="dxa"/>
              <w:start w:w="110" w:type="dxa"/>
              <w:bottom w:w="90" w:type="dxa"/>
              <w:end w:w="110" w:type="dxa"/>
            </w:tcMar>
          </w:tcPr>
          <w:p>
            <w:pPr>
              <w:spacing w:after="0"/>
            </w:pPr>
            <w:r>
              <w:rPr>
                <w:sz w:val="17"/>
              </w:rPr>
              <w:t>Classification, minimisation, retention, source protection</w:t>
            </w:r>
          </w:p>
        </w:tc>
      </w:tr>
      <w:tr>
        <w:tc>
          <w:tcPr>
            <w:tcW w:type="dxa" w:w="1152"/>
            <w:vAlign w:val="center"/>
            <w:tcMar>
              <w:top w:w="90" w:type="dxa"/>
              <w:start w:w="110" w:type="dxa"/>
              <w:bottom w:w="90" w:type="dxa"/>
              <w:end w:w="110" w:type="dxa"/>
            </w:tcMar>
          </w:tcPr>
          <w:p>
            <w:pPr>
              <w:spacing w:after="0"/>
            </w:pPr>
            <w:r>
              <w:rPr>
                <w:sz w:val="17"/>
              </w:rPr>
              <w:t>CAP-13</w:t>
            </w:r>
          </w:p>
        </w:tc>
        <w:tc>
          <w:tcPr>
            <w:tcW w:type="dxa" w:w="2448"/>
            <w:vAlign w:val="center"/>
            <w:tcMar>
              <w:top w:w="90" w:type="dxa"/>
              <w:start w:w="110" w:type="dxa"/>
              <w:bottom w:w="90" w:type="dxa"/>
              <w:end w:w="110" w:type="dxa"/>
            </w:tcMar>
          </w:tcPr>
          <w:p>
            <w:pPr>
              <w:spacing w:after="0"/>
            </w:pPr>
            <w:r>
              <w:rPr>
                <w:sz w:val="17"/>
              </w:rPr>
              <w:t>Security &amp; IAM</w:t>
            </w:r>
          </w:p>
        </w:tc>
        <w:tc>
          <w:tcPr>
            <w:tcW w:type="dxa" w:w="6480"/>
            <w:vAlign w:val="center"/>
            <w:tcMar>
              <w:top w:w="90" w:type="dxa"/>
              <w:start w:w="110" w:type="dxa"/>
              <w:bottom w:w="90" w:type="dxa"/>
              <w:end w:w="110" w:type="dxa"/>
            </w:tcMar>
          </w:tcPr>
          <w:p>
            <w:pPr>
              <w:spacing w:after="0"/>
            </w:pPr>
            <w:r>
              <w:rPr>
                <w:sz w:val="17"/>
              </w:rPr>
              <w:t>Identity, authorization, secrets, secure administration</w:t>
            </w:r>
          </w:p>
        </w:tc>
      </w:tr>
      <w:tr>
        <w:tc>
          <w:tcPr>
            <w:tcW w:type="dxa" w:w="1152"/>
            <w:vAlign w:val="center"/>
            <w:tcMar>
              <w:top w:w="90" w:type="dxa"/>
              <w:start w:w="110" w:type="dxa"/>
              <w:bottom w:w="90" w:type="dxa"/>
              <w:end w:w="110" w:type="dxa"/>
            </w:tcMar>
          </w:tcPr>
          <w:p>
            <w:pPr>
              <w:spacing w:after="0"/>
            </w:pPr>
            <w:r>
              <w:rPr>
                <w:sz w:val="17"/>
              </w:rPr>
              <w:t>CAP-14</w:t>
            </w:r>
          </w:p>
        </w:tc>
        <w:tc>
          <w:tcPr>
            <w:tcW w:type="dxa" w:w="2448"/>
            <w:vAlign w:val="center"/>
            <w:tcMar>
              <w:top w:w="90" w:type="dxa"/>
              <w:start w:w="110" w:type="dxa"/>
              <w:bottom w:w="90" w:type="dxa"/>
              <w:end w:w="110" w:type="dxa"/>
            </w:tcMar>
          </w:tcPr>
          <w:p>
            <w:pPr>
              <w:spacing w:after="0"/>
            </w:pPr>
            <w:r>
              <w:rPr>
                <w:sz w:val="17"/>
              </w:rPr>
              <w:t>Audit &amp; assurance</w:t>
            </w:r>
          </w:p>
        </w:tc>
        <w:tc>
          <w:tcPr>
            <w:tcW w:type="dxa" w:w="6480"/>
            <w:vAlign w:val="center"/>
            <w:tcMar>
              <w:top w:w="90" w:type="dxa"/>
              <w:start w:w="110" w:type="dxa"/>
              <w:bottom w:w="90" w:type="dxa"/>
              <w:end w:w="110" w:type="dxa"/>
            </w:tcMar>
          </w:tcPr>
          <w:p>
            <w:pPr>
              <w:spacing w:after="0"/>
            </w:pPr>
            <w:r>
              <w:rPr>
                <w:sz w:val="17"/>
              </w:rPr>
              <w:t>Immutable audit events, control evidence, review history</w:t>
            </w:r>
          </w:p>
        </w:tc>
      </w:tr>
      <w:tr>
        <w:tc>
          <w:tcPr>
            <w:tcW w:type="dxa" w:w="1152"/>
            <w:vAlign w:val="center"/>
            <w:tcMar>
              <w:top w:w="90" w:type="dxa"/>
              <w:start w:w="110" w:type="dxa"/>
              <w:bottom w:w="90" w:type="dxa"/>
              <w:end w:w="110" w:type="dxa"/>
            </w:tcMar>
          </w:tcPr>
          <w:p>
            <w:pPr>
              <w:spacing w:after="0"/>
            </w:pPr>
            <w:r>
              <w:rPr>
                <w:sz w:val="17"/>
              </w:rPr>
              <w:t>CAP-15</w:t>
            </w:r>
          </w:p>
        </w:tc>
        <w:tc>
          <w:tcPr>
            <w:tcW w:type="dxa" w:w="2448"/>
            <w:vAlign w:val="center"/>
            <w:tcMar>
              <w:top w:w="90" w:type="dxa"/>
              <w:start w:w="110" w:type="dxa"/>
              <w:bottom w:w="90" w:type="dxa"/>
              <w:end w:w="110" w:type="dxa"/>
            </w:tcMar>
          </w:tcPr>
          <w:p>
            <w:pPr>
              <w:spacing w:after="0"/>
            </w:pPr>
            <w:r>
              <w:rPr>
                <w:sz w:val="17"/>
              </w:rPr>
              <w:t>Integration</w:t>
            </w:r>
          </w:p>
        </w:tc>
        <w:tc>
          <w:tcPr>
            <w:tcW w:type="dxa" w:w="6480"/>
            <w:vAlign w:val="center"/>
            <w:tcMar>
              <w:top w:w="90" w:type="dxa"/>
              <w:start w:w="110" w:type="dxa"/>
              <w:bottom w:w="90" w:type="dxa"/>
              <w:end w:w="110" w:type="dxa"/>
            </w:tcMar>
          </w:tcPr>
          <w:p>
            <w:pPr>
              <w:spacing w:after="0"/>
            </w:pPr>
            <w:r>
              <w:rPr>
                <w:sz w:val="17"/>
              </w:rPr>
              <w:t>APIs, imports, exports, connectors, interoperability</w:t>
            </w:r>
          </w:p>
        </w:tc>
      </w:tr>
      <w:tr>
        <w:tc>
          <w:tcPr>
            <w:tcW w:type="dxa" w:w="1152"/>
            <w:vAlign w:val="center"/>
            <w:tcMar>
              <w:top w:w="90" w:type="dxa"/>
              <w:start w:w="110" w:type="dxa"/>
              <w:bottom w:w="90" w:type="dxa"/>
              <w:end w:w="110" w:type="dxa"/>
            </w:tcMar>
          </w:tcPr>
          <w:p>
            <w:pPr>
              <w:spacing w:after="0"/>
            </w:pPr>
            <w:r>
              <w:rPr>
                <w:sz w:val="17"/>
              </w:rPr>
              <w:t>CAP-16</w:t>
            </w:r>
          </w:p>
        </w:tc>
        <w:tc>
          <w:tcPr>
            <w:tcW w:type="dxa" w:w="2448"/>
            <w:vAlign w:val="center"/>
            <w:tcMar>
              <w:top w:w="90" w:type="dxa"/>
              <w:start w:w="110" w:type="dxa"/>
              <w:bottom w:w="90" w:type="dxa"/>
              <w:end w:w="110" w:type="dxa"/>
            </w:tcMar>
          </w:tcPr>
          <w:p>
            <w:pPr>
              <w:spacing w:after="0"/>
            </w:pPr>
            <w:r>
              <w:rPr>
                <w:sz w:val="17"/>
              </w:rPr>
              <w:t>Operations</w:t>
            </w:r>
          </w:p>
        </w:tc>
        <w:tc>
          <w:tcPr>
            <w:tcW w:type="dxa" w:w="6480"/>
            <w:vAlign w:val="center"/>
            <w:tcMar>
              <w:top w:w="90" w:type="dxa"/>
              <w:start w:w="110" w:type="dxa"/>
              <w:bottom w:w="90" w:type="dxa"/>
              <w:end w:w="110" w:type="dxa"/>
            </w:tcMar>
          </w:tcPr>
          <w:p>
            <w:pPr>
              <w:spacing w:after="0"/>
            </w:pPr>
            <w:r>
              <w:rPr>
                <w:sz w:val="17"/>
              </w:rPr>
              <w:t>Observability, backup, DR, patching, health monitoring</w:t>
            </w:r>
          </w:p>
        </w:tc>
      </w:tr>
    </w:tbl>
    <w:p>
      <w:pPr>
        <w:spacing w:after="20"/>
      </w:pPr>
    </w:p>
    <w:p>
      <w:pPr>
        <w:pStyle w:val="Heading1"/>
      </w:pPr>
      <w:r>
        <w:t>5. Logical Architecture</w:t>
      </w:r>
    </w:p>
    <w:p>
      <w:pPr>
        <w:pStyle w:val="CodeBlock"/>
        <w:shd w:fill="F7F8FA"/>
      </w:pPr>
      <w:r>
        <w:t>+-------------------------------------------------------------------+</w:t>
        <w:br/>
        <w:t>|                         USER EXPERIENCE                           |</w:t>
        <w:br/>
        <w:t>| Case UI | Evidence Viewer | Graph | Timeline | Value Flow | Report |</w:t>
        <w:br/>
        <w:t>+-----------------------------+-------------------------------------+</w:t>
        <w:br/>
        <w:t xml:space="preserve">                              | API / Policy Enforcement</w:t>
        <w:br/>
        <w:t>+-----------------------------v-------------------------------------+</w:t>
        <w:br/>
        <w:t>|                      APPLICATION SERVICES                         |</w:t>
        <w:br/>
        <w:t>| Case | Evidence | Entity | Relationship | Asset | Value Flow      |</w:t>
        <w:br/>
        <w:t>| Typology | Hypothesis | Assessment | Review | Dissemination      |</w:t>
        <w:br/>
        <w:t>+----------+------------------+-------------------+-----------------+</w:t>
        <w:br/>
        <w:t xml:space="preserve">           |                  |                   |</w:t>
        <w:br/>
        <w:t>+----------v------+  +--------v--------+  +-------v----------------+</w:t>
        <w:br/>
        <w:t>| SEARCH / INDEX  |  | GRAPH / ANALYT. |  | WORKFLOW / RULES       |</w:t>
        <w:br/>
        <w:t>+----------+------+  +--------+--------+  +-------+----------------+</w:t>
        <w:br/>
        <w:t xml:space="preserve">           |                  |                   |</w:t>
        <w:br/>
        <w:t>+----------v------------------v-------------------v-----------------+</w:t>
        <w:br/>
        <w:t>|                       CANONICAL DATA LAYER                        |</w:t>
        <w:br/>
        <w:t>| Relational canonical store | Object store | Audit/event store    |</w:t>
        <w:br/>
        <w:t>+-----------------------------+-------------------------------------+</w:t>
        <w:br/>
        <w:t xml:space="preserve">                              |</w:t>
        <w:br/>
        <w:t>+-----------------------------v-------------------------------------+</w:t>
        <w:br/>
        <w:t>| SECURITY / IAM / KMS / OBSERVABILITY / BACKUP / CONFIGURATION    |</w:t>
        <w:br/>
        <w:t>+-------------------------------------------------------------------+</w:t>
      </w:r>
    </w:p>
    <w:p>
      <w:pPr>
        <w:pStyle w:val="Heading2"/>
      </w:pPr>
      <w:r>
        <w:t>5.1 Architectural rule: canonical store vs projections</w:t>
      </w:r>
    </w:p>
    <w:p>
      <w:pPr>
        <w:spacing w:after="100" w:line="259" w:lineRule="auto"/>
      </w:pPr>
      <w:r>
        <w:rPr>
          <w:b w:val="0"/>
          <w:i w:val="0"/>
        </w:rPr>
        <w:t>The architecture SHALL distinguish canonical records from derived projections. Search indexes, graph stores, caches, embeddings, materialized views, and analytics outputs MAY be rebuilt. Canonical evidence, provenance, decisions, and audit history SHALL NOT depend on a derived projection as the only source of truth.</w:t>
      </w:r>
    </w:p>
    <w:tbl>
      <w:tblPr>
        <w:tblStyle w:val="TableGrid"/>
        <w:tblW w:type="auto" w:w="0"/>
        <w:jc w:val="center"/>
        <w:tblLook w:firstColumn="1" w:firstRow="1" w:lastColumn="0" w:lastRow="0" w:noHBand="0" w:noVBand="1" w:val="04A0"/>
      </w:tblPr>
      <w:tblGrid>
        <w:gridCol w:w="10080"/>
      </w:tblGrid>
      <w:tr>
        <w:tc>
          <w:tcPr>
            <w:tcW w:type="dxa" w:w="10080"/>
            <w:shd w:fill="FFF6D8"/>
            <w:tcMar>
              <w:top w:w="150" w:type="dxa"/>
              <w:start w:w="160" w:type="dxa"/>
              <w:bottom w:w="150" w:type="dxa"/>
              <w:end w:w="160" w:type="dxa"/>
            </w:tcMar>
          </w:tcPr>
          <w:p>
            <w:r>
              <w:rPr>
                <w:b/>
                <w:color w:val="1F4E79"/>
                <w:sz w:val="20"/>
              </w:rPr>
              <w:t>Canonical-source rule</w:t>
              <w:br/>
            </w:r>
            <w:r>
              <w:rPr>
                <w:sz w:val="19"/>
              </w:rPr>
              <w:t>If a graph database or search index is lost, the system should be able to rebuild it from canonical objects. If the canonical evidence record is lost, the investigation may no longer be defensible.</w:t>
            </w:r>
          </w:p>
        </w:tc>
      </w:tr>
    </w:tbl>
    <w:p>
      <w:pPr>
        <w:spacing w:after="20"/>
      </w:pPr>
    </w:p>
    <w:p>
      <w:pPr>
        <w:pStyle w:val="Heading1"/>
      </w:pPr>
      <w:r>
        <w:t>6. Information and Data Architecture</w:t>
      </w:r>
    </w:p>
    <w:p>
      <w:pPr>
        <w:pStyle w:val="Heading2"/>
      </w:pPr>
      <w:r>
        <w:t>6.1 Data planes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vAlign w:val="center"/>
            <w:tcMar>
              <w:top w:w="90" w:type="dxa"/>
              <w:start w:w="110" w:type="dxa"/>
              <w:bottom w:w="90" w:type="dxa"/>
              <w:end w:w="110" w:type="dxa"/>
            </w:tcMar>
          </w:tcPr>
          <w:p>
            <w:r>
              <w:rPr>
                <w:b/>
                <w:color w:val="FFFFFF"/>
                <w:sz w:val="17"/>
              </w:rPr>
              <w:t>Plane</w:t>
            </w:r>
          </w:p>
        </w:tc>
        <w:tc>
          <w:tcPr>
            <w:tcW w:type="dxa" w:w="5184"/>
            <w:shd w:fill="1F4E79"/>
            <w:vAlign w:val="center"/>
            <w:tcMar>
              <w:top w:w="90" w:type="dxa"/>
              <w:start w:w="110" w:type="dxa"/>
              <w:bottom w:w="90" w:type="dxa"/>
              <w:end w:w="110" w:type="dxa"/>
            </w:tcMar>
          </w:tcPr>
          <w:p>
            <w:r>
              <w:rPr>
                <w:b/>
                <w:color w:val="FFFFFF"/>
                <w:sz w:val="17"/>
              </w:rPr>
              <w:t>Contents</w:t>
            </w:r>
          </w:p>
        </w:tc>
        <w:tc>
          <w:tcPr>
            <w:tcW w:type="dxa" w:w="3168"/>
            <w:shd w:fill="1F4E79"/>
            <w:vAlign w:val="center"/>
            <w:tcMar>
              <w:top w:w="90" w:type="dxa"/>
              <w:start w:w="110" w:type="dxa"/>
              <w:bottom w:w="90" w:type="dxa"/>
              <w:end w:w="110" w:type="dxa"/>
            </w:tcMar>
          </w:tcPr>
          <w:p>
            <w:r>
              <w:rPr>
                <w:b/>
                <w:color w:val="FFFFFF"/>
                <w:sz w:val="17"/>
              </w:rPr>
              <w:t>Persistence rule</w:t>
            </w:r>
          </w:p>
        </w:tc>
      </w:tr>
      <w:tr>
        <w:tc>
          <w:tcPr>
            <w:tcW w:type="dxa" w:w="1728"/>
            <w:vAlign w:val="center"/>
            <w:tcMar>
              <w:top w:w="90" w:type="dxa"/>
              <w:start w:w="110" w:type="dxa"/>
              <w:bottom w:w="90" w:type="dxa"/>
              <w:end w:w="110" w:type="dxa"/>
            </w:tcMar>
          </w:tcPr>
          <w:p>
            <w:pPr>
              <w:spacing w:after="0"/>
            </w:pPr>
            <w:r>
              <w:rPr>
                <w:sz w:val="17"/>
              </w:rPr>
              <w:t>Evidence plane</w:t>
            </w:r>
          </w:p>
        </w:tc>
        <w:tc>
          <w:tcPr>
            <w:tcW w:type="dxa" w:w="5184"/>
            <w:vAlign w:val="center"/>
            <w:tcMar>
              <w:top w:w="90" w:type="dxa"/>
              <w:start w:w="110" w:type="dxa"/>
              <w:bottom w:w="90" w:type="dxa"/>
              <w:end w:w="110" w:type="dxa"/>
            </w:tcMar>
          </w:tcPr>
          <w:p>
            <w:pPr>
              <w:spacing w:after="0"/>
            </w:pPr>
            <w:r>
              <w:rPr>
                <w:sz w:val="17"/>
              </w:rPr>
              <w:t>Original files, snapshots, extracts, hashes, acquisition metadata</w:t>
            </w:r>
          </w:p>
        </w:tc>
        <w:tc>
          <w:tcPr>
            <w:tcW w:type="dxa" w:w="3168"/>
            <w:vAlign w:val="center"/>
            <w:tcMar>
              <w:top w:w="90" w:type="dxa"/>
              <w:start w:w="110" w:type="dxa"/>
              <w:bottom w:w="90" w:type="dxa"/>
              <w:end w:w="110" w:type="dxa"/>
            </w:tcMar>
          </w:tcPr>
          <w:p>
            <w:pPr>
              <w:spacing w:after="0"/>
            </w:pPr>
            <w:r>
              <w:rPr>
                <w:sz w:val="17"/>
              </w:rPr>
              <w:t>Strong preservation; immutable original preferred</w:t>
            </w:r>
          </w:p>
        </w:tc>
      </w:tr>
      <w:tr>
        <w:tc>
          <w:tcPr>
            <w:tcW w:type="dxa" w:w="1728"/>
            <w:vAlign w:val="center"/>
            <w:tcMar>
              <w:top w:w="90" w:type="dxa"/>
              <w:start w:w="110" w:type="dxa"/>
              <w:bottom w:w="90" w:type="dxa"/>
              <w:end w:w="110" w:type="dxa"/>
            </w:tcMar>
          </w:tcPr>
          <w:p>
            <w:pPr>
              <w:spacing w:after="0"/>
            </w:pPr>
            <w:r>
              <w:rPr>
                <w:sz w:val="17"/>
              </w:rPr>
              <w:t>Canonical analytical plane</w:t>
            </w:r>
          </w:p>
        </w:tc>
        <w:tc>
          <w:tcPr>
            <w:tcW w:type="dxa" w:w="5184"/>
            <w:vAlign w:val="center"/>
            <w:tcMar>
              <w:top w:w="90" w:type="dxa"/>
              <w:start w:w="110" w:type="dxa"/>
              <w:bottom w:w="90" w:type="dxa"/>
              <w:end w:w="110" w:type="dxa"/>
            </w:tcMar>
          </w:tcPr>
          <w:p>
            <w:pPr>
              <w:spacing w:after="0"/>
            </w:pPr>
            <w:r>
              <w:rPr>
                <w:sz w:val="17"/>
              </w:rPr>
              <w:t>Case, source, evidence metadata, entity, relationship, asset, event, value flow, indicator, hypothesis, assessment</w:t>
            </w:r>
          </w:p>
        </w:tc>
        <w:tc>
          <w:tcPr>
            <w:tcW w:type="dxa" w:w="3168"/>
            <w:vAlign w:val="center"/>
            <w:tcMar>
              <w:top w:w="90" w:type="dxa"/>
              <w:start w:w="110" w:type="dxa"/>
              <w:bottom w:w="90" w:type="dxa"/>
              <w:end w:w="110" w:type="dxa"/>
            </w:tcMar>
          </w:tcPr>
          <w:p>
            <w:pPr>
              <w:spacing w:after="0"/>
            </w:pPr>
            <w:r>
              <w:rPr>
                <w:sz w:val="17"/>
              </w:rPr>
              <w:t>Versioned system of record</w:t>
            </w:r>
          </w:p>
        </w:tc>
      </w:tr>
      <w:tr>
        <w:tc>
          <w:tcPr>
            <w:tcW w:type="dxa" w:w="1728"/>
            <w:vAlign w:val="center"/>
            <w:tcMar>
              <w:top w:w="90" w:type="dxa"/>
              <w:start w:w="110" w:type="dxa"/>
              <w:bottom w:w="90" w:type="dxa"/>
              <w:end w:w="110" w:type="dxa"/>
            </w:tcMar>
          </w:tcPr>
          <w:p>
            <w:pPr>
              <w:spacing w:after="0"/>
            </w:pPr>
            <w:r>
              <w:rPr>
                <w:sz w:val="17"/>
              </w:rPr>
              <w:t>Projection plane</w:t>
            </w:r>
          </w:p>
        </w:tc>
        <w:tc>
          <w:tcPr>
            <w:tcW w:type="dxa" w:w="5184"/>
            <w:vAlign w:val="center"/>
            <w:tcMar>
              <w:top w:w="90" w:type="dxa"/>
              <w:start w:w="110" w:type="dxa"/>
              <w:bottom w:w="90" w:type="dxa"/>
              <w:end w:w="110" w:type="dxa"/>
            </w:tcMar>
          </w:tcPr>
          <w:p>
            <w:pPr>
              <w:spacing w:after="0"/>
            </w:pPr>
            <w:r>
              <w:rPr>
                <w:sz w:val="17"/>
              </w:rPr>
              <w:t>Search index, graph projection, vector index, cached analytics</w:t>
            </w:r>
          </w:p>
        </w:tc>
        <w:tc>
          <w:tcPr>
            <w:tcW w:type="dxa" w:w="3168"/>
            <w:vAlign w:val="center"/>
            <w:tcMar>
              <w:top w:w="90" w:type="dxa"/>
              <w:start w:w="110" w:type="dxa"/>
              <w:bottom w:w="90" w:type="dxa"/>
              <w:end w:w="110" w:type="dxa"/>
            </w:tcMar>
          </w:tcPr>
          <w:p>
            <w:pPr>
              <w:spacing w:after="0"/>
            </w:pPr>
            <w:r>
              <w:rPr>
                <w:sz w:val="17"/>
              </w:rPr>
              <w:t>Rebuildable</w:t>
            </w:r>
          </w:p>
        </w:tc>
      </w:tr>
      <w:tr>
        <w:tc>
          <w:tcPr>
            <w:tcW w:type="dxa" w:w="1728"/>
            <w:vAlign w:val="center"/>
            <w:tcMar>
              <w:top w:w="90" w:type="dxa"/>
              <w:start w:w="110" w:type="dxa"/>
              <w:bottom w:w="90" w:type="dxa"/>
              <w:end w:w="110" w:type="dxa"/>
            </w:tcMar>
          </w:tcPr>
          <w:p>
            <w:pPr>
              <w:spacing w:after="0"/>
            </w:pPr>
            <w:r>
              <w:rPr>
                <w:sz w:val="17"/>
              </w:rPr>
              <w:t>Operational plane</w:t>
            </w:r>
          </w:p>
        </w:tc>
        <w:tc>
          <w:tcPr>
            <w:tcW w:type="dxa" w:w="5184"/>
            <w:vAlign w:val="center"/>
            <w:tcMar>
              <w:top w:w="90" w:type="dxa"/>
              <w:start w:w="110" w:type="dxa"/>
              <w:bottom w:w="90" w:type="dxa"/>
              <w:end w:w="110" w:type="dxa"/>
            </w:tcMar>
          </w:tcPr>
          <w:p>
            <w:pPr>
              <w:spacing w:after="0"/>
            </w:pPr>
            <w:r>
              <w:rPr>
                <w:sz w:val="17"/>
              </w:rPr>
              <w:t>Jobs, queues, session state, cache</w:t>
            </w:r>
          </w:p>
        </w:tc>
        <w:tc>
          <w:tcPr>
            <w:tcW w:type="dxa" w:w="3168"/>
            <w:vAlign w:val="center"/>
            <w:tcMar>
              <w:top w:w="90" w:type="dxa"/>
              <w:start w:w="110" w:type="dxa"/>
              <w:bottom w:w="90" w:type="dxa"/>
              <w:end w:w="110" w:type="dxa"/>
            </w:tcMar>
          </w:tcPr>
          <w:p>
            <w:pPr>
              <w:spacing w:after="0"/>
            </w:pPr>
            <w:r>
              <w:rPr>
                <w:sz w:val="17"/>
              </w:rPr>
              <w:t>Ephemeral or recoverable</w:t>
            </w:r>
          </w:p>
        </w:tc>
      </w:tr>
      <w:tr>
        <w:tc>
          <w:tcPr>
            <w:tcW w:type="dxa" w:w="1728"/>
            <w:vAlign w:val="center"/>
            <w:tcMar>
              <w:top w:w="90" w:type="dxa"/>
              <w:start w:w="110" w:type="dxa"/>
              <w:bottom w:w="90" w:type="dxa"/>
              <w:end w:w="110" w:type="dxa"/>
            </w:tcMar>
          </w:tcPr>
          <w:p>
            <w:pPr>
              <w:spacing w:after="0"/>
            </w:pPr>
            <w:r>
              <w:rPr>
                <w:sz w:val="17"/>
              </w:rPr>
              <w:t>Audit plane</w:t>
            </w:r>
          </w:p>
        </w:tc>
        <w:tc>
          <w:tcPr>
            <w:tcW w:type="dxa" w:w="5184"/>
            <w:vAlign w:val="center"/>
            <w:tcMar>
              <w:top w:w="90" w:type="dxa"/>
              <w:start w:w="110" w:type="dxa"/>
              <w:bottom w:w="90" w:type="dxa"/>
              <w:end w:w="110" w:type="dxa"/>
            </w:tcMar>
          </w:tcPr>
          <w:p>
            <w:pPr>
              <w:spacing w:after="0"/>
            </w:pPr>
            <w:r>
              <w:rPr>
                <w:sz w:val="17"/>
              </w:rPr>
              <w:t>Authentication, object changes, approvals, exports, privileged actions</w:t>
            </w:r>
          </w:p>
        </w:tc>
        <w:tc>
          <w:tcPr>
            <w:tcW w:type="dxa" w:w="3168"/>
            <w:vAlign w:val="center"/>
            <w:tcMar>
              <w:top w:w="90" w:type="dxa"/>
              <w:start w:w="110" w:type="dxa"/>
              <w:bottom w:w="90" w:type="dxa"/>
              <w:end w:w="110" w:type="dxa"/>
            </w:tcMar>
          </w:tcPr>
          <w:p>
            <w:pPr>
              <w:spacing w:after="0"/>
            </w:pPr>
            <w:r>
              <w:rPr>
                <w:sz w:val="17"/>
              </w:rPr>
              <w:t>Append-oriented, access-restricted</w:t>
            </w:r>
          </w:p>
        </w:tc>
      </w:tr>
      <w:tr>
        <w:tc>
          <w:tcPr>
            <w:tcW w:type="dxa" w:w="1728"/>
            <w:vAlign w:val="center"/>
            <w:tcMar>
              <w:top w:w="90" w:type="dxa"/>
              <w:start w:w="110" w:type="dxa"/>
              <w:bottom w:w="90" w:type="dxa"/>
              <w:end w:w="110" w:type="dxa"/>
            </w:tcMar>
          </w:tcPr>
          <w:p>
            <w:pPr>
              <w:spacing w:after="0"/>
            </w:pPr>
            <w:r>
              <w:rPr>
                <w:sz w:val="17"/>
              </w:rPr>
              <w:t>Dissemination plane</w:t>
            </w:r>
          </w:p>
        </w:tc>
        <w:tc>
          <w:tcPr>
            <w:tcW w:type="dxa" w:w="5184"/>
            <w:vAlign w:val="center"/>
            <w:tcMar>
              <w:top w:w="90" w:type="dxa"/>
              <w:start w:w="110" w:type="dxa"/>
              <w:bottom w:w="90" w:type="dxa"/>
              <w:end w:w="110" w:type="dxa"/>
            </w:tcMar>
          </w:tcPr>
          <w:p>
            <w:pPr>
              <w:spacing w:after="0"/>
            </w:pPr>
            <w:r>
              <w:rPr>
                <w:sz w:val="17"/>
              </w:rPr>
              <w:t>Approved reports, exports, referral packages</w:t>
            </w:r>
          </w:p>
        </w:tc>
        <w:tc>
          <w:tcPr>
            <w:tcW w:type="dxa" w:w="3168"/>
            <w:vAlign w:val="center"/>
            <w:tcMar>
              <w:top w:w="90" w:type="dxa"/>
              <w:start w:w="110" w:type="dxa"/>
              <w:bottom w:w="90" w:type="dxa"/>
              <w:end w:w="110" w:type="dxa"/>
            </w:tcMar>
          </w:tcPr>
          <w:p>
            <w:pPr>
              <w:spacing w:after="0"/>
            </w:pPr>
            <w:r>
              <w:rPr>
                <w:sz w:val="17"/>
              </w:rPr>
              <w:t>Versioned, approval-bound</w:t>
            </w:r>
          </w:p>
        </w:tc>
      </w:tr>
    </w:tbl>
    <w:p>
      <w:pPr>
        <w:spacing w:after="20"/>
      </w:pPr>
    </w:p>
    <w:p>
      <w:pPr>
        <w:pStyle w:val="Heading2"/>
      </w:pPr>
      <w:r>
        <w:t>6.2 Storage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4E79"/>
            <w:vAlign w:val="center"/>
            <w:tcMar>
              <w:top w:w="90" w:type="dxa"/>
              <w:start w:w="110" w:type="dxa"/>
              <w:bottom w:w="90" w:type="dxa"/>
              <w:end w:w="110" w:type="dxa"/>
            </w:tcMar>
          </w:tcPr>
          <w:p>
            <w:r>
              <w:rPr>
                <w:b/>
                <w:color w:val="FFFFFF"/>
                <w:sz w:val="17"/>
              </w:rPr>
              <w:t>Store class</w:t>
            </w:r>
          </w:p>
        </w:tc>
        <w:tc>
          <w:tcPr>
            <w:tcW w:type="dxa" w:w="5328"/>
            <w:shd w:fill="1F4E79"/>
            <w:vAlign w:val="center"/>
            <w:tcMar>
              <w:top w:w="90" w:type="dxa"/>
              <w:start w:w="110" w:type="dxa"/>
              <w:bottom w:w="90" w:type="dxa"/>
              <w:end w:w="110" w:type="dxa"/>
            </w:tcMar>
          </w:tcPr>
          <w:p>
            <w:r>
              <w:rPr>
                <w:b/>
                <w:color w:val="FFFFFF"/>
                <w:sz w:val="17"/>
              </w:rPr>
              <w:t>Normative responsibility</w:t>
            </w:r>
          </w:p>
        </w:tc>
        <w:tc>
          <w:tcPr>
            <w:tcW w:type="dxa" w:w="2880"/>
            <w:shd w:fill="1F4E79"/>
            <w:vAlign w:val="center"/>
            <w:tcMar>
              <w:top w:w="90" w:type="dxa"/>
              <w:start w:w="110" w:type="dxa"/>
              <w:bottom w:w="90" w:type="dxa"/>
              <w:end w:w="110" w:type="dxa"/>
            </w:tcMar>
          </w:tcPr>
          <w:p>
            <w:r>
              <w:rPr>
                <w:b/>
                <w:color w:val="FFFFFF"/>
                <w:sz w:val="17"/>
              </w:rPr>
              <w:t>Typical implementation (non-normative)</w:t>
            </w:r>
          </w:p>
        </w:tc>
      </w:tr>
      <w:tr>
        <w:tc>
          <w:tcPr>
            <w:tcW w:type="dxa" w:w="1872"/>
            <w:vAlign w:val="center"/>
            <w:tcMar>
              <w:top w:w="90" w:type="dxa"/>
              <w:start w:w="110" w:type="dxa"/>
              <w:bottom w:w="90" w:type="dxa"/>
              <w:end w:w="110" w:type="dxa"/>
            </w:tcMar>
          </w:tcPr>
          <w:p>
            <w:pPr>
              <w:spacing w:after="0"/>
            </w:pPr>
            <w:r>
              <w:rPr>
                <w:sz w:val="17"/>
              </w:rPr>
              <w:t>Relational store</w:t>
            </w:r>
          </w:p>
        </w:tc>
        <w:tc>
          <w:tcPr>
            <w:tcW w:type="dxa" w:w="5328"/>
            <w:vAlign w:val="center"/>
            <w:tcMar>
              <w:top w:w="90" w:type="dxa"/>
              <w:start w:w="110" w:type="dxa"/>
              <w:bottom w:w="90" w:type="dxa"/>
              <w:end w:w="110" w:type="dxa"/>
            </w:tcMar>
          </w:tcPr>
          <w:p>
            <w:pPr>
              <w:spacing w:after="0"/>
            </w:pPr>
            <w:r>
              <w:rPr>
                <w:sz w:val="17"/>
              </w:rPr>
              <w:t>Canonical structured objects, integrity constraints, workflow state</w:t>
            </w:r>
          </w:p>
        </w:tc>
        <w:tc>
          <w:tcPr>
            <w:tcW w:type="dxa" w:w="2880"/>
            <w:vAlign w:val="center"/>
            <w:tcMar>
              <w:top w:w="90" w:type="dxa"/>
              <w:start w:w="110" w:type="dxa"/>
              <w:bottom w:w="90" w:type="dxa"/>
              <w:end w:w="110" w:type="dxa"/>
            </w:tcMar>
          </w:tcPr>
          <w:p>
            <w:pPr>
              <w:spacing w:after="0"/>
            </w:pPr>
            <w:r>
              <w:rPr>
                <w:sz w:val="17"/>
              </w:rPr>
              <w:t>PostgreSQL / equivalent</w:t>
            </w:r>
          </w:p>
        </w:tc>
      </w:tr>
      <w:tr>
        <w:tc>
          <w:tcPr>
            <w:tcW w:type="dxa" w:w="1872"/>
            <w:vAlign w:val="center"/>
            <w:tcMar>
              <w:top w:w="90" w:type="dxa"/>
              <w:start w:w="110" w:type="dxa"/>
              <w:bottom w:w="90" w:type="dxa"/>
              <w:end w:w="110" w:type="dxa"/>
            </w:tcMar>
          </w:tcPr>
          <w:p>
            <w:pPr>
              <w:spacing w:after="0"/>
            </w:pPr>
            <w:r>
              <w:rPr>
                <w:sz w:val="17"/>
              </w:rPr>
              <w:t>Object store</w:t>
            </w:r>
          </w:p>
        </w:tc>
        <w:tc>
          <w:tcPr>
            <w:tcW w:type="dxa" w:w="5328"/>
            <w:vAlign w:val="center"/>
            <w:tcMar>
              <w:top w:w="90" w:type="dxa"/>
              <w:start w:w="110" w:type="dxa"/>
              <w:bottom w:w="90" w:type="dxa"/>
              <w:end w:w="110" w:type="dxa"/>
            </w:tcMar>
          </w:tcPr>
          <w:p>
            <w:pPr>
              <w:spacing w:after="0"/>
            </w:pPr>
            <w:r>
              <w:rPr>
                <w:sz w:val="17"/>
              </w:rPr>
              <w:t>Evidence files, archived source captures, generated products</w:t>
            </w:r>
          </w:p>
        </w:tc>
        <w:tc>
          <w:tcPr>
            <w:tcW w:type="dxa" w:w="2880"/>
            <w:vAlign w:val="center"/>
            <w:tcMar>
              <w:top w:w="90" w:type="dxa"/>
              <w:start w:w="110" w:type="dxa"/>
              <w:bottom w:w="90" w:type="dxa"/>
              <w:end w:w="110" w:type="dxa"/>
            </w:tcMar>
          </w:tcPr>
          <w:p>
            <w:pPr>
              <w:spacing w:after="0"/>
            </w:pPr>
            <w:r>
              <w:rPr>
                <w:sz w:val="17"/>
              </w:rPr>
              <w:t>S3-compatible / encrypted filesystem</w:t>
            </w:r>
          </w:p>
        </w:tc>
      </w:tr>
      <w:tr>
        <w:tc>
          <w:tcPr>
            <w:tcW w:type="dxa" w:w="1872"/>
            <w:vAlign w:val="center"/>
            <w:tcMar>
              <w:top w:w="90" w:type="dxa"/>
              <w:start w:w="110" w:type="dxa"/>
              <w:bottom w:w="90" w:type="dxa"/>
              <w:end w:w="110" w:type="dxa"/>
            </w:tcMar>
          </w:tcPr>
          <w:p>
            <w:pPr>
              <w:spacing w:after="0"/>
            </w:pPr>
            <w:r>
              <w:rPr>
                <w:sz w:val="17"/>
              </w:rPr>
              <w:t>Graph store</w:t>
            </w:r>
          </w:p>
        </w:tc>
        <w:tc>
          <w:tcPr>
            <w:tcW w:type="dxa" w:w="5328"/>
            <w:vAlign w:val="center"/>
            <w:tcMar>
              <w:top w:w="90" w:type="dxa"/>
              <w:start w:w="110" w:type="dxa"/>
              <w:bottom w:w="90" w:type="dxa"/>
              <w:end w:w="110" w:type="dxa"/>
            </w:tcMar>
          </w:tcPr>
          <w:p>
            <w:pPr>
              <w:spacing w:after="0"/>
            </w:pPr>
            <w:r>
              <w:rPr>
                <w:sz w:val="17"/>
              </w:rPr>
              <w:t>Relationship traversal and network analytics projection</w:t>
            </w:r>
          </w:p>
        </w:tc>
        <w:tc>
          <w:tcPr>
            <w:tcW w:type="dxa" w:w="2880"/>
            <w:vAlign w:val="center"/>
            <w:tcMar>
              <w:top w:w="90" w:type="dxa"/>
              <w:start w:w="110" w:type="dxa"/>
              <w:bottom w:w="90" w:type="dxa"/>
              <w:end w:w="110" w:type="dxa"/>
            </w:tcMar>
          </w:tcPr>
          <w:p>
            <w:pPr>
              <w:spacing w:after="0"/>
            </w:pPr>
            <w:r>
              <w:rPr>
                <w:sz w:val="17"/>
              </w:rPr>
              <w:t>Neo4j / Memgraph / graph extension / relational graph queries</w:t>
            </w:r>
          </w:p>
        </w:tc>
      </w:tr>
      <w:tr>
        <w:tc>
          <w:tcPr>
            <w:tcW w:type="dxa" w:w="1872"/>
            <w:vAlign w:val="center"/>
            <w:tcMar>
              <w:top w:w="90" w:type="dxa"/>
              <w:start w:w="110" w:type="dxa"/>
              <w:bottom w:w="90" w:type="dxa"/>
              <w:end w:w="110" w:type="dxa"/>
            </w:tcMar>
          </w:tcPr>
          <w:p>
            <w:pPr>
              <w:spacing w:after="0"/>
            </w:pPr>
            <w:r>
              <w:rPr>
                <w:sz w:val="17"/>
              </w:rPr>
              <w:t>Search index</w:t>
            </w:r>
          </w:p>
        </w:tc>
        <w:tc>
          <w:tcPr>
            <w:tcW w:type="dxa" w:w="5328"/>
            <w:vAlign w:val="center"/>
            <w:tcMar>
              <w:top w:w="90" w:type="dxa"/>
              <w:start w:w="110" w:type="dxa"/>
              <w:bottom w:w="90" w:type="dxa"/>
              <w:end w:w="110" w:type="dxa"/>
            </w:tcMar>
          </w:tcPr>
          <w:p>
            <w:pPr>
              <w:spacing w:after="0"/>
            </w:pPr>
            <w:r>
              <w:rPr>
                <w:sz w:val="17"/>
              </w:rPr>
              <w:t>Full-text and faceted retrieval</w:t>
            </w:r>
          </w:p>
        </w:tc>
        <w:tc>
          <w:tcPr>
            <w:tcW w:type="dxa" w:w="2880"/>
            <w:vAlign w:val="center"/>
            <w:tcMar>
              <w:top w:w="90" w:type="dxa"/>
              <w:start w:w="110" w:type="dxa"/>
              <w:bottom w:w="90" w:type="dxa"/>
              <w:end w:w="110" w:type="dxa"/>
            </w:tcMar>
          </w:tcPr>
          <w:p>
            <w:pPr>
              <w:spacing w:after="0"/>
            </w:pPr>
            <w:r>
              <w:rPr>
                <w:sz w:val="17"/>
              </w:rPr>
              <w:t>OpenSearch / Elasticsearch / PostgreSQL FTS</w:t>
            </w:r>
          </w:p>
        </w:tc>
      </w:tr>
      <w:tr>
        <w:tc>
          <w:tcPr>
            <w:tcW w:type="dxa" w:w="1872"/>
            <w:vAlign w:val="center"/>
            <w:tcMar>
              <w:top w:w="90" w:type="dxa"/>
              <w:start w:w="110" w:type="dxa"/>
              <w:bottom w:w="90" w:type="dxa"/>
              <w:end w:w="110" w:type="dxa"/>
            </w:tcMar>
          </w:tcPr>
          <w:p>
            <w:pPr>
              <w:spacing w:after="0"/>
            </w:pPr>
            <w:r>
              <w:rPr>
                <w:sz w:val="17"/>
              </w:rPr>
              <w:t>Audit/event store</w:t>
            </w:r>
          </w:p>
        </w:tc>
        <w:tc>
          <w:tcPr>
            <w:tcW w:type="dxa" w:w="5328"/>
            <w:vAlign w:val="center"/>
            <w:tcMar>
              <w:top w:w="90" w:type="dxa"/>
              <w:start w:w="110" w:type="dxa"/>
              <w:bottom w:w="90" w:type="dxa"/>
              <w:end w:w="110" w:type="dxa"/>
            </w:tcMar>
          </w:tcPr>
          <w:p>
            <w:pPr>
              <w:spacing w:after="0"/>
            </w:pPr>
            <w:r>
              <w:rPr>
                <w:sz w:val="17"/>
              </w:rPr>
              <w:t>Tamper-evident security and business audit events</w:t>
            </w:r>
          </w:p>
        </w:tc>
        <w:tc>
          <w:tcPr>
            <w:tcW w:type="dxa" w:w="2880"/>
            <w:vAlign w:val="center"/>
            <w:tcMar>
              <w:top w:w="90" w:type="dxa"/>
              <w:start w:w="110" w:type="dxa"/>
              <w:bottom w:w="90" w:type="dxa"/>
              <w:end w:w="110" w:type="dxa"/>
            </w:tcMar>
          </w:tcPr>
          <w:p>
            <w:pPr>
              <w:spacing w:after="0"/>
            </w:pPr>
            <w:r>
              <w:rPr>
                <w:sz w:val="17"/>
              </w:rPr>
              <w:t>Append-only database/table, WORM-capable store</w:t>
            </w:r>
          </w:p>
        </w:tc>
      </w:tr>
      <w:tr>
        <w:tc>
          <w:tcPr>
            <w:tcW w:type="dxa" w:w="1872"/>
            <w:vAlign w:val="center"/>
            <w:tcMar>
              <w:top w:w="90" w:type="dxa"/>
              <w:start w:w="110" w:type="dxa"/>
              <w:bottom w:w="90" w:type="dxa"/>
              <w:end w:w="110" w:type="dxa"/>
            </w:tcMar>
          </w:tcPr>
          <w:p>
            <w:pPr>
              <w:spacing w:after="0"/>
            </w:pPr>
            <w:r>
              <w:rPr>
                <w:sz w:val="17"/>
              </w:rPr>
              <w:t>Cache/queue</w:t>
            </w:r>
          </w:p>
        </w:tc>
        <w:tc>
          <w:tcPr>
            <w:tcW w:type="dxa" w:w="5328"/>
            <w:vAlign w:val="center"/>
            <w:tcMar>
              <w:top w:w="90" w:type="dxa"/>
              <w:start w:w="110" w:type="dxa"/>
              <w:bottom w:w="90" w:type="dxa"/>
              <w:end w:w="110" w:type="dxa"/>
            </w:tcMar>
          </w:tcPr>
          <w:p>
            <w:pPr>
              <w:spacing w:after="0"/>
            </w:pPr>
            <w:r>
              <w:rPr>
                <w:sz w:val="17"/>
              </w:rPr>
              <w:t>Async ingestion and analytics jobs</w:t>
            </w:r>
          </w:p>
        </w:tc>
        <w:tc>
          <w:tcPr>
            <w:tcW w:type="dxa" w:w="2880"/>
            <w:vAlign w:val="center"/>
            <w:tcMar>
              <w:top w:w="90" w:type="dxa"/>
              <w:start w:w="110" w:type="dxa"/>
              <w:bottom w:w="90" w:type="dxa"/>
              <w:end w:w="110" w:type="dxa"/>
            </w:tcMar>
          </w:tcPr>
          <w:p>
            <w:pPr>
              <w:spacing w:after="0"/>
            </w:pPr>
            <w:r>
              <w:rPr>
                <w:sz w:val="17"/>
              </w:rPr>
              <w:t>Redis / message broker</w:t>
            </w:r>
          </w:p>
        </w:tc>
      </w:tr>
    </w:tbl>
    <w:p>
      <w:pPr>
        <w:spacing w:after="20"/>
      </w:pPr>
    </w:p>
    <w:p>
      <w:pPr>
        <w:pStyle w:val="Heading2"/>
      </w:pPr>
      <w:r>
        <w:t>6.3 Object identity and referential integrity</w:t>
      </w:r>
    </w:p>
    <w:p>
      <w:pPr>
        <w:pStyle w:val="ListBullet"/>
        <w:spacing w:after="40"/>
      </w:pPr>
      <w:r>
        <w:t>Canonical object IDs SHALL be stable and opaque.</w:t>
      </w:r>
    </w:p>
    <w:p>
      <w:pPr>
        <w:pStyle w:val="ListBullet"/>
        <w:spacing w:after="40"/>
      </w:pPr>
      <w:r>
        <w:t>External identifiers SHALL be represented separately from internal IDs.</w:t>
      </w:r>
    </w:p>
    <w:p>
      <w:pPr>
        <w:pStyle w:val="ListBullet"/>
        <w:spacing w:after="40"/>
      </w:pPr>
      <w:r>
        <w:t>Deletion SHALL not silently orphan provenance or analytical dependencies.</w:t>
      </w:r>
    </w:p>
    <w:p>
      <w:pPr>
        <w:pStyle w:val="ListBullet"/>
        <w:spacing w:after="40"/>
      </w:pPr>
      <w:r>
        <w:t>Relationships SHALL refer to canonical entity IDs, not display labels.</w:t>
      </w:r>
    </w:p>
    <w:p>
      <w:pPr>
        <w:pStyle w:val="ListBullet"/>
        <w:spacing w:after="40"/>
      </w:pPr>
      <w:r>
        <w:t>Derived indexes SHALL carry canonical object IDs so analysts can navigate back to source records.</w:t>
      </w:r>
    </w:p>
    <w:p>
      <w:pPr>
        <w:pStyle w:val="Heading1"/>
      </w:pPr>
      <w:r>
        <w:t>7. Case and Workflow Architecture</w:t>
      </w:r>
    </w:p>
    <w:p>
      <w:pPr>
        <w:spacing w:after="100" w:line="259" w:lineRule="auto"/>
      </w:pPr>
      <w:r>
        <w:rPr>
          <w:b w:val="0"/>
          <w:i w:val="0"/>
        </w:rPr>
        <w:t>Workflow technology SHALL implement the methodology gates without turning them into a purely bureaucratic click path. Gates exist to ensure purpose, legality, evidentiary sufficiency, review, and controlled dissemination.</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1F4E79"/>
            <w:vAlign w:val="center"/>
            <w:tcMar>
              <w:top w:w="90" w:type="dxa"/>
              <w:start w:w="110" w:type="dxa"/>
              <w:bottom w:w="90" w:type="dxa"/>
              <w:end w:w="110" w:type="dxa"/>
            </w:tcMar>
          </w:tcPr>
          <w:p>
            <w:r>
              <w:rPr>
                <w:b/>
                <w:color w:val="FFFFFF"/>
                <w:sz w:val="17"/>
              </w:rPr>
              <w:t>Gate</w:t>
            </w:r>
          </w:p>
        </w:tc>
        <w:tc>
          <w:tcPr>
            <w:tcW w:type="dxa" w:w="3888"/>
            <w:shd w:fill="1F4E79"/>
            <w:vAlign w:val="center"/>
            <w:tcMar>
              <w:top w:w="90" w:type="dxa"/>
              <w:start w:w="110" w:type="dxa"/>
              <w:bottom w:w="90" w:type="dxa"/>
              <w:end w:w="110" w:type="dxa"/>
            </w:tcMar>
          </w:tcPr>
          <w:p>
            <w:r>
              <w:rPr>
                <w:b/>
                <w:color w:val="FFFFFF"/>
                <w:sz w:val="17"/>
              </w:rPr>
              <w:t>Trigger</w:t>
            </w:r>
          </w:p>
        </w:tc>
        <w:tc>
          <w:tcPr>
            <w:tcW w:type="dxa" w:w="4752"/>
            <w:shd w:fill="1F4E79"/>
            <w:vAlign w:val="center"/>
            <w:tcMar>
              <w:top w:w="90" w:type="dxa"/>
              <w:start w:w="110" w:type="dxa"/>
              <w:bottom w:w="90" w:type="dxa"/>
              <w:end w:w="110" w:type="dxa"/>
            </w:tcMar>
          </w:tcPr>
          <w:p>
            <w:r>
              <w:rPr>
                <w:b/>
                <w:color w:val="FFFFFF"/>
                <w:sz w:val="17"/>
              </w:rPr>
              <w:t>Required system evidence</w:t>
            </w:r>
          </w:p>
        </w:tc>
      </w:tr>
      <w:tr>
        <w:tc>
          <w:tcPr>
            <w:tcW w:type="dxa" w:w="1440"/>
            <w:vAlign w:val="center"/>
            <w:tcMar>
              <w:top w:w="90" w:type="dxa"/>
              <w:start w:w="110" w:type="dxa"/>
              <w:bottom w:w="90" w:type="dxa"/>
              <w:end w:w="110" w:type="dxa"/>
            </w:tcMar>
          </w:tcPr>
          <w:p>
            <w:pPr>
              <w:spacing w:after="0"/>
            </w:pPr>
            <w:r>
              <w:rPr>
                <w:sz w:val="17"/>
              </w:rPr>
              <w:t>G0 Intake legitimacy</w:t>
            </w:r>
          </w:p>
        </w:tc>
        <w:tc>
          <w:tcPr>
            <w:tcW w:type="dxa" w:w="3888"/>
            <w:vAlign w:val="center"/>
            <w:tcMar>
              <w:top w:w="90" w:type="dxa"/>
              <w:start w:w="110" w:type="dxa"/>
              <w:bottom w:w="90" w:type="dxa"/>
              <w:end w:w="110" w:type="dxa"/>
            </w:tcMar>
          </w:tcPr>
          <w:p>
            <w:pPr>
              <w:spacing w:after="0"/>
            </w:pPr>
            <w:r>
              <w:rPr>
                <w:sz w:val="17"/>
              </w:rPr>
              <w:t>Before case creation</w:t>
            </w:r>
          </w:p>
        </w:tc>
        <w:tc>
          <w:tcPr>
            <w:tcW w:type="dxa" w:w="4752"/>
            <w:vAlign w:val="center"/>
            <w:tcMar>
              <w:top w:w="90" w:type="dxa"/>
              <w:start w:w="110" w:type="dxa"/>
              <w:bottom w:w="90" w:type="dxa"/>
              <w:end w:w="110" w:type="dxa"/>
            </w:tcMar>
          </w:tcPr>
          <w:p>
            <w:pPr>
              <w:spacing w:after="0"/>
            </w:pPr>
            <w:r>
              <w:rPr>
                <w:sz w:val="17"/>
              </w:rPr>
              <w:t>Purpose, source of lead, initial risk decision</w:t>
            </w:r>
          </w:p>
        </w:tc>
      </w:tr>
      <w:tr>
        <w:tc>
          <w:tcPr>
            <w:tcW w:type="dxa" w:w="1440"/>
            <w:vAlign w:val="center"/>
            <w:tcMar>
              <w:top w:w="90" w:type="dxa"/>
              <w:start w:w="110" w:type="dxa"/>
              <w:bottom w:w="90" w:type="dxa"/>
              <w:end w:w="110" w:type="dxa"/>
            </w:tcMar>
          </w:tcPr>
          <w:p>
            <w:pPr>
              <w:spacing w:after="0"/>
            </w:pPr>
            <w:r>
              <w:rPr>
                <w:sz w:val="17"/>
              </w:rPr>
              <w:t>G1 Charter approval</w:t>
            </w:r>
          </w:p>
        </w:tc>
        <w:tc>
          <w:tcPr>
            <w:tcW w:type="dxa" w:w="3888"/>
            <w:vAlign w:val="center"/>
            <w:tcMar>
              <w:top w:w="90" w:type="dxa"/>
              <w:start w:w="110" w:type="dxa"/>
              <w:bottom w:w="90" w:type="dxa"/>
              <w:end w:w="110" w:type="dxa"/>
            </w:tcMar>
          </w:tcPr>
          <w:p>
            <w:pPr>
              <w:spacing w:after="0"/>
            </w:pPr>
            <w:r>
              <w:rPr>
                <w:sz w:val="17"/>
              </w:rPr>
              <w:t>Before expanded collection</w:t>
            </w:r>
          </w:p>
        </w:tc>
        <w:tc>
          <w:tcPr>
            <w:tcW w:type="dxa" w:w="4752"/>
            <w:vAlign w:val="center"/>
            <w:tcMar>
              <w:top w:w="90" w:type="dxa"/>
              <w:start w:w="110" w:type="dxa"/>
              <w:bottom w:w="90" w:type="dxa"/>
              <w:end w:w="110" w:type="dxa"/>
            </w:tcMar>
          </w:tcPr>
          <w:p>
            <w:pPr>
              <w:spacing w:after="0"/>
            </w:pPr>
            <w:r>
              <w:rPr>
                <w:sz w:val="17"/>
              </w:rPr>
              <w:t>Question, scope, owner, time period, jurisdiction</w:t>
            </w:r>
          </w:p>
        </w:tc>
      </w:tr>
      <w:tr>
        <w:tc>
          <w:tcPr>
            <w:tcW w:type="dxa" w:w="1440"/>
            <w:vAlign w:val="center"/>
            <w:tcMar>
              <w:top w:w="90" w:type="dxa"/>
              <w:start w:w="110" w:type="dxa"/>
              <w:bottom w:w="90" w:type="dxa"/>
              <w:end w:w="110" w:type="dxa"/>
            </w:tcMar>
          </w:tcPr>
          <w:p>
            <w:pPr>
              <w:spacing w:after="0"/>
            </w:pPr>
            <w:r>
              <w:rPr>
                <w:sz w:val="17"/>
              </w:rPr>
              <w:t>G2 Collection authorization</w:t>
            </w:r>
          </w:p>
        </w:tc>
        <w:tc>
          <w:tcPr>
            <w:tcW w:type="dxa" w:w="3888"/>
            <w:vAlign w:val="center"/>
            <w:tcMar>
              <w:top w:w="90" w:type="dxa"/>
              <w:start w:w="110" w:type="dxa"/>
              <w:bottom w:w="90" w:type="dxa"/>
              <w:end w:w="110" w:type="dxa"/>
            </w:tcMar>
          </w:tcPr>
          <w:p>
            <w:pPr>
              <w:spacing w:after="0"/>
            </w:pPr>
            <w:r>
              <w:rPr>
                <w:sz w:val="17"/>
              </w:rPr>
              <w:t>Before higher-risk collection</w:t>
            </w:r>
          </w:p>
        </w:tc>
        <w:tc>
          <w:tcPr>
            <w:tcW w:type="dxa" w:w="4752"/>
            <w:vAlign w:val="center"/>
            <w:tcMar>
              <w:top w:w="90" w:type="dxa"/>
              <w:start w:w="110" w:type="dxa"/>
              <w:bottom w:w="90" w:type="dxa"/>
              <w:end w:w="110" w:type="dxa"/>
            </w:tcMar>
          </w:tcPr>
          <w:p>
            <w:pPr>
              <w:spacing w:after="0"/>
            </w:pPr>
            <w:r>
              <w:rPr>
                <w:sz w:val="17"/>
              </w:rPr>
              <w:t>Collection plan, legal/ethical review as applicable</w:t>
            </w:r>
          </w:p>
        </w:tc>
      </w:tr>
      <w:tr>
        <w:tc>
          <w:tcPr>
            <w:tcW w:type="dxa" w:w="1440"/>
            <w:vAlign w:val="center"/>
            <w:tcMar>
              <w:top w:w="90" w:type="dxa"/>
              <w:start w:w="110" w:type="dxa"/>
              <w:bottom w:w="90" w:type="dxa"/>
              <w:end w:w="110" w:type="dxa"/>
            </w:tcMar>
          </w:tcPr>
          <w:p>
            <w:pPr>
              <w:spacing w:after="0"/>
            </w:pPr>
            <w:r>
              <w:rPr>
                <w:sz w:val="17"/>
              </w:rPr>
              <w:t>G3 Analytical sufficiency</w:t>
            </w:r>
          </w:p>
        </w:tc>
        <w:tc>
          <w:tcPr>
            <w:tcW w:type="dxa" w:w="3888"/>
            <w:vAlign w:val="center"/>
            <w:tcMar>
              <w:top w:w="90" w:type="dxa"/>
              <w:start w:w="110" w:type="dxa"/>
              <w:bottom w:w="90" w:type="dxa"/>
              <w:end w:w="110" w:type="dxa"/>
            </w:tcMar>
          </w:tcPr>
          <w:p>
            <w:pPr>
              <w:spacing w:after="0"/>
            </w:pPr>
            <w:r>
              <w:rPr>
                <w:sz w:val="17"/>
              </w:rPr>
              <w:t>Before formal assessment</w:t>
            </w:r>
          </w:p>
        </w:tc>
        <w:tc>
          <w:tcPr>
            <w:tcW w:type="dxa" w:w="4752"/>
            <w:vAlign w:val="center"/>
            <w:tcMar>
              <w:top w:w="90" w:type="dxa"/>
              <w:start w:w="110" w:type="dxa"/>
              <w:bottom w:w="90" w:type="dxa"/>
              <w:end w:w="110" w:type="dxa"/>
            </w:tcMar>
          </w:tcPr>
          <w:p>
            <w:pPr>
              <w:spacing w:after="0"/>
            </w:pPr>
            <w:r>
              <w:rPr>
                <w:sz w:val="17"/>
              </w:rPr>
              <w:t>Evidence links, unresolved gaps, competing hypothesis record</w:t>
            </w:r>
          </w:p>
        </w:tc>
      </w:tr>
      <w:tr>
        <w:tc>
          <w:tcPr>
            <w:tcW w:type="dxa" w:w="1440"/>
            <w:vAlign w:val="center"/>
            <w:tcMar>
              <w:top w:w="90" w:type="dxa"/>
              <w:start w:w="110" w:type="dxa"/>
              <w:bottom w:w="90" w:type="dxa"/>
              <w:end w:w="110" w:type="dxa"/>
            </w:tcMar>
          </w:tcPr>
          <w:p>
            <w:pPr>
              <w:spacing w:after="0"/>
            </w:pPr>
            <w:r>
              <w:rPr>
                <w:sz w:val="17"/>
              </w:rPr>
              <w:t>G4 Peer review</w:t>
            </w:r>
          </w:p>
        </w:tc>
        <w:tc>
          <w:tcPr>
            <w:tcW w:type="dxa" w:w="3888"/>
            <w:vAlign w:val="center"/>
            <w:tcMar>
              <w:top w:w="90" w:type="dxa"/>
              <w:start w:w="110" w:type="dxa"/>
              <w:bottom w:w="90" w:type="dxa"/>
              <w:end w:w="110" w:type="dxa"/>
            </w:tcMar>
          </w:tcPr>
          <w:p>
            <w:pPr>
              <w:spacing w:after="0"/>
            </w:pPr>
            <w:r>
              <w:rPr>
                <w:sz w:val="17"/>
              </w:rPr>
              <w:t>Before high-impact conclusion</w:t>
            </w:r>
          </w:p>
        </w:tc>
        <w:tc>
          <w:tcPr>
            <w:tcW w:type="dxa" w:w="4752"/>
            <w:vAlign w:val="center"/>
            <w:tcMar>
              <w:top w:w="90" w:type="dxa"/>
              <w:start w:w="110" w:type="dxa"/>
              <w:bottom w:w="90" w:type="dxa"/>
              <w:end w:w="110" w:type="dxa"/>
            </w:tcMar>
          </w:tcPr>
          <w:p>
            <w:pPr>
              <w:spacing w:after="0"/>
            </w:pPr>
            <w:r>
              <w:rPr>
                <w:sz w:val="17"/>
              </w:rPr>
              <w:t>Reviewer identity, findings, response to challenge</w:t>
            </w:r>
          </w:p>
        </w:tc>
      </w:tr>
      <w:tr>
        <w:tc>
          <w:tcPr>
            <w:tcW w:type="dxa" w:w="1440"/>
            <w:vAlign w:val="center"/>
            <w:tcMar>
              <w:top w:w="90" w:type="dxa"/>
              <w:start w:w="110" w:type="dxa"/>
              <w:bottom w:w="90" w:type="dxa"/>
              <w:end w:w="110" w:type="dxa"/>
            </w:tcMar>
          </w:tcPr>
          <w:p>
            <w:pPr>
              <w:spacing w:after="0"/>
            </w:pPr>
            <w:r>
              <w:rPr>
                <w:sz w:val="17"/>
              </w:rPr>
              <w:t>G5 Dissemination approval</w:t>
            </w:r>
          </w:p>
        </w:tc>
        <w:tc>
          <w:tcPr>
            <w:tcW w:type="dxa" w:w="3888"/>
            <w:vAlign w:val="center"/>
            <w:tcMar>
              <w:top w:w="90" w:type="dxa"/>
              <w:start w:w="110" w:type="dxa"/>
              <w:bottom w:w="90" w:type="dxa"/>
              <w:end w:w="110" w:type="dxa"/>
            </w:tcMar>
          </w:tcPr>
          <w:p>
            <w:pPr>
              <w:spacing w:after="0"/>
            </w:pPr>
            <w:r>
              <w:rPr>
                <w:sz w:val="17"/>
              </w:rPr>
              <w:t>Before external export</w:t>
            </w:r>
          </w:p>
        </w:tc>
        <w:tc>
          <w:tcPr>
            <w:tcW w:type="dxa" w:w="4752"/>
            <w:vAlign w:val="center"/>
            <w:tcMar>
              <w:top w:w="90" w:type="dxa"/>
              <w:start w:w="110" w:type="dxa"/>
              <w:bottom w:w="90" w:type="dxa"/>
              <w:end w:w="110" w:type="dxa"/>
            </w:tcMar>
          </w:tcPr>
          <w:p>
            <w:pPr>
              <w:spacing w:after="0"/>
            </w:pPr>
            <w:r>
              <w:rPr>
                <w:sz w:val="17"/>
              </w:rPr>
              <w:t>Audience, minimisation/redaction, approver, product version</w:t>
            </w:r>
          </w:p>
        </w:tc>
      </w:tr>
      <w:tr>
        <w:tc>
          <w:tcPr>
            <w:tcW w:type="dxa" w:w="1440"/>
            <w:vAlign w:val="center"/>
            <w:tcMar>
              <w:top w:w="90" w:type="dxa"/>
              <w:start w:w="110" w:type="dxa"/>
              <w:bottom w:w="90" w:type="dxa"/>
              <w:end w:w="110" w:type="dxa"/>
            </w:tcMar>
          </w:tcPr>
          <w:p>
            <w:pPr>
              <w:spacing w:after="0"/>
            </w:pPr>
            <w:r>
              <w:rPr>
                <w:sz w:val="17"/>
              </w:rPr>
              <w:t>G6 Closure/reopen</w:t>
            </w:r>
          </w:p>
        </w:tc>
        <w:tc>
          <w:tcPr>
            <w:tcW w:type="dxa" w:w="3888"/>
            <w:vAlign w:val="center"/>
            <w:tcMar>
              <w:top w:w="90" w:type="dxa"/>
              <w:start w:w="110" w:type="dxa"/>
              <w:bottom w:w="90" w:type="dxa"/>
              <w:end w:w="110" w:type="dxa"/>
            </w:tcMar>
          </w:tcPr>
          <w:p>
            <w:pPr>
              <w:spacing w:after="0"/>
            </w:pPr>
            <w:r>
              <w:rPr>
                <w:sz w:val="17"/>
              </w:rPr>
              <w:t>At closure or reopen</w:t>
            </w:r>
          </w:p>
        </w:tc>
        <w:tc>
          <w:tcPr>
            <w:tcW w:type="dxa" w:w="4752"/>
            <w:vAlign w:val="center"/>
            <w:tcMar>
              <w:top w:w="90" w:type="dxa"/>
              <w:start w:w="110" w:type="dxa"/>
              <w:bottom w:w="90" w:type="dxa"/>
              <w:end w:w="110" w:type="dxa"/>
            </w:tcMar>
          </w:tcPr>
          <w:p>
            <w:pPr>
              <w:spacing w:after="0"/>
            </w:pPr>
            <w:r>
              <w:rPr>
                <w:sz w:val="17"/>
              </w:rPr>
              <w:t>Closure rationale, retention decision, reopen trigger</w:t>
            </w:r>
          </w:p>
        </w:tc>
      </w:tr>
    </w:tbl>
    <w:p>
      <w:pPr>
        <w:spacing w:after="20"/>
      </w:pPr>
    </w:p>
    <w:p>
      <w:pPr>
        <w:pStyle w:val="Heading2"/>
      </w:pPr>
      <w:r>
        <w:t>7.1 Workflow engine requirements</w:t>
      </w:r>
    </w:p>
    <w:p>
      <w:pPr>
        <w:pStyle w:val="ListBullet"/>
        <w:spacing w:after="40"/>
      </w:pPr>
      <w:r>
        <w:t>State transitions SHALL be explicit and auditable.</w:t>
      </w:r>
    </w:p>
    <w:p>
      <w:pPr>
        <w:pStyle w:val="ListBullet"/>
        <w:spacing w:after="40"/>
      </w:pPr>
      <w:r>
        <w:t>Privileged transitions SHOULD support four-eyes approval where impact is high.</w:t>
      </w:r>
    </w:p>
    <w:p>
      <w:pPr>
        <w:pStyle w:val="ListBullet"/>
        <w:spacing w:after="40"/>
      </w:pPr>
      <w:r>
        <w:t>System SHALL support pause/hold without forcing analytical closure.</w:t>
      </w:r>
    </w:p>
    <w:p>
      <w:pPr>
        <w:pStyle w:val="ListBullet"/>
        <w:spacing w:after="40"/>
      </w:pPr>
      <w:r>
        <w:t>A task engine MAY be used but task completion SHALL NOT itself imply analytical sufficiency.</w:t>
      </w:r>
    </w:p>
    <w:p>
      <w:pPr>
        <w:pStyle w:val="Heading1"/>
      </w:pPr>
      <w:r>
        <w:t>8. Evidence and Provenance Architecture</w:t>
      </w:r>
    </w:p>
    <w:p>
      <w:pPr>
        <w:pStyle w:val="Heading2"/>
      </w:pPr>
      <w:r>
        <w:t>8.1 Evidence lifecycle</w:t>
      </w:r>
    </w:p>
    <w:p>
      <w:pPr>
        <w:pStyle w:val="CodeBlock"/>
        <w:shd w:fill="F7F8FA"/>
      </w:pPr>
      <w:r>
        <w:t>ACQUIRE -&gt; REGISTER -&gt; HASH -&gt; CLASSIFY -&gt; PRESERVE ORIGINAL -&gt; EXTRACT -&gt; VERIFY -&gt; CITE -&gt; REVIEW -&gt; RETAIN/DISPOSE</w:t>
      </w:r>
    </w:p>
    <w:p>
      <w:pPr>
        <w:pStyle w:val="Heading2"/>
      </w:pPr>
      <w:r>
        <w:t>8.2 Original evidence requirements</w:t>
      </w:r>
    </w:p>
    <w:p>
      <w:pPr>
        <w:pStyle w:val="ListBullet"/>
        <w:spacing w:after="40"/>
      </w:pPr>
      <w:r>
        <w:t>Original acquired content SHALL be preserved separately from analyst annotations and transformed derivatives.</w:t>
      </w:r>
    </w:p>
    <w:p>
      <w:pPr>
        <w:pStyle w:val="ListBullet"/>
        <w:spacing w:after="40"/>
      </w:pPr>
      <w:r>
        <w:t>Cryptographic digest SHOULD be computed at registration for files or snapshots where technically feasible.</w:t>
      </w:r>
    </w:p>
    <w:p>
      <w:pPr>
        <w:pStyle w:val="ListBullet"/>
        <w:spacing w:after="40"/>
      </w:pPr>
      <w:r>
        <w:t>Timestamp, acquisition method, collector, source URL/location, and access context SHALL be recorded.</w:t>
      </w:r>
    </w:p>
    <w:p>
      <w:pPr>
        <w:pStyle w:val="ListBullet"/>
        <w:spacing w:after="40"/>
      </w:pPr>
      <w:r>
        <w:t>Evidence extracts SHALL point to a precise location in the source where possible (page, paragraph, timestamp, field, image region).</w:t>
      </w:r>
    </w:p>
    <w:p>
      <w:pPr>
        <w:pStyle w:val="ListBullet"/>
        <w:spacing w:after="40"/>
      </w:pPr>
      <w:r>
        <w:t>The system SHALL preserve a distinction between source availability and evidentiary reliability.</w:t>
      </w:r>
    </w:p>
    <w:p>
      <w:pPr>
        <w:pStyle w:val="Heading2"/>
      </w:pPr>
      <w:r>
        <w:t>8.3 Derivative chain</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4E79"/>
            <w:vAlign w:val="center"/>
            <w:tcMar>
              <w:top w:w="90" w:type="dxa"/>
              <w:start w:w="110" w:type="dxa"/>
              <w:bottom w:w="90" w:type="dxa"/>
              <w:end w:w="110" w:type="dxa"/>
            </w:tcMar>
          </w:tcPr>
          <w:p>
            <w:r>
              <w:rPr>
                <w:b/>
                <w:color w:val="FFFFFF"/>
                <w:sz w:val="17"/>
              </w:rPr>
              <w:t>Object</w:t>
            </w:r>
          </w:p>
        </w:tc>
        <w:tc>
          <w:tcPr>
            <w:tcW w:type="dxa" w:w="3744"/>
            <w:shd w:fill="1F4E79"/>
            <w:vAlign w:val="center"/>
            <w:tcMar>
              <w:top w:w="90" w:type="dxa"/>
              <w:start w:w="110" w:type="dxa"/>
              <w:bottom w:w="90" w:type="dxa"/>
              <w:end w:w="110" w:type="dxa"/>
            </w:tcMar>
          </w:tcPr>
          <w:p>
            <w:r>
              <w:rPr>
                <w:b/>
                <w:color w:val="FFFFFF"/>
                <w:sz w:val="17"/>
              </w:rPr>
              <w:t>May derive from</w:t>
            </w:r>
          </w:p>
        </w:tc>
        <w:tc>
          <w:tcPr>
            <w:tcW w:type="dxa" w:w="4320"/>
            <w:shd w:fill="1F4E79"/>
            <w:vAlign w:val="center"/>
            <w:tcMar>
              <w:top w:w="90" w:type="dxa"/>
              <w:start w:w="110" w:type="dxa"/>
              <w:bottom w:w="90" w:type="dxa"/>
              <w:end w:w="110" w:type="dxa"/>
            </w:tcMar>
          </w:tcPr>
          <w:p>
            <w:r>
              <w:rPr>
                <w:b/>
                <w:color w:val="FFFFFF"/>
                <w:sz w:val="17"/>
              </w:rPr>
              <w:t>Must retain link to</w:t>
            </w:r>
          </w:p>
        </w:tc>
      </w:tr>
      <w:tr>
        <w:tc>
          <w:tcPr>
            <w:tcW w:type="dxa" w:w="2016"/>
            <w:vAlign w:val="center"/>
            <w:tcMar>
              <w:top w:w="90" w:type="dxa"/>
              <w:start w:w="110" w:type="dxa"/>
              <w:bottom w:w="90" w:type="dxa"/>
              <w:end w:w="110" w:type="dxa"/>
            </w:tcMar>
          </w:tcPr>
          <w:p>
            <w:pPr>
              <w:spacing w:after="0"/>
            </w:pPr>
            <w:r>
              <w:rPr>
                <w:sz w:val="17"/>
              </w:rPr>
              <w:t>EvidenceExtract</w:t>
            </w:r>
          </w:p>
        </w:tc>
        <w:tc>
          <w:tcPr>
            <w:tcW w:type="dxa" w:w="3744"/>
            <w:vAlign w:val="center"/>
            <w:tcMar>
              <w:top w:w="90" w:type="dxa"/>
              <w:start w:w="110" w:type="dxa"/>
              <w:bottom w:w="90" w:type="dxa"/>
              <w:end w:w="110" w:type="dxa"/>
            </w:tcMar>
          </w:tcPr>
          <w:p>
            <w:pPr>
              <w:spacing w:after="0"/>
            </w:pPr>
            <w:r>
              <w:rPr>
                <w:sz w:val="17"/>
              </w:rPr>
              <w:t>Evidence</w:t>
            </w:r>
          </w:p>
        </w:tc>
        <w:tc>
          <w:tcPr>
            <w:tcW w:type="dxa" w:w="4320"/>
            <w:vAlign w:val="center"/>
            <w:tcMar>
              <w:top w:w="90" w:type="dxa"/>
              <w:start w:w="110" w:type="dxa"/>
              <w:bottom w:w="90" w:type="dxa"/>
              <w:end w:w="110" w:type="dxa"/>
            </w:tcMar>
          </w:tcPr>
          <w:p>
            <w:pPr>
              <w:spacing w:after="0"/>
            </w:pPr>
            <w:r>
              <w:rPr>
                <w:sz w:val="17"/>
              </w:rPr>
              <w:t>Evidence + source locator</w:t>
            </w:r>
          </w:p>
        </w:tc>
      </w:tr>
      <w:tr>
        <w:tc>
          <w:tcPr>
            <w:tcW w:type="dxa" w:w="2016"/>
            <w:vAlign w:val="center"/>
            <w:tcMar>
              <w:top w:w="90" w:type="dxa"/>
              <w:start w:w="110" w:type="dxa"/>
              <w:bottom w:w="90" w:type="dxa"/>
              <w:end w:w="110" w:type="dxa"/>
            </w:tcMar>
          </w:tcPr>
          <w:p>
            <w:pPr>
              <w:spacing w:after="0"/>
            </w:pPr>
            <w:r>
              <w:rPr>
                <w:sz w:val="17"/>
              </w:rPr>
              <w:t>Claim</w:t>
            </w:r>
          </w:p>
        </w:tc>
        <w:tc>
          <w:tcPr>
            <w:tcW w:type="dxa" w:w="3744"/>
            <w:vAlign w:val="center"/>
            <w:tcMar>
              <w:top w:w="90" w:type="dxa"/>
              <w:start w:w="110" w:type="dxa"/>
              <w:bottom w:w="90" w:type="dxa"/>
              <w:end w:w="110" w:type="dxa"/>
            </w:tcMar>
          </w:tcPr>
          <w:p>
            <w:pPr>
              <w:spacing w:after="0"/>
            </w:pPr>
            <w:r>
              <w:rPr>
                <w:sz w:val="17"/>
              </w:rPr>
              <w:t>EvidenceExtract / Evidence</w:t>
            </w:r>
          </w:p>
        </w:tc>
        <w:tc>
          <w:tcPr>
            <w:tcW w:type="dxa" w:w="4320"/>
            <w:vAlign w:val="center"/>
            <w:tcMar>
              <w:top w:w="90" w:type="dxa"/>
              <w:start w:w="110" w:type="dxa"/>
              <w:bottom w:w="90" w:type="dxa"/>
              <w:end w:w="110" w:type="dxa"/>
            </w:tcMar>
          </w:tcPr>
          <w:p>
            <w:pPr>
              <w:spacing w:after="0"/>
            </w:pPr>
            <w:r>
              <w:rPr>
                <w:sz w:val="17"/>
              </w:rPr>
              <w:t>Supporting evidence</w:t>
            </w:r>
          </w:p>
        </w:tc>
      </w:tr>
      <w:tr>
        <w:tc>
          <w:tcPr>
            <w:tcW w:type="dxa" w:w="2016"/>
            <w:vAlign w:val="center"/>
            <w:tcMar>
              <w:top w:w="90" w:type="dxa"/>
              <w:start w:w="110" w:type="dxa"/>
              <w:bottom w:w="90" w:type="dxa"/>
              <w:end w:w="110" w:type="dxa"/>
            </w:tcMar>
          </w:tcPr>
          <w:p>
            <w:pPr>
              <w:spacing w:after="0"/>
            </w:pPr>
            <w:r>
              <w:rPr>
                <w:sz w:val="17"/>
              </w:rPr>
              <w:t>Fact</w:t>
            </w:r>
          </w:p>
        </w:tc>
        <w:tc>
          <w:tcPr>
            <w:tcW w:type="dxa" w:w="3744"/>
            <w:vAlign w:val="center"/>
            <w:tcMar>
              <w:top w:w="90" w:type="dxa"/>
              <w:start w:w="110" w:type="dxa"/>
              <w:bottom w:w="90" w:type="dxa"/>
              <w:end w:w="110" w:type="dxa"/>
            </w:tcMar>
          </w:tcPr>
          <w:p>
            <w:pPr>
              <w:spacing w:after="0"/>
            </w:pPr>
            <w:r>
              <w:rPr>
                <w:sz w:val="17"/>
              </w:rPr>
              <w:t>Claim(s)</w:t>
            </w:r>
          </w:p>
        </w:tc>
        <w:tc>
          <w:tcPr>
            <w:tcW w:type="dxa" w:w="4320"/>
            <w:vAlign w:val="center"/>
            <w:tcMar>
              <w:top w:w="90" w:type="dxa"/>
              <w:start w:w="110" w:type="dxa"/>
              <w:bottom w:w="90" w:type="dxa"/>
              <w:end w:w="110" w:type="dxa"/>
            </w:tcMar>
          </w:tcPr>
          <w:p>
            <w:pPr>
              <w:spacing w:after="0"/>
            </w:pPr>
            <w:r>
              <w:rPr>
                <w:sz w:val="17"/>
              </w:rPr>
              <w:t>Evidence basis + verification status</w:t>
            </w:r>
          </w:p>
        </w:tc>
      </w:tr>
      <w:tr>
        <w:tc>
          <w:tcPr>
            <w:tcW w:type="dxa" w:w="2016"/>
            <w:vAlign w:val="center"/>
            <w:tcMar>
              <w:top w:w="90" w:type="dxa"/>
              <w:start w:w="110" w:type="dxa"/>
              <w:bottom w:w="90" w:type="dxa"/>
              <w:end w:w="110" w:type="dxa"/>
            </w:tcMar>
          </w:tcPr>
          <w:p>
            <w:pPr>
              <w:spacing w:after="0"/>
            </w:pPr>
            <w:r>
              <w:rPr>
                <w:sz w:val="17"/>
              </w:rPr>
              <w:t>Indicator</w:t>
            </w:r>
          </w:p>
        </w:tc>
        <w:tc>
          <w:tcPr>
            <w:tcW w:type="dxa" w:w="3744"/>
            <w:vAlign w:val="center"/>
            <w:tcMar>
              <w:top w:w="90" w:type="dxa"/>
              <w:start w:w="110" w:type="dxa"/>
              <w:bottom w:w="90" w:type="dxa"/>
              <w:end w:w="110" w:type="dxa"/>
            </w:tcMar>
          </w:tcPr>
          <w:p>
            <w:pPr>
              <w:spacing w:after="0"/>
            </w:pPr>
            <w:r>
              <w:rPr>
                <w:sz w:val="17"/>
              </w:rPr>
              <w:t>Fact / event / relationship / value flow</w:t>
            </w:r>
          </w:p>
        </w:tc>
        <w:tc>
          <w:tcPr>
            <w:tcW w:type="dxa" w:w="4320"/>
            <w:vAlign w:val="center"/>
            <w:tcMar>
              <w:top w:w="90" w:type="dxa"/>
              <w:start w:w="110" w:type="dxa"/>
              <w:bottom w:w="90" w:type="dxa"/>
              <w:end w:w="110" w:type="dxa"/>
            </w:tcMar>
          </w:tcPr>
          <w:p>
            <w:pPr>
              <w:spacing w:after="0"/>
            </w:pPr>
            <w:r>
              <w:rPr>
                <w:sz w:val="17"/>
              </w:rPr>
              <w:t>Underlying facts</w:t>
            </w:r>
          </w:p>
        </w:tc>
      </w:tr>
      <w:tr>
        <w:tc>
          <w:tcPr>
            <w:tcW w:type="dxa" w:w="2016"/>
            <w:vAlign w:val="center"/>
            <w:tcMar>
              <w:top w:w="90" w:type="dxa"/>
              <w:start w:w="110" w:type="dxa"/>
              <w:bottom w:w="90" w:type="dxa"/>
              <w:end w:w="110" w:type="dxa"/>
            </w:tcMar>
          </w:tcPr>
          <w:p>
            <w:pPr>
              <w:spacing w:after="0"/>
            </w:pPr>
            <w:r>
              <w:rPr>
                <w:sz w:val="17"/>
              </w:rPr>
              <w:t>Hypothesis</w:t>
            </w:r>
          </w:p>
        </w:tc>
        <w:tc>
          <w:tcPr>
            <w:tcW w:type="dxa" w:w="3744"/>
            <w:vAlign w:val="center"/>
            <w:tcMar>
              <w:top w:w="90" w:type="dxa"/>
              <w:start w:w="110" w:type="dxa"/>
              <w:bottom w:w="90" w:type="dxa"/>
              <w:end w:w="110" w:type="dxa"/>
            </w:tcMar>
          </w:tcPr>
          <w:p>
            <w:pPr>
              <w:spacing w:after="0"/>
            </w:pPr>
            <w:r>
              <w:rPr>
                <w:sz w:val="17"/>
              </w:rPr>
              <w:t>Indicators / facts</w:t>
            </w:r>
          </w:p>
        </w:tc>
        <w:tc>
          <w:tcPr>
            <w:tcW w:type="dxa" w:w="4320"/>
            <w:vAlign w:val="center"/>
            <w:tcMar>
              <w:top w:w="90" w:type="dxa"/>
              <w:start w:w="110" w:type="dxa"/>
              <w:bottom w:w="90" w:type="dxa"/>
              <w:end w:w="110" w:type="dxa"/>
            </w:tcMar>
          </w:tcPr>
          <w:p>
            <w:pPr>
              <w:spacing w:after="0"/>
            </w:pPr>
            <w:r>
              <w:rPr>
                <w:sz w:val="17"/>
              </w:rPr>
              <w:t>Support and contradiction</w:t>
            </w:r>
          </w:p>
        </w:tc>
      </w:tr>
      <w:tr>
        <w:tc>
          <w:tcPr>
            <w:tcW w:type="dxa" w:w="2016"/>
            <w:vAlign w:val="center"/>
            <w:tcMar>
              <w:top w:w="90" w:type="dxa"/>
              <w:start w:w="110" w:type="dxa"/>
              <w:bottom w:w="90" w:type="dxa"/>
              <w:end w:w="110" w:type="dxa"/>
            </w:tcMar>
          </w:tcPr>
          <w:p>
            <w:pPr>
              <w:spacing w:after="0"/>
            </w:pPr>
            <w:r>
              <w:rPr>
                <w:sz w:val="17"/>
              </w:rPr>
              <w:t>Assessment</w:t>
            </w:r>
          </w:p>
        </w:tc>
        <w:tc>
          <w:tcPr>
            <w:tcW w:type="dxa" w:w="3744"/>
            <w:vAlign w:val="center"/>
            <w:tcMar>
              <w:top w:w="90" w:type="dxa"/>
              <w:start w:w="110" w:type="dxa"/>
              <w:bottom w:w="90" w:type="dxa"/>
              <w:end w:w="110" w:type="dxa"/>
            </w:tcMar>
          </w:tcPr>
          <w:p>
            <w:pPr>
              <w:spacing w:after="0"/>
            </w:pPr>
            <w:r>
              <w:rPr>
                <w:sz w:val="17"/>
              </w:rPr>
              <w:t>Hypotheses / gaps</w:t>
            </w:r>
          </w:p>
        </w:tc>
        <w:tc>
          <w:tcPr>
            <w:tcW w:type="dxa" w:w="4320"/>
            <w:vAlign w:val="center"/>
            <w:tcMar>
              <w:top w:w="90" w:type="dxa"/>
              <w:start w:w="110" w:type="dxa"/>
              <w:bottom w:w="90" w:type="dxa"/>
              <w:end w:w="110" w:type="dxa"/>
            </w:tcMar>
          </w:tcPr>
          <w:p>
            <w:pPr>
              <w:spacing w:after="0"/>
            </w:pPr>
            <w:r>
              <w:rPr>
                <w:sz w:val="17"/>
              </w:rPr>
              <w:t>Reasoning basis + reviewer</w:t>
            </w:r>
          </w:p>
        </w:tc>
      </w:tr>
      <w:tr>
        <w:tc>
          <w:tcPr>
            <w:tcW w:type="dxa" w:w="2016"/>
            <w:vAlign w:val="center"/>
            <w:tcMar>
              <w:top w:w="90" w:type="dxa"/>
              <w:start w:w="110" w:type="dxa"/>
              <w:bottom w:w="90" w:type="dxa"/>
              <w:end w:w="110" w:type="dxa"/>
            </w:tcMar>
          </w:tcPr>
          <w:p>
            <w:pPr>
              <w:spacing w:after="0"/>
            </w:pPr>
            <w:r>
              <w:rPr>
                <w:sz w:val="17"/>
              </w:rPr>
              <w:t>IntelligenceProduct</w:t>
            </w:r>
          </w:p>
        </w:tc>
        <w:tc>
          <w:tcPr>
            <w:tcW w:type="dxa" w:w="3744"/>
            <w:vAlign w:val="center"/>
            <w:tcMar>
              <w:top w:w="90" w:type="dxa"/>
              <w:start w:w="110" w:type="dxa"/>
              <w:bottom w:w="90" w:type="dxa"/>
              <w:end w:w="110" w:type="dxa"/>
            </w:tcMar>
          </w:tcPr>
          <w:p>
            <w:pPr>
              <w:spacing w:after="0"/>
            </w:pPr>
            <w:r>
              <w:rPr>
                <w:sz w:val="17"/>
              </w:rPr>
              <w:t>Assessment + selected evidence</w:t>
            </w:r>
          </w:p>
        </w:tc>
        <w:tc>
          <w:tcPr>
            <w:tcW w:type="dxa" w:w="4320"/>
            <w:vAlign w:val="center"/>
            <w:tcMar>
              <w:top w:w="90" w:type="dxa"/>
              <w:start w:w="110" w:type="dxa"/>
              <w:bottom w:w="90" w:type="dxa"/>
              <w:end w:w="110" w:type="dxa"/>
            </w:tcMar>
          </w:tcPr>
          <w:p>
            <w:pPr>
              <w:spacing w:after="0"/>
            </w:pPr>
            <w:r>
              <w:rPr>
                <w:sz w:val="17"/>
              </w:rPr>
              <w:t>Approved assessment version</w:t>
            </w:r>
          </w:p>
        </w:tc>
      </w:tr>
    </w:tbl>
    <w:p>
      <w:pPr>
        <w:spacing w:after="20"/>
      </w:pPr>
    </w:p>
    <w:p>
      <w:pPr>
        <w:pStyle w:val="Heading1"/>
      </w:pPr>
      <w:r>
        <w:t>9. Entity Resolution Architecture</w:t>
      </w:r>
    </w:p>
    <w:p>
      <w:pPr>
        <w:spacing w:after="100" w:line="259" w:lineRule="auto"/>
      </w:pPr>
      <w:r>
        <w:rPr>
          <w:b w:val="0"/>
          <w:i w:val="0"/>
        </w:rPr>
        <w:t>Entity resolution is a high-impact analytical capability because a false merge can create relationships that never existed, while a missed merge can conceal a meaningful network. Architecture SHALL make resolution decisions explicit and reversible.</w:t>
      </w:r>
    </w:p>
    <w:p>
      <w:pPr>
        <w:pStyle w:val="Heading2"/>
      </w:pPr>
      <w:r>
        <w:t>9.1 Resolution pipeline</w:t>
      </w:r>
    </w:p>
    <w:p>
      <w:pPr>
        <w:pStyle w:val="CodeBlock"/>
        <w:shd w:fill="F7F8FA"/>
      </w:pPr>
      <w:r>
        <w:t>RECORDS / OBSERVATIONS</w:t>
        <w:br/>
        <w:t xml:space="preserve">       |</w:t>
        <w:br/>
        <w:t xml:space="preserve"> normalization</w:t>
        <w:br/>
        <w:t xml:space="preserve">       v</w:t>
        <w:br/>
        <w:t xml:space="preserve"> candidate generation</w:t>
        <w:br/>
        <w:t xml:space="preserve">       v</w:t>
        <w:br/>
        <w:t xml:space="preserve"> feature comparison</w:t>
        <w:br/>
        <w:t xml:space="preserve">       v</w:t>
        <w:br/>
        <w:t xml:space="preserve"> analyst review / rule decision</w:t>
        <w:br/>
        <w:t xml:space="preserve">       v</w:t>
        <w:br/>
        <w:t xml:space="preserve"> SAME / POSSIBLE SAME / DISTINCT / UNRESOLVED</w:t>
        <w:br/>
        <w:t xml:space="preserve">       v</w:t>
        <w:br/>
        <w:t xml:space="preserve"> canonical entity + resolution decision record</w:t>
      </w:r>
    </w:p>
    <w:p>
      <w:pPr>
        <w:pStyle w:val="Heading2"/>
      </w:pPr>
      <w:r>
        <w:t>9.2 Mandatory controls</w:t>
      </w:r>
    </w:p>
    <w:p>
      <w:pPr>
        <w:pStyle w:val="ListBullet"/>
        <w:spacing w:after="40"/>
      </w:pPr>
      <w:r>
        <w:t>No automatic merge solely on name similarity.</w:t>
      </w:r>
    </w:p>
    <w:p>
      <w:pPr>
        <w:pStyle w:val="ListBullet"/>
        <w:spacing w:after="40"/>
      </w:pPr>
      <w:r>
        <w:t>Resolution SHALL store compared identifiers/features, confidence, decision maker, date, and evidence.</w:t>
      </w:r>
    </w:p>
    <w:p>
      <w:pPr>
        <w:pStyle w:val="ListBullet"/>
        <w:spacing w:after="40"/>
      </w:pPr>
      <w:r>
        <w:t>Merge SHALL be reversible without deleting original records.</w:t>
      </w:r>
    </w:p>
    <w:p>
      <w:pPr>
        <w:pStyle w:val="ListBullet"/>
        <w:spacing w:after="40"/>
      </w:pPr>
      <w:r>
        <w:t>System SHOULD support alias, transliteration, former name, and spelling variants.</w:t>
      </w:r>
    </w:p>
    <w:p>
      <w:pPr>
        <w:pStyle w:val="ListBullet"/>
        <w:spacing w:after="40"/>
      </w:pPr>
      <w:r>
        <w:t>High-impact entities SHOULD require stricter merge threshold or review.</w:t>
      </w:r>
    </w:p>
    <w:p>
      <w:pPr>
        <w:pStyle w:val="Heading2"/>
      </w:pPr>
      <w:r>
        <w:t>9.3 Matching features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vAlign w:val="center"/>
            <w:tcMar>
              <w:top w:w="90" w:type="dxa"/>
              <w:start w:w="110" w:type="dxa"/>
              <w:bottom w:w="90" w:type="dxa"/>
              <w:end w:w="110" w:type="dxa"/>
            </w:tcMar>
          </w:tcPr>
          <w:p>
            <w:r>
              <w:rPr>
                <w:b/>
                <w:color w:val="FFFFFF"/>
                <w:sz w:val="17"/>
              </w:rPr>
              <w:t>Feature family</w:t>
            </w:r>
          </w:p>
        </w:tc>
        <w:tc>
          <w:tcPr>
            <w:tcW w:type="dxa" w:w="4320"/>
            <w:shd w:fill="1F4E79"/>
            <w:vAlign w:val="center"/>
            <w:tcMar>
              <w:top w:w="90" w:type="dxa"/>
              <w:start w:w="110" w:type="dxa"/>
              <w:bottom w:w="90" w:type="dxa"/>
              <w:end w:w="110" w:type="dxa"/>
            </w:tcMar>
          </w:tcPr>
          <w:p>
            <w:r>
              <w:rPr>
                <w:b/>
                <w:color w:val="FFFFFF"/>
                <w:sz w:val="17"/>
              </w:rPr>
              <w:t>Examples</w:t>
            </w:r>
          </w:p>
        </w:tc>
        <w:tc>
          <w:tcPr>
            <w:tcW w:type="dxa" w:w="4032"/>
            <w:shd w:fill="1F4E79"/>
            <w:vAlign w:val="center"/>
            <w:tcMar>
              <w:top w:w="90" w:type="dxa"/>
              <w:start w:w="110" w:type="dxa"/>
              <w:bottom w:w="90" w:type="dxa"/>
              <w:end w:w="110" w:type="dxa"/>
            </w:tcMar>
          </w:tcPr>
          <w:p>
            <w:r>
              <w:rPr>
                <w:b/>
                <w:color w:val="FFFFFF"/>
                <w:sz w:val="17"/>
              </w:rPr>
              <w:t>Caution</w:t>
            </w:r>
          </w:p>
        </w:tc>
      </w:tr>
      <w:tr>
        <w:tc>
          <w:tcPr>
            <w:tcW w:type="dxa" w:w="1728"/>
            <w:vAlign w:val="center"/>
            <w:tcMar>
              <w:top w:w="90" w:type="dxa"/>
              <w:start w:w="110" w:type="dxa"/>
              <w:bottom w:w="90" w:type="dxa"/>
              <w:end w:w="110" w:type="dxa"/>
            </w:tcMar>
          </w:tcPr>
          <w:p>
            <w:pPr>
              <w:spacing w:after="0"/>
            </w:pPr>
            <w:r>
              <w:rPr>
                <w:sz w:val="17"/>
              </w:rPr>
              <w:t>Strong identifiers</w:t>
            </w:r>
          </w:p>
        </w:tc>
        <w:tc>
          <w:tcPr>
            <w:tcW w:type="dxa" w:w="4320"/>
            <w:vAlign w:val="center"/>
            <w:tcMar>
              <w:top w:w="90" w:type="dxa"/>
              <w:start w:w="110" w:type="dxa"/>
              <w:bottom w:w="90" w:type="dxa"/>
              <w:end w:w="110" w:type="dxa"/>
            </w:tcMar>
          </w:tcPr>
          <w:p>
            <w:pPr>
              <w:spacing w:after="0"/>
            </w:pPr>
            <w:r>
              <w:rPr>
                <w:sz w:val="17"/>
              </w:rPr>
              <w:t>Registration number, tax/company identifier, verified account/wallet ID</w:t>
            </w:r>
          </w:p>
        </w:tc>
        <w:tc>
          <w:tcPr>
            <w:tcW w:type="dxa" w:w="4032"/>
            <w:vAlign w:val="center"/>
            <w:tcMar>
              <w:top w:w="90" w:type="dxa"/>
              <w:start w:w="110" w:type="dxa"/>
              <w:bottom w:w="90" w:type="dxa"/>
              <w:end w:w="110" w:type="dxa"/>
            </w:tcMar>
          </w:tcPr>
          <w:p>
            <w:pPr>
              <w:spacing w:after="0"/>
            </w:pPr>
            <w:r>
              <w:rPr>
                <w:sz w:val="17"/>
              </w:rPr>
              <w:t>Identifier reuse or data entry error remains possible</w:t>
            </w:r>
          </w:p>
        </w:tc>
      </w:tr>
      <w:tr>
        <w:tc>
          <w:tcPr>
            <w:tcW w:type="dxa" w:w="1728"/>
            <w:vAlign w:val="center"/>
            <w:tcMar>
              <w:top w:w="90" w:type="dxa"/>
              <w:start w:w="110" w:type="dxa"/>
              <w:bottom w:w="90" w:type="dxa"/>
              <w:end w:w="110" w:type="dxa"/>
            </w:tcMar>
          </w:tcPr>
          <w:p>
            <w:pPr>
              <w:spacing w:after="0"/>
            </w:pPr>
            <w:r>
              <w:rPr>
                <w:sz w:val="17"/>
              </w:rPr>
              <w:t>Personal identifiers</w:t>
            </w:r>
          </w:p>
        </w:tc>
        <w:tc>
          <w:tcPr>
            <w:tcW w:type="dxa" w:w="4320"/>
            <w:vAlign w:val="center"/>
            <w:tcMar>
              <w:top w:w="90" w:type="dxa"/>
              <w:start w:w="110" w:type="dxa"/>
              <w:bottom w:w="90" w:type="dxa"/>
              <w:end w:w="110" w:type="dxa"/>
            </w:tcMar>
          </w:tcPr>
          <w:p>
            <w:pPr>
              <w:spacing w:after="0"/>
            </w:pPr>
            <w:r>
              <w:rPr>
                <w:sz w:val="17"/>
              </w:rPr>
              <w:t>DOB, nationality, occupation, address</w:t>
            </w:r>
          </w:p>
        </w:tc>
        <w:tc>
          <w:tcPr>
            <w:tcW w:type="dxa" w:w="4032"/>
            <w:vAlign w:val="center"/>
            <w:tcMar>
              <w:top w:w="90" w:type="dxa"/>
              <w:start w:w="110" w:type="dxa"/>
              <w:bottom w:w="90" w:type="dxa"/>
              <w:end w:w="110" w:type="dxa"/>
            </w:tcMar>
          </w:tcPr>
          <w:p>
            <w:pPr>
              <w:spacing w:after="0"/>
            </w:pPr>
            <w:r>
              <w:rPr>
                <w:sz w:val="17"/>
              </w:rPr>
              <w:t>Personal data handling restrictions</w:t>
            </w:r>
          </w:p>
        </w:tc>
      </w:tr>
      <w:tr>
        <w:tc>
          <w:tcPr>
            <w:tcW w:type="dxa" w:w="1728"/>
            <w:vAlign w:val="center"/>
            <w:tcMar>
              <w:top w:w="90" w:type="dxa"/>
              <w:start w:w="110" w:type="dxa"/>
              <w:bottom w:w="90" w:type="dxa"/>
              <w:end w:w="110" w:type="dxa"/>
            </w:tcMar>
          </w:tcPr>
          <w:p>
            <w:pPr>
              <w:spacing w:after="0"/>
            </w:pPr>
            <w:r>
              <w:rPr>
                <w:sz w:val="17"/>
              </w:rPr>
              <w:t>Contact</w:t>
            </w:r>
          </w:p>
        </w:tc>
        <w:tc>
          <w:tcPr>
            <w:tcW w:type="dxa" w:w="4320"/>
            <w:vAlign w:val="center"/>
            <w:tcMar>
              <w:top w:w="90" w:type="dxa"/>
              <w:start w:w="110" w:type="dxa"/>
              <w:bottom w:w="90" w:type="dxa"/>
              <w:end w:w="110" w:type="dxa"/>
            </w:tcMar>
          </w:tcPr>
          <w:p>
            <w:pPr>
              <w:spacing w:after="0"/>
            </w:pPr>
            <w:r>
              <w:rPr>
                <w:sz w:val="17"/>
              </w:rPr>
              <w:t>Phone, email, domain</w:t>
            </w:r>
          </w:p>
        </w:tc>
        <w:tc>
          <w:tcPr>
            <w:tcW w:type="dxa" w:w="4032"/>
            <w:vAlign w:val="center"/>
            <w:tcMar>
              <w:top w:w="90" w:type="dxa"/>
              <w:start w:w="110" w:type="dxa"/>
              <w:bottom w:w="90" w:type="dxa"/>
              <w:end w:w="110" w:type="dxa"/>
            </w:tcMar>
          </w:tcPr>
          <w:p>
            <w:pPr>
              <w:spacing w:after="0"/>
            </w:pPr>
            <w:r>
              <w:rPr>
                <w:sz w:val="17"/>
              </w:rPr>
              <w:t>Shared corporate contact can mislead</w:t>
            </w:r>
          </w:p>
        </w:tc>
      </w:tr>
      <w:tr>
        <w:tc>
          <w:tcPr>
            <w:tcW w:type="dxa" w:w="1728"/>
            <w:vAlign w:val="center"/>
            <w:tcMar>
              <w:top w:w="90" w:type="dxa"/>
              <w:start w:w="110" w:type="dxa"/>
              <w:bottom w:w="90" w:type="dxa"/>
              <w:end w:w="110" w:type="dxa"/>
            </w:tcMar>
          </w:tcPr>
          <w:p>
            <w:pPr>
              <w:spacing w:after="0"/>
            </w:pPr>
            <w:r>
              <w:rPr>
                <w:sz w:val="17"/>
              </w:rPr>
              <w:t>Location</w:t>
            </w:r>
          </w:p>
        </w:tc>
        <w:tc>
          <w:tcPr>
            <w:tcW w:type="dxa" w:w="4320"/>
            <w:vAlign w:val="center"/>
            <w:tcMar>
              <w:top w:w="90" w:type="dxa"/>
              <w:start w:w="110" w:type="dxa"/>
              <w:bottom w:w="90" w:type="dxa"/>
              <w:end w:w="110" w:type="dxa"/>
            </w:tcMar>
          </w:tcPr>
          <w:p>
            <w:pPr>
              <w:spacing w:after="0"/>
            </w:pPr>
            <w:r>
              <w:rPr>
                <w:sz w:val="17"/>
              </w:rPr>
              <w:t>Registered address, property address</w:t>
            </w:r>
          </w:p>
        </w:tc>
        <w:tc>
          <w:tcPr>
            <w:tcW w:type="dxa" w:w="4032"/>
            <w:vAlign w:val="center"/>
            <w:tcMar>
              <w:top w:w="90" w:type="dxa"/>
              <w:start w:w="110" w:type="dxa"/>
              <w:bottom w:w="90" w:type="dxa"/>
              <w:end w:w="110" w:type="dxa"/>
            </w:tcMar>
          </w:tcPr>
          <w:p>
            <w:pPr>
              <w:spacing w:after="0"/>
            </w:pPr>
            <w:r>
              <w:rPr>
                <w:sz w:val="17"/>
              </w:rPr>
              <w:t>Shared offices and virtual addresses common</w:t>
            </w:r>
          </w:p>
        </w:tc>
      </w:tr>
      <w:tr>
        <w:tc>
          <w:tcPr>
            <w:tcW w:type="dxa" w:w="1728"/>
            <w:vAlign w:val="center"/>
            <w:tcMar>
              <w:top w:w="90" w:type="dxa"/>
              <w:start w:w="110" w:type="dxa"/>
              <w:bottom w:w="90" w:type="dxa"/>
              <w:end w:w="110" w:type="dxa"/>
            </w:tcMar>
          </w:tcPr>
          <w:p>
            <w:pPr>
              <w:spacing w:after="0"/>
            </w:pPr>
            <w:r>
              <w:rPr>
                <w:sz w:val="17"/>
              </w:rPr>
              <w:t>Network</w:t>
            </w:r>
          </w:p>
        </w:tc>
        <w:tc>
          <w:tcPr>
            <w:tcW w:type="dxa" w:w="4320"/>
            <w:vAlign w:val="center"/>
            <w:tcMar>
              <w:top w:w="90" w:type="dxa"/>
              <w:start w:w="110" w:type="dxa"/>
              <w:bottom w:w="90" w:type="dxa"/>
              <w:end w:w="110" w:type="dxa"/>
            </w:tcMar>
          </w:tcPr>
          <w:p>
            <w:pPr>
              <w:spacing w:after="0"/>
            </w:pPr>
            <w:r>
              <w:rPr>
                <w:sz w:val="17"/>
              </w:rPr>
              <w:t>Common director, owner, device, intermediary</w:t>
            </w:r>
          </w:p>
        </w:tc>
        <w:tc>
          <w:tcPr>
            <w:tcW w:type="dxa" w:w="4032"/>
            <w:vAlign w:val="center"/>
            <w:tcMar>
              <w:top w:w="90" w:type="dxa"/>
              <w:start w:w="110" w:type="dxa"/>
              <w:bottom w:w="90" w:type="dxa"/>
              <w:end w:w="110" w:type="dxa"/>
            </w:tcMar>
          </w:tcPr>
          <w:p>
            <w:pPr>
              <w:spacing w:after="0"/>
            </w:pPr>
            <w:r>
              <w:rPr>
                <w:sz w:val="17"/>
              </w:rPr>
              <w:t>Correlation is not identity</w:t>
            </w:r>
          </w:p>
        </w:tc>
      </w:tr>
      <w:tr>
        <w:tc>
          <w:tcPr>
            <w:tcW w:type="dxa" w:w="1728"/>
            <w:vAlign w:val="center"/>
            <w:tcMar>
              <w:top w:w="90" w:type="dxa"/>
              <w:start w:w="110" w:type="dxa"/>
              <w:bottom w:w="90" w:type="dxa"/>
              <w:end w:w="110" w:type="dxa"/>
            </w:tcMar>
          </w:tcPr>
          <w:p>
            <w:pPr>
              <w:spacing w:after="0"/>
            </w:pPr>
            <w:r>
              <w:rPr>
                <w:sz w:val="17"/>
              </w:rPr>
              <w:t>Name</w:t>
            </w:r>
          </w:p>
        </w:tc>
        <w:tc>
          <w:tcPr>
            <w:tcW w:type="dxa" w:w="4320"/>
            <w:vAlign w:val="center"/>
            <w:tcMar>
              <w:top w:w="90" w:type="dxa"/>
              <w:start w:w="110" w:type="dxa"/>
              <w:bottom w:w="90" w:type="dxa"/>
              <w:end w:w="110" w:type="dxa"/>
            </w:tcMar>
          </w:tcPr>
          <w:p>
            <w:pPr>
              <w:spacing w:after="0"/>
            </w:pPr>
            <w:r>
              <w:rPr>
                <w:sz w:val="17"/>
              </w:rPr>
              <w:t>Exact/fuzzy/transliteration</w:t>
            </w:r>
          </w:p>
        </w:tc>
        <w:tc>
          <w:tcPr>
            <w:tcW w:type="dxa" w:w="4032"/>
            <w:vAlign w:val="center"/>
            <w:tcMar>
              <w:top w:w="90" w:type="dxa"/>
              <w:start w:w="110" w:type="dxa"/>
              <w:bottom w:w="90" w:type="dxa"/>
              <w:end w:w="110" w:type="dxa"/>
            </w:tcMar>
          </w:tcPr>
          <w:p>
            <w:pPr>
              <w:spacing w:after="0"/>
            </w:pPr>
            <w:r>
              <w:rPr>
                <w:sz w:val="17"/>
              </w:rPr>
              <w:t>Weak alone; language-sensitive</w:t>
            </w:r>
          </w:p>
        </w:tc>
      </w:tr>
    </w:tbl>
    <w:p>
      <w:pPr>
        <w:spacing w:after="20"/>
      </w:pPr>
    </w:p>
    <w:p>
      <w:pPr>
        <w:pStyle w:val="Heading1"/>
      </w:pPr>
      <w:r>
        <w:t>10. Knowledge Graph Architecture</w:t>
      </w:r>
    </w:p>
    <w:p>
      <w:pPr>
        <w:spacing w:after="100" w:line="259" w:lineRule="auto"/>
      </w:pPr>
      <w:r>
        <w:rPr>
          <w:b w:val="0"/>
          <w:i w:val="0"/>
        </w:rPr>
        <w:t>The graph layer represents relationships for exploration and analytics. It SHALL not silently convert weak associations into factual relationships.</w:t>
      </w:r>
    </w:p>
    <w:p>
      <w:pPr>
        <w:pStyle w:val="Heading2"/>
      </w:pPr>
      <w:r>
        <w:t>10.1 Graph representation</w:t>
      </w:r>
    </w:p>
    <w:p>
      <w:pPr>
        <w:pStyle w:val="CodeBlock"/>
        <w:shd w:fill="F7F8FA"/>
      </w:pPr>
      <w:r>
        <w:t>(Person)-[DIRECTOR_OF]-&gt;(Company)</w:t>
        <w:br/>
        <w:t>(Company)-[CONTRACTED_BY]-&gt;(Agency)</w:t>
        <w:br/>
        <w:t>(Company)-[OWNS]-&gt;(Asset)</w:t>
        <w:br/>
        <w:t>(Person)-[BENEFICIAL_OWNER_OF]-&gt;(Company)</w:t>
        <w:br/>
        <w:t>(Company)-[SHARES_ADDRESS_WITH]-&gt;(Company)</w:t>
      </w:r>
    </w:p>
    <w:p>
      <w:pPr>
        <w:pStyle w:val="Heading2"/>
      </w:pPr>
      <w:r>
        <w:t>10.2 Edge semantics</w:t>
      </w:r>
    </w:p>
    <w:p>
      <w:pPr>
        <w:pStyle w:val="ListBullet"/>
        <w:spacing w:after="40"/>
      </w:pPr>
      <w:r>
        <w:t>Each material edge SHALL carry provenance or resolve to a canonical Relationship object.</w:t>
      </w:r>
    </w:p>
    <w:p>
      <w:pPr>
        <w:pStyle w:val="ListBullet"/>
        <w:spacing w:after="40"/>
      </w:pPr>
      <w:r>
        <w:t>Edge type SHALL use controlled vocabulary.</w:t>
      </w:r>
    </w:p>
    <w:p>
      <w:pPr>
        <w:pStyle w:val="ListBullet"/>
        <w:spacing w:after="40"/>
      </w:pPr>
      <w:r>
        <w:t>Confidence and relationship status SHALL be queryable.</w:t>
      </w:r>
    </w:p>
    <w:p>
      <w:pPr>
        <w:pStyle w:val="ListBullet"/>
        <w:spacing w:after="40"/>
      </w:pPr>
      <w:r>
        <w:t>Temporal validity SHOULD be represented so expired relationships are not displayed as current by default.</w:t>
      </w:r>
    </w:p>
    <w:p>
      <w:pPr>
        <w:pStyle w:val="ListBullet"/>
        <w:spacing w:after="40"/>
      </w:pPr>
      <w:r>
        <w:t>Analytical edges (e.g., POSSIBLY_CONTROLS) SHALL be visually distinct from verified edges.</w:t>
      </w:r>
    </w:p>
    <w:p>
      <w:pPr>
        <w:pStyle w:val="Heading2"/>
      </w:pPr>
      <w:r>
        <w:t>10.3 Supported graph operations</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4E79"/>
            <w:vAlign w:val="center"/>
            <w:tcMar>
              <w:top w:w="90" w:type="dxa"/>
              <w:start w:w="110" w:type="dxa"/>
              <w:bottom w:w="90" w:type="dxa"/>
              <w:end w:w="110" w:type="dxa"/>
            </w:tcMar>
          </w:tcPr>
          <w:p>
            <w:r>
              <w:rPr>
                <w:b/>
                <w:color w:val="FFFFFF"/>
                <w:sz w:val="17"/>
              </w:rPr>
              <w:t>Operation</w:t>
            </w:r>
          </w:p>
        </w:tc>
        <w:tc>
          <w:tcPr>
            <w:tcW w:type="dxa" w:w="4176"/>
            <w:shd w:fill="1F4E79"/>
            <w:vAlign w:val="center"/>
            <w:tcMar>
              <w:top w:w="90" w:type="dxa"/>
              <w:start w:w="110" w:type="dxa"/>
              <w:bottom w:w="90" w:type="dxa"/>
              <w:end w:w="110" w:type="dxa"/>
            </w:tcMar>
          </w:tcPr>
          <w:p>
            <w:r>
              <w:rPr>
                <w:b/>
                <w:color w:val="FFFFFF"/>
                <w:sz w:val="17"/>
              </w:rPr>
              <w:t>Use</w:t>
            </w:r>
          </w:p>
        </w:tc>
        <w:tc>
          <w:tcPr>
            <w:tcW w:type="dxa" w:w="4032"/>
            <w:shd w:fill="1F4E79"/>
            <w:vAlign w:val="center"/>
            <w:tcMar>
              <w:top w:w="90" w:type="dxa"/>
              <w:start w:w="110" w:type="dxa"/>
              <w:bottom w:w="90" w:type="dxa"/>
              <w:end w:w="110" w:type="dxa"/>
            </w:tcMar>
          </w:tcPr>
          <w:p>
            <w:r>
              <w:rPr>
                <w:b/>
                <w:color w:val="FFFFFF"/>
                <w:sz w:val="17"/>
              </w:rPr>
              <w:t>Guardrail</w:t>
            </w:r>
          </w:p>
        </w:tc>
      </w:tr>
      <w:tr>
        <w:tc>
          <w:tcPr>
            <w:tcW w:type="dxa" w:w="1872"/>
            <w:vAlign w:val="center"/>
            <w:tcMar>
              <w:top w:w="90" w:type="dxa"/>
              <w:start w:w="110" w:type="dxa"/>
              <w:bottom w:w="90" w:type="dxa"/>
              <w:end w:w="110" w:type="dxa"/>
            </w:tcMar>
          </w:tcPr>
          <w:p>
            <w:pPr>
              <w:spacing w:after="0"/>
            </w:pPr>
            <w:r>
              <w:rPr>
                <w:sz w:val="17"/>
              </w:rPr>
              <w:t>1-N traversal</w:t>
            </w:r>
          </w:p>
        </w:tc>
        <w:tc>
          <w:tcPr>
            <w:tcW w:type="dxa" w:w="4176"/>
            <w:vAlign w:val="center"/>
            <w:tcMar>
              <w:top w:w="90" w:type="dxa"/>
              <w:start w:w="110" w:type="dxa"/>
              <w:bottom w:w="90" w:type="dxa"/>
              <w:end w:w="110" w:type="dxa"/>
            </w:tcMar>
          </w:tcPr>
          <w:p>
            <w:pPr>
              <w:spacing w:after="0"/>
            </w:pPr>
            <w:r>
              <w:rPr>
                <w:sz w:val="17"/>
              </w:rPr>
              <w:t>Explore direct/indirect relationships</w:t>
            </w:r>
          </w:p>
        </w:tc>
        <w:tc>
          <w:tcPr>
            <w:tcW w:type="dxa" w:w="4032"/>
            <w:vAlign w:val="center"/>
            <w:tcMar>
              <w:top w:w="90" w:type="dxa"/>
              <w:start w:w="110" w:type="dxa"/>
              <w:bottom w:w="90" w:type="dxa"/>
              <w:end w:w="110" w:type="dxa"/>
            </w:tcMar>
          </w:tcPr>
          <w:p>
            <w:pPr>
              <w:spacing w:after="0"/>
            </w:pPr>
            <w:r>
              <w:rPr>
                <w:sz w:val="17"/>
              </w:rPr>
              <w:t>Default depth limits</w:t>
            </w:r>
          </w:p>
        </w:tc>
      </w:tr>
      <w:tr>
        <w:tc>
          <w:tcPr>
            <w:tcW w:type="dxa" w:w="1872"/>
            <w:vAlign w:val="center"/>
            <w:tcMar>
              <w:top w:w="90" w:type="dxa"/>
              <w:start w:w="110" w:type="dxa"/>
              <w:bottom w:w="90" w:type="dxa"/>
              <w:end w:w="110" w:type="dxa"/>
            </w:tcMar>
          </w:tcPr>
          <w:p>
            <w:pPr>
              <w:spacing w:after="0"/>
            </w:pPr>
            <w:r>
              <w:rPr>
                <w:sz w:val="17"/>
              </w:rPr>
              <w:t>Shortest path</w:t>
            </w:r>
          </w:p>
        </w:tc>
        <w:tc>
          <w:tcPr>
            <w:tcW w:type="dxa" w:w="4176"/>
            <w:vAlign w:val="center"/>
            <w:tcMar>
              <w:top w:w="90" w:type="dxa"/>
              <w:start w:w="110" w:type="dxa"/>
              <w:bottom w:w="90" w:type="dxa"/>
              <w:end w:w="110" w:type="dxa"/>
            </w:tcMar>
          </w:tcPr>
          <w:p>
            <w:pPr>
              <w:spacing w:after="0"/>
            </w:pPr>
            <w:r>
              <w:rPr>
                <w:sz w:val="17"/>
              </w:rPr>
              <w:t>Find connection between entities</w:t>
            </w:r>
          </w:p>
        </w:tc>
        <w:tc>
          <w:tcPr>
            <w:tcW w:type="dxa" w:w="4032"/>
            <w:vAlign w:val="center"/>
            <w:tcMar>
              <w:top w:w="90" w:type="dxa"/>
              <w:start w:w="110" w:type="dxa"/>
              <w:bottom w:w="90" w:type="dxa"/>
              <w:end w:w="110" w:type="dxa"/>
            </w:tcMar>
          </w:tcPr>
          <w:p>
            <w:pPr>
              <w:spacing w:after="0"/>
            </w:pPr>
            <w:r>
              <w:rPr>
                <w:sz w:val="17"/>
              </w:rPr>
              <w:t>Path ≠ causal relationship</w:t>
            </w:r>
          </w:p>
        </w:tc>
      </w:tr>
      <w:tr>
        <w:tc>
          <w:tcPr>
            <w:tcW w:type="dxa" w:w="1872"/>
            <w:vAlign w:val="center"/>
            <w:tcMar>
              <w:top w:w="90" w:type="dxa"/>
              <w:start w:w="110" w:type="dxa"/>
              <w:bottom w:w="90" w:type="dxa"/>
              <w:end w:w="110" w:type="dxa"/>
            </w:tcMar>
          </w:tcPr>
          <w:p>
            <w:pPr>
              <w:spacing w:after="0"/>
            </w:pPr>
            <w:r>
              <w:rPr>
                <w:sz w:val="17"/>
              </w:rPr>
              <w:t>Shared attribute query</w:t>
            </w:r>
          </w:p>
        </w:tc>
        <w:tc>
          <w:tcPr>
            <w:tcW w:type="dxa" w:w="4176"/>
            <w:vAlign w:val="center"/>
            <w:tcMar>
              <w:top w:w="90" w:type="dxa"/>
              <w:start w:w="110" w:type="dxa"/>
              <w:bottom w:w="90" w:type="dxa"/>
              <w:end w:w="110" w:type="dxa"/>
            </w:tcMar>
          </w:tcPr>
          <w:p>
            <w:pPr>
              <w:spacing w:after="0"/>
            </w:pPr>
            <w:r>
              <w:rPr>
                <w:sz w:val="17"/>
              </w:rPr>
              <w:t>Common address/phone/director</w:t>
            </w:r>
          </w:p>
        </w:tc>
        <w:tc>
          <w:tcPr>
            <w:tcW w:type="dxa" w:w="4032"/>
            <w:vAlign w:val="center"/>
            <w:tcMar>
              <w:top w:w="90" w:type="dxa"/>
              <w:start w:w="110" w:type="dxa"/>
              <w:bottom w:w="90" w:type="dxa"/>
              <w:end w:w="110" w:type="dxa"/>
            </w:tcMar>
          </w:tcPr>
          <w:p>
            <w:pPr>
              <w:spacing w:after="0"/>
            </w:pPr>
            <w:r>
              <w:rPr>
                <w:sz w:val="17"/>
              </w:rPr>
              <w:t>Shared attribute ≠ control</w:t>
            </w:r>
          </w:p>
        </w:tc>
      </w:tr>
      <w:tr>
        <w:tc>
          <w:tcPr>
            <w:tcW w:type="dxa" w:w="1872"/>
            <w:vAlign w:val="center"/>
            <w:tcMar>
              <w:top w:w="90" w:type="dxa"/>
              <w:start w:w="110" w:type="dxa"/>
              <w:bottom w:w="90" w:type="dxa"/>
              <w:end w:w="110" w:type="dxa"/>
            </w:tcMar>
          </w:tcPr>
          <w:p>
            <w:pPr>
              <w:spacing w:after="0"/>
            </w:pPr>
            <w:r>
              <w:rPr>
                <w:sz w:val="17"/>
              </w:rPr>
              <w:t>Community detection</w:t>
            </w:r>
          </w:p>
        </w:tc>
        <w:tc>
          <w:tcPr>
            <w:tcW w:type="dxa" w:w="4176"/>
            <w:vAlign w:val="center"/>
            <w:tcMar>
              <w:top w:w="90" w:type="dxa"/>
              <w:start w:w="110" w:type="dxa"/>
              <w:bottom w:w="90" w:type="dxa"/>
              <w:end w:w="110" w:type="dxa"/>
            </w:tcMar>
          </w:tcPr>
          <w:p>
            <w:pPr>
              <w:spacing w:after="0"/>
            </w:pPr>
            <w:r>
              <w:rPr>
                <w:sz w:val="17"/>
              </w:rPr>
              <w:t>Identify dense clusters</w:t>
            </w:r>
          </w:p>
        </w:tc>
        <w:tc>
          <w:tcPr>
            <w:tcW w:type="dxa" w:w="4032"/>
            <w:vAlign w:val="center"/>
            <w:tcMar>
              <w:top w:w="90" w:type="dxa"/>
              <w:start w:w="110" w:type="dxa"/>
              <w:bottom w:w="90" w:type="dxa"/>
              <w:end w:w="110" w:type="dxa"/>
            </w:tcMar>
          </w:tcPr>
          <w:p>
            <w:pPr>
              <w:spacing w:after="0"/>
            </w:pPr>
            <w:r>
              <w:rPr>
                <w:sz w:val="17"/>
              </w:rPr>
              <w:t>Exploratory only unless corroborated</w:t>
            </w:r>
          </w:p>
        </w:tc>
      </w:tr>
      <w:tr>
        <w:tc>
          <w:tcPr>
            <w:tcW w:type="dxa" w:w="1872"/>
            <w:vAlign w:val="center"/>
            <w:tcMar>
              <w:top w:w="90" w:type="dxa"/>
              <w:start w:w="110" w:type="dxa"/>
              <w:bottom w:w="90" w:type="dxa"/>
              <w:end w:w="110" w:type="dxa"/>
            </w:tcMar>
          </w:tcPr>
          <w:p>
            <w:pPr>
              <w:spacing w:after="0"/>
            </w:pPr>
            <w:r>
              <w:rPr>
                <w:sz w:val="17"/>
              </w:rPr>
              <w:t>Centrality</w:t>
            </w:r>
          </w:p>
        </w:tc>
        <w:tc>
          <w:tcPr>
            <w:tcW w:type="dxa" w:w="4176"/>
            <w:vAlign w:val="center"/>
            <w:tcMar>
              <w:top w:w="90" w:type="dxa"/>
              <w:start w:w="110" w:type="dxa"/>
              <w:bottom w:w="90" w:type="dxa"/>
              <w:end w:w="110" w:type="dxa"/>
            </w:tcMar>
          </w:tcPr>
          <w:p>
            <w:pPr>
              <w:spacing w:after="0"/>
            </w:pPr>
            <w:r>
              <w:rPr>
                <w:sz w:val="17"/>
              </w:rPr>
              <w:t>Find structurally central nodes</w:t>
            </w:r>
          </w:p>
        </w:tc>
        <w:tc>
          <w:tcPr>
            <w:tcW w:type="dxa" w:w="4032"/>
            <w:vAlign w:val="center"/>
            <w:tcMar>
              <w:top w:w="90" w:type="dxa"/>
              <w:start w:w="110" w:type="dxa"/>
              <w:bottom w:w="90" w:type="dxa"/>
              <w:end w:w="110" w:type="dxa"/>
            </w:tcMar>
          </w:tcPr>
          <w:p>
            <w:pPr>
              <w:spacing w:after="0"/>
            </w:pPr>
            <w:r>
              <w:rPr>
                <w:sz w:val="17"/>
              </w:rPr>
              <w:t>Importance ≠ culpability</w:t>
            </w:r>
          </w:p>
        </w:tc>
      </w:tr>
      <w:tr>
        <w:tc>
          <w:tcPr>
            <w:tcW w:type="dxa" w:w="1872"/>
            <w:vAlign w:val="center"/>
            <w:tcMar>
              <w:top w:w="90" w:type="dxa"/>
              <w:start w:w="110" w:type="dxa"/>
              <w:bottom w:w="90" w:type="dxa"/>
              <w:end w:w="110" w:type="dxa"/>
            </w:tcMar>
          </w:tcPr>
          <w:p>
            <w:pPr>
              <w:spacing w:after="0"/>
            </w:pPr>
            <w:r>
              <w:rPr>
                <w:sz w:val="17"/>
              </w:rPr>
              <w:t>Temporal graph filter</w:t>
            </w:r>
          </w:p>
        </w:tc>
        <w:tc>
          <w:tcPr>
            <w:tcW w:type="dxa" w:w="4176"/>
            <w:vAlign w:val="center"/>
            <w:tcMar>
              <w:top w:w="90" w:type="dxa"/>
              <w:start w:w="110" w:type="dxa"/>
              <w:bottom w:w="90" w:type="dxa"/>
              <w:end w:w="110" w:type="dxa"/>
            </w:tcMar>
          </w:tcPr>
          <w:p>
            <w:pPr>
              <w:spacing w:after="0"/>
            </w:pPr>
            <w:r>
              <w:rPr>
                <w:sz w:val="17"/>
              </w:rPr>
              <w:t>View relationships by period</w:t>
            </w:r>
          </w:p>
        </w:tc>
        <w:tc>
          <w:tcPr>
            <w:tcW w:type="dxa" w:w="4032"/>
            <w:vAlign w:val="center"/>
            <w:tcMar>
              <w:top w:w="90" w:type="dxa"/>
              <w:start w:w="110" w:type="dxa"/>
              <w:bottom w:w="90" w:type="dxa"/>
              <w:end w:w="110" w:type="dxa"/>
            </w:tcMar>
          </w:tcPr>
          <w:p>
            <w:pPr>
              <w:spacing w:after="0"/>
            </w:pPr>
            <w:r>
              <w:rPr>
                <w:sz w:val="17"/>
              </w:rPr>
              <w:t>Requires valid-time metadata</w:t>
            </w:r>
          </w:p>
        </w:tc>
      </w:tr>
    </w:tbl>
    <w:p>
      <w:pPr>
        <w:spacing w:after="20"/>
      </w:pPr>
    </w:p>
    <w:p>
      <w:pPr>
        <w:pStyle w:val="Heading1"/>
      </w:pPr>
      <w:r>
        <w:t>11. Search and Retrieval Architecture</w:t>
      </w:r>
    </w:p>
    <w:p>
      <w:pPr>
        <w:pStyle w:val="ListBullet"/>
        <w:spacing w:after="40"/>
      </w:pPr>
      <w:r>
        <w:t>Search SHALL respect authorization at query and result-rendering time.</w:t>
      </w:r>
    </w:p>
    <w:p>
      <w:pPr>
        <w:pStyle w:val="ListBullet"/>
        <w:spacing w:after="40"/>
      </w:pPr>
      <w:r>
        <w:t>Indexes containing sensitive content SHALL be treated as sensitive copies, not merely technical metadata.</w:t>
      </w:r>
    </w:p>
    <w:p>
      <w:pPr>
        <w:pStyle w:val="ListBullet"/>
        <w:spacing w:after="40"/>
      </w:pPr>
      <w:r>
        <w:t>Full-text search SHOULD support language-aware tokenization where feasible.</w:t>
      </w:r>
    </w:p>
    <w:p>
      <w:pPr>
        <w:pStyle w:val="ListBullet"/>
        <w:spacing w:after="40"/>
      </w:pPr>
      <w:r>
        <w:t>Search result snippets SHALL not reveal content the user is unauthorized to open.</w:t>
      </w:r>
    </w:p>
    <w:p>
      <w:pPr>
        <w:pStyle w:val="ListBullet"/>
        <w:spacing w:after="40"/>
      </w:pPr>
      <w:r>
        <w:t>Bulk export/search APIs SHOULD be rate-limited and auditable.</w:t>
      </w:r>
    </w:p>
    <w:p>
      <w:pPr>
        <w:pStyle w:val="Heading2"/>
      </w:pPr>
      <w:r>
        <w:t>11.1 Search modes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4E79"/>
            <w:vAlign w:val="center"/>
            <w:tcMar>
              <w:top w:w="90" w:type="dxa"/>
              <w:start w:w="110" w:type="dxa"/>
              <w:bottom w:w="90" w:type="dxa"/>
              <w:end w:w="110" w:type="dxa"/>
            </w:tcMar>
          </w:tcPr>
          <w:p>
            <w:r>
              <w:rPr>
                <w:b/>
                <w:color w:val="FFFFFF"/>
                <w:sz w:val="17"/>
              </w:rPr>
              <w:t>Mode</w:t>
            </w:r>
          </w:p>
        </w:tc>
        <w:tc>
          <w:tcPr>
            <w:tcW w:type="dxa" w:w="3312"/>
            <w:shd w:fill="1F4E79"/>
            <w:vAlign w:val="center"/>
            <w:tcMar>
              <w:top w:w="90" w:type="dxa"/>
              <w:start w:w="110" w:type="dxa"/>
              <w:bottom w:w="90" w:type="dxa"/>
              <w:end w:w="110" w:type="dxa"/>
            </w:tcMar>
          </w:tcPr>
          <w:p>
            <w:r>
              <w:rPr>
                <w:b/>
                <w:color w:val="FFFFFF"/>
                <w:sz w:val="17"/>
              </w:rPr>
              <w:t>Purpose</w:t>
            </w:r>
          </w:p>
        </w:tc>
        <w:tc>
          <w:tcPr>
            <w:tcW w:type="dxa" w:w="4752"/>
            <w:shd w:fill="1F4E79"/>
            <w:vAlign w:val="center"/>
            <w:tcMar>
              <w:top w:w="90" w:type="dxa"/>
              <w:start w:w="110" w:type="dxa"/>
              <w:bottom w:w="90" w:type="dxa"/>
              <w:end w:w="110" w:type="dxa"/>
            </w:tcMar>
          </w:tcPr>
          <w:p>
            <w:r>
              <w:rPr>
                <w:b/>
                <w:color w:val="FFFFFF"/>
                <w:sz w:val="17"/>
              </w:rPr>
              <w:t>Examples</w:t>
            </w:r>
          </w:p>
        </w:tc>
      </w:tr>
      <w:tr>
        <w:tc>
          <w:tcPr>
            <w:tcW w:type="dxa" w:w="2016"/>
            <w:vAlign w:val="center"/>
            <w:tcMar>
              <w:top w:w="90" w:type="dxa"/>
              <w:start w:w="110" w:type="dxa"/>
              <w:bottom w:w="90" w:type="dxa"/>
              <w:end w:w="110" w:type="dxa"/>
            </w:tcMar>
          </w:tcPr>
          <w:p>
            <w:pPr>
              <w:spacing w:after="0"/>
            </w:pPr>
            <w:r>
              <w:rPr>
                <w:sz w:val="17"/>
              </w:rPr>
              <w:t>Exact identifier</w:t>
            </w:r>
          </w:p>
        </w:tc>
        <w:tc>
          <w:tcPr>
            <w:tcW w:type="dxa" w:w="3312"/>
            <w:vAlign w:val="center"/>
            <w:tcMar>
              <w:top w:w="90" w:type="dxa"/>
              <w:start w:w="110" w:type="dxa"/>
              <w:bottom w:w="90" w:type="dxa"/>
              <w:end w:w="110" w:type="dxa"/>
            </w:tcMar>
          </w:tcPr>
          <w:p>
            <w:pPr>
              <w:spacing w:after="0"/>
            </w:pPr>
            <w:r>
              <w:rPr>
                <w:sz w:val="17"/>
              </w:rPr>
              <w:t>Deterministic lookup</w:t>
            </w:r>
          </w:p>
        </w:tc>
        <w:tc>
          <w:tcPr>
            <w:tcW w:type="dxa" w:w="4752"/>
            <w:vAlign w:val="center"/>
            <w:tcMar>
              <w:top w:w="90" w:type="dxa"/>
              <w:start w:w="110" w:type="dxa"/>
              <w:bottom w:w="90" w:type="dxa"/>
              <w:end w:w="110" w:type="dxa"/>
            </w:tcMar>
          </w:tcPr>
          <w:p>
            <w:pPr>
              <w:spacing w:after="0"/>
            </w:pPr>
            <w:r>
              <w:rPr>
                <w:sz w:val="17"/>
              </w:rPr>
              <w:t>Company number, case ID, wallet address</w:t>
            </w:r>
          </w:p>
        </w:tc>
      </w:tr>
      <w:tr>
        <w:tc>
          <w:tcPr>
            <w:tcW w:type="dxa" w:w="2016"/>
            <w:vAlign w:val="center"/>
            <w:tcMar>
              <w:top w:w="90" w:type="dxa"/>
              <w:start w:w="110" w:type="dxa"/>
              <w:bottom w:w="90" w:type="dxa"/>
              <w:end w:w="110" w:type="dxa"/>
            </w:tcMar>
          </w:tcPr>
          <w:p>
            <w:pPr>
              <w:spacing w:after="0"/>
            </w:pPr>
            <w:r>
              <w:rPr>
                <w:sz w:val="17"/>
              </w:rPr>
              <w:t>Fielded search</w:t>
            </w:r>
          </w:p>
        </w:tc>
        <w:tc>
          <w:tcPr>
            <w:tcW w:type="dxa" w:w="3312"/>
            <w:vAlign w:val="center"/>
            <w:tcMar>
              <w:top w:w="90" w:type="dxa"/>
              <w:start w:w="110" w:type="dxa"/>
              <w:bottom w:w="90" w:type="dxa"/>
              <w:end w:w="110" w:type="dxa"/>
            </w:tcMar>
          </w:tcPr>
          <w:p>
            <w:pPr>
              <w:spacing w:after="0"/>
            </w:pPr>
            <w:r>
              <w:rPr>
                <w:sz w:val="17"/>
              </w:rPr>
              <w:t>Structured discovery</w:t>
            </w:r>
          </w:p>
        </w:tc>
        <w:tc>
          <w:tcPr>
            <w:tcW w:type="dxa" w:w="4752"/>
            <w:vAlign w:val="center"/>
            <w:tcMar>
              <w:top w:w="90" w:type="dxa"/>
              <w:start w:w="110" w:type="dxa"/>
              <w:bottom w:w="90" w:type="dxa"/>
              <w:end w:w="110" w:type="dxa"/>
            </w:tcMar>
          </w:tcPr>
          <w:p>
            <w:pPr>
              <w:spacing w:after="0"/>
            </w:pPr>
            <w:r>
              <w:rPr>
                <w:sz w:val="17"/>
              </w:rPr>
              <w:t>Director name + date range</w:t>
            </w:r>
          </w:p>
        </w:tc>
      </w:tr>
      <w:tr>
        <w:tc>
          <w:tcPr>
            <w:tcW w:type="dxa" w:w="2016"/>
            <w:vAlign w:val="center"/>
            <w:tcMar>
              <w:top w:w="90" w:type="dxa"/>
              <w:start w:w="110" w:type="dxa"/>
              <w:bottom w:w="90" w:type="dxa"/>
              <w:end w:w="110" w:type="dxa"/>
            </w:tcMar>
          </w:tcPr>
          <w:p>
            <w:pPr>
              <w:spacing w:after="0"/>
            </w:pPr>
            <w:r>
              <w:rPr>
                <w:sz w:val="17"/>
              </w:rPr>
              <w:t>Full text</w:t>
            </w:r>
          </w:p>
        </w:tc>
        <w:tc>
          <w:tcPr>
            <w:tcW w:type="dxa" w:w="3312"/>
            <w:vAlign w:val="center"/>
            <w:tcMar>
              <w:top w:w="90" w:type="dxa"/>
              <w:start w:w="110" w:type="dxa"/>
              <w:bottom w:w="90" w:type="dxa"/>
              <w:end w:w="110" w:type="dxa"/>
            </w:tcMar>
          </w:tcPr>
          <w:p>
            <w:pPr>
              <w:spacing w:after="0"/>
            </w:pPr>
            <w:r>
              <w:rPr>
                <w:sz w:val="17"/>
              </w:rPr>
              <w:t>Document and note discovery</w:t>
            </w:r>
          </w:p>
        </w:tc>
        <w:tc>
          <w:tcPr>
            <w:tcW w:type="dxa" w:w="4752"/>
            <w:vAlign w:val="center"/>
            <w:tcMar>
              <w:top w:w="90" w:type="dxa"/>
              <w:start w:w="110" w:type="dxa"/>
              <w:bottom w:w="90" w:type="dxa"/>
              <w:end w:w="110" w:type="dxa"/>
            </w:tcMar>
          </w:tcPr>
          <w:p>
            <w:pPr>
              <w:spacing w:after="0"/>
            </w:pPr>
            <w:r>
              <w:rPr>
                <w:sz w:val="17"/>
              </w:rPr>
              <w:t>Contract wording, aliases</w:t>
            </w:r>
          </w:p>
        </w:tc>
      </w:tr>
      <w:tr>
        <w:tc>
          <w:tcPr>
            <w:tcW w:type="dxa" w:w="2016"/>
            <w:vAlign w:val="center"/>
            <w:tcMar>
              <w:top w:w="90" w:type="dxa"/>
              <w:start w:w="110" w:type="dxa"/>
              <w:bottom w:w="90" w:type="dxa"/>
              <w:end w:w="110" w:type="dxa"/>
            </w:tcMar>
          </w:tcPr>
          <w:p>
            <w:pPr>
              <w:spacing w:after="0"/>
            </w:pPr>
            <w:r>
              <w:rPr>
                <w:sz w:val="17"/>
              </w:rPr>
              <w:t>Graph-aware</w:t>
            </w:r>
          </w:p>
        </w:tc>
        <w:tc>
          <w:tcPr>
            <w:tcW w:type="dxa" w:w="3312"/>
            <w:vAlign w:val="center"/>
            <w:tcMar>
              <w:top w:w="90" w:type="dxa"/>
              <w:start w:w="110" w:type="dxa"/>
              <w:bottom w:w="90" w:type="dxa"/>
              <w:end w:w="110" w:type="dxa"/>
            </w:tcMar>
          </w:tcPr>
          <w:p>
            <w:pPr>
              <w:spacing w:after="0"/>
            </w:pPr>
            <w:r>
              <w:rPr>
                <w:sz w:val="17"/>
              </w:rPr>
              <w:t>Relationship-based search</w:t>
            </w:r>
          </w:p>
        </w:tc>
        <w:tc>
          <w:tcPr>
            <w:tcW w:type="dxa" w:w="4752"/>
            <w:vAlign w:val="center"/>
            <w:tcMar>
              <w:top w:w="90" w:type="dxa"/>
              <w:start w:w="110" w:type="dxa"/>
              <w:bottom w:w="90" w:type="dxa"/>
              <w:end w:w="110" w:type="dxa"/>
            </w:tcMar>
          </w:tcPr>
          <w:p>
            <w:pPr>
              <w:spacing w:after="0"/>
            </w:pPr>
            <w:r>
              <w:rPr>
                <w:sz w:val="17"/>
              </w:rPr>
              <w:t>Companies sharing an address</w:t>
            </w:r>
          </w:p>
        </w:tc>
      </w:tr>
      <w:tr>
        <w:tc>
          <w:tcPr>
            <w:tcW w:type="dxa" w:w="2016"/>
            <w:vAlign w:val="center"/>
            <w:tcMar>
              <w:top w:w="90" w:type="dxa"/>
              <w:start w:w="110" w:type="dxa"/>
              <w:bottom w:w="90" w:type="dxa"/>
              <w:end w:w="110" w:type="dxa"/>
            </w:tcMar>
          </w:tcPr>
          <w:p>
            <w:pPr>
              <w:spacing w:after="0"/>
            </w:pPr>
            <w:r>
              <w:rPr>
                <w:sz w:val="17"/>
              </w:rPr>
              <w:t>Similarity</w:t>
            </w:r>
          </w:p>
        </w:tc>
        <w:tc>
          <w:tcPr>
            <w:tcW w:type="dxa" w:w="3312"/>
            <w:vAlign w:val="center"/>
            <w:tcMar>
              <w:top w:w="90" w:type="dxa"/>
              <w:start w:w="110" w:type="dxa"/>
              <w:bottom w:w="90" w:type="dxa"/>
              <w:end w:w="110" w:type="dxa"/>
            </w:tcMar>
          </w:tcPr>
          <w:p>
            <w:pPr>
              <w:spacing w:after="0"/>
            </w:pPr>
            <w:r>
              <w:rPr>
                <w:sz w:val="17"/>
              </w:rPr>
              <w:t>Candidate discovery</w:t>
            </w:r>
          </w:p>
        </w:tc>
        <w:tc>
          <w:tcPr>
            <w:tcW w:type="dxa" w:w="4752"/>
            <w:vAlign w:val="center"/>
            <w:tcMar>
              <w:top w:w="90" w:type="dxa"/>
              <w:start w:w="110" w:type="dxa"/>
              <w:bottom w:w="90" w:type="dxa"/>
              <w:end w:w="110" w:type="dxa"/>
            </w:tcMar>
          </w:tcPr>
          <w:p>
            <w:pPr>
              <w:spacing w:after="0"/>
            </w:pPr>
            <w:r>
              <w:rPr>
                <w:sz w:val="17"/>
              </w:rPr>
              <w:t>Near-duplicate names or documents</w:t>
            </w:r>
          </w:p>
        </w:tc>
      </w:tr>
      <w:tr>
        <w:tc>
          <w:tcPr>
            <w:tcW w:type="dxa" w:w="2016"/>
            <w:vAlign w:val="center"/>
            <w:tcMar>
              <w:top w:w="90" w:type="dxa"/>
              <w:start w:w="110" w:type="dxa"/>
              <w:bottom w:w="90" w:type="dxa"/>
              <w:end w:w="110" w:type="dxa"/>
            </w:tcMar>
          </w:tcPr>
          <w:p>
            <w:pPr>
              <w:spacing w:after="0"/>
            </w:pPr>
            <w:r>
              <w:rPr>
                <w:sz w:val="17"/>
              </w:rPr>
              <w:t>Semantic/vector (optional)</w:t>
            </w:r>
          </w:p>
        </w:tc>
        <w:tc>
          <w:tcPr>
            <w:tcW w:type="dxa" w:w="3312"/>
            <w:vAlign w:val="center"/>
            <w:tcMar>
              <w:top w:w="90" w:type="dxa"/>
              <w:start w:w="110" w:type="dxa"/>
              <w:bottom w:w="90" w:type="dxa"/>
              <w:end w:w="110" w:type="dxa"/>
            </w:tcMar>
          </w:tcPr>
          <w:p>
            <w:pPr>
              <w:spacing w:after="0"/>
            </w:pPr>
            <w:r>
              <w:rPr>
                <w:sz w:val="17"/>
              </w:rPr>
              <w:t>Conceptual retrieval</w:t>
            </w:r>
          </w:p>
        </w:tc>
        <w:tc>
          <w:tcPr>
            <w:tcW w:type="dxa" w:w="4752"/>
            <w:vAlign w:val="center"/>
            <w:tcMar>
              <w:top w:w="90" w:type="dxa"/>
              <w:start w:w="110" w:type="dxa"/>
              <w:bottom w:w="90" w:type="dxa"/>
              <w:end w:w="110" w:type="dxa"/>
            </w:tcMar>
          </w:tcPr>
          <w:p>
            <w:pPr>
              <w:spacing w:after="0"/>
            </w:pPr>
            <w:r>
              <w:rPr>
                <w:sz w:val="17"/>
              </w:rPr>
              <w:t>Find documents discussing hidden ownership</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6D8"/>
            <w:tcMar>
              <w:top w:w="150" w:type="dxa"/>
              <w:start w:w="160" w:type="dxa"/>
              <w:bottom w:w="150" w:type="dxa"/>
              <w:end w:w="160" w:type="dxa"/>
            </w:tcMar>
          </w:tcPr>
          <w:p>
            <w:r>
              <w:rPr>
                <w:b/>
                <w:color w:val="1F4E79"/>
                <w:sz w:val="20"/>
              </w:rPr>
              <w:t>Vector-search caution</w:t>
              <w:br/>
            </w:r>
            <w:r>
              <w:rPr>
                <w:sz w:val="19"/>
              </w:rPr>
              <w:t>Embeddings are derived representations. They SHALL NOT become the only copy of source content, and semantic similarity SHALL NOT be treated as evidence of factual relationship.</w:t>
            </w:r>
          </w:p>
        </w:tc>
      </w:tr>
    </w:tbl>
    <w:p>
      <w:pPr>
        <w:spacing w:after="20"/>
      </w:pPr>
    </w:p>
    <w:p>
      <w:pPr>
        <w:pStyle w:val="Heading1"/>
      </w:pPr>
      <w:r>
        <w:t>12. Timeline, Asset, and Value-Flow Analytics</w:t>
      </w:r>
    </w:p>
    <w:p>
      <w:pPr>
        <w:pStyle w:val="Heading2"/>
      </w:pPr>
      <w:r>
        <w:t>12.1 Timeline service</w:t>
      </w:r>
    </w:p>
    <w:p>
      <w:pPr>
        <w:spacing w:after="100" w:line="259" w:lineRule="auto"/>
      </w:pPr>
      <w:r>
        <w:rPr>
          <w:b w:val="0"/>
          <w:i w:val="0"/>
        </w:rPr>
        <w:t>The timeline service SHALL combine Events from multiple source types while retaining event type, source, confidence, and date precision. Approximate dates SHALL remain approximate.</w:t>
      </w:r>
    </w:p>
    <w:p>
      <w:pPr>
        <w:pStyle w:val="Heading2"/>
      </w:pPr>
      <w:r>
        <w:t>12.2 Asset analysis</w:t>
      </w:r>
    </w:p>
    <w:p>
      <w:pPr>
        <w:pStyle w:val="ListBullet"/>
        <w:spacing w:after="40"/>
      </w:pPr>
      <w:r>
        <w:t>Legal ownership, beneficial ownership, control, possession/use, and valuation SHALL be separate concepts.</w:t>
      </w:r>
    </w:p>
    <w:p>
      <w:pPr>
        <w:pStyle w:val="ListBullet"/>
        <w:spacing w:after="40"/>
      </w:pPr>
      <w:r>
        <w:t>Historical ownership SHOULD be queryable.</w:t>
      </w:r>
    </w:p>
    <w:p>
      <w:pPr>
        <w:pStyle w:val="ListBullet"/>
        <w:spacing w:after="40"/>
      </w:pPr>
      <w:r>
        <w:t>Estimated value SHALL include valuation date, currency, method, and confidence.</w:t>
      </w:r>
    </w:p>
    <w:p>
      <w:pPr>
        <w:pStyle w:val="ListBullet"/>
        <w:spacing w:after="40"/>
      </w:pPr>
      <w:r>
        <w:t>Asset association SHALL not be displayed as ownership unless the evidence supports ownership.</w:t>
      </w:r>
    </w:p>
    <w:p>
      <w:pPr>
        <w:pStyle w:val="Heading2"/>
      </w:pPr>
      <w:r>
        <w:t>12.3 Value-flow engine</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vAlign w:val="center"/>
            <w:tcMar>
              <w:top w:w="90" w:type="dxa"/>
              <w:start w:w="110" w:type="dxa"/>
              <w:bottom w:w="90" w:type="dxa"/>
              <w:end w:w="110" w:type="dxa"/>
            </w:tcMar>
          </w:tcPr>
          <w:p>
            <w:r>
              <w:rPr>
                <w:b/>
                <w:color w:val="FFFFFF"/>
                <w:sz w:val="17"/>
              </w:rPr>
              <w:t>Flow class</w:t>
            </w:r>
          </w:p>
        </w:tc>
        <w:tc>
          <w:tcPr>
            <w:tcW w:type="dxa" w:w="5472"/>
            <w:shd w:fill="1F4E79"/>
            <w:vAlign w:val="center"/>
            <w:tcMar>
              <w:top w:w="90" w:type="dxa"/>
              <w:start w:w="110" w:type="dxa"/>
              <w:bottom w:w="90" w:type="dxa"/>
              <w:end w:w="110" w:type="dxa"/>
            </w:tcMar>
          </w:tcPr>
          <w:p>
            <w:r>
              <w:rPr>
                <w:b/>
                <w:color w:val="FFFFFF"/>
                <w:sz w:val="17"/>
              </w:rPr>
              <w:t>Meaning</w:t>
            </w:r>
          </w:p>
        </w:tc>
        <w:tc>
          <w:tcPr>
            <w:tcW w:type="dxa" w:w="2880"/>
            <w:shd w:fill="1F4E79"/>
            <w:vAlign w:val="center"/>
            <w:tcMar>
              <w:top w:w="90" w:type="dxa"/>
              <w:start w:w="110" w:type="dxa"/>
              <w:bottom w:w="90" w:type="dxa"/>
              <w:end w:w="110" w:type="dxa"/>
            </w:tcMar>
          </w:tcPr>
          <w:p>
            <w:r>
              <w:rPr>
                <w:b/>
                <w:color w:val="FFFFFF"/>
                <w:sz w:val="17"/>
              </w:rPr>
              <w:t>Visualization rule</w:t>
            </w:r>
          </w:p>
        </w:tc>
      </w:tr>
      <w:tr>
        <w:tc>
          <w:tcPr>
            <w:tcW w:type="dxa" w:w="1728"/>
            <w:vAlign w:val="center"/>
            <w:tcMar>
              <w:top w:w="90" w:type="dxa"/>
              <w:start w:w="110" w:type="dxa"/>
              <w:bottom w:w="90" w:type="dxa"/>
              <w:end w:w="110" w:type="dxa"/>
            </w:tcMar>
          </w:tcPr>
          <w:p>
            <w:pPr>
              <w:spacing w:after="0"/>
            </w:pPr>
            <w:r>
              <w:rPr>
                <w:sz w:val="17"/>
              </w:rPr>
              <w:t>DIRECT</w:t>
            </w:r>
          </w:p>
        </w:tc>
        <w:tc>
          <w:tcPr>
            <w:tcW w:type="dxa" w:w="5472"/>
            <w:vAlign w:val="center"/>
            <w:tcMar>
              <w:top w:w="90" w:type="dxa"/>
              <w:start w:w="110" w:type="dxa"/>
              <w:bottom w:w="90" w:type="dxa"/>
              <w:end w:w="110" w:type="dxa"/>
            </w:tcMar>
          </w:tcPr>
          <w:p>
            <w:pPr>
              <w:spacing w:after="0"/>
            </w:pPr>
            <w:r>
              <w:rPr>
                <w:sz w:val="17"/>
              </w:rPr>
              <w:t>Transaction or transfer directly evidenced</w:t>
            </w:r>
          </w:p>
        </w:tc>
        <w:tc>
          <w:tcPr>
            <w:tcW w:type="dxa" w:w="2880"/>
            <w:vAlign w:val="center"/>
            <w:tcMar>
              <w:top w:w="90" w:type="dxa"/>
              <w:start w:w="110" w:type="dxa"/>
              <w:bottom w:w="90" w:type="dxa"/>
              <w:end w:w="110" w:type="dxa"/>
            </w:tcMar>
          </w:tcPr>
          <w:p>
            <w:pPr>
              <w:spacing w:after="0"/>
            </w:pPr>
            <w:r>
              <w:rPr>
                <w:sz w:val="17"/>
              </w:rPr>
              <w:t>Solid line; evidence link required</w:t>
            </w:r>
          </w:p>
        </w:tc>
      </w:tr>
      <w:tr>
        <w:tc>
          <w:tcPr>
            <w:tcW w:type="dxa" w:w="1728"/>
            <w:vAlign w:val="center"/>
            <w:tcMar>
              <w:top w:w="90" w:type="dxa"/>
              <w:start w:w="110" w:type="dxa"/>
              <w:bottom w:w="90" w:type="dxa"/>
              <w:end w:w="110" w:type="dxa"/>
            </w:tcMar>
          </w:tcPr>
          <w:p>
            <w:pPr>
              <w:spacing w:after="0"/>
            </w:pPr>
            <w:r>
              <w:rPr>
                <w:sz w:val="17"/>
              </w:rPr>
              <w:t>DOCUMENTED</w:t>
            </w:r>
          </w:p>
        </w:tc>
        <w:tc>
          <w:tcPr>
            <w:tcW w:type="dxa" w:w="5472"/>
            <w:vAlign w:val="center"/>
            <w:tcMar>
              <w:top w:w="90" w:type="dxa"/>
              <w:start w:w="110" w:type="dxa"/>
              <w:bottom w:w="90" w:type="dxa"/>
              <w:end w:w="110" w:type="dxa"/>
            </w:tcMar>
          </w:tcPr>
          <w:p>
            <w:pPr>
              <w:spacing w:after="0"/>
            </w:pPr>
            <w:r>
              <w:rPr>
                <w:sz w:val="17"/>
              </w:rPr>
              <w:t>Economic transfer documented but not necessarily bank-level transaction</w:t>
            </w:r>
          </w:p>
        </w:tc>
        <w:tc>
          <w:tcPr>
            <w:tcW w:type="dxa" w:w="2880"/>
            <w:vAlign w:val="center"/>
            <w:tcMar>
              <w:top w:w="90" w:type="dxa"/>
              <w:start w:w="110" w:type="dxa"/>
              <w:bottom w:w="90" w:type="dxa"/>
              <w:end w:w="110" w:type="dxa"/>
            </w:tcMar>
          </w:tcPr>
          <w:p>
            <w:pPr>
              <w:spacing w:after="0"/>
            </w:pPr>
            <w:r>
              <w:rPr>
                <w:sz w:val="17"/>
              </w:rPr>
              <w:t>Solid or distinct documented style</w:t>
            </w:r>
          </w:p>
        </w:tc>
      </w:tr>
      <w:tr>
        <w:tc>
          <w:tcPr>
            <w:tcW w:type="dxa" w:w="1728"/>
            <w:vAlign w:val="center"/>
            <w:tcMar>
              <w:top w:w="90" w:type="dxa"/>
              <w:start w:w="110" w:type="dxa"/>
              <w:bottom w:w="90" w:type="dxa"/>
              <w:end w:w="110" w:type="dxa"/>
            </w:tcMar>
          </w:tcPr>
          <w:p>
            <w:pPr>
              <w:spacing w:after="0"/>
            </w:pPr>
            <w:r>
              <w:rPr>
                <w:sz w:val="17"/>
              </w:rPr>
              <w:t>RECONSTRUCTED</w:t>
            </w:r>
          </w:p>
        </w:tc>
        <w:tc>
          <w:tcPr>
            <w:tcW w:type="dxa" w:w="5472"/>
            <w:vAlign w:val="center"/>
            <w:tcMar>
              <w:top w:w="90" w:type="dxa"/>
              <w:start w:w="110" w:type="dxa"/>
              <w:bottom w:w="90" w:type="dxa"/>
              <w:end w:w="110" w:type="dxa"/>
            </w:tcMar>
          </w:tcPr>
          <w:p>
            <w:pPr>
              <w:spacing w:after="0"/>
            </w:pPr>
            <w:r>
              <w:rPr>
                <w:sz w:val="17"/>
              </w:rPr>
              <w:t>Analyst reconstruction from contracts/assets/events</w:t>
            </w:r>
          </w:p>
        </w:tc>
        <w:tc>
          <w:tcPr>
            <w:tcW w:type="dxa" w:w="2880"/>
            <w:vAlign w:val="center"/>
            <w:tcMar>
              <w:top w:w="90" w:type="dxa"/>
              <w:start w:w="110" w:type="dxa"/>
              <w:bottom w:w="90" w:type="dxa"/>
              <w:end w:w="110" w:type="dxa"/>
            </w:tcMar>
          </w:tcPr>
          <w:p>
            <w:pPr>
              <w:spacing w:after="0"/>
            </w:pPr>
            <w:r>
              <w:rPr>
                <w:sz w:val="17"/>
              </w:rPr>
              <w:t>Dashed or otherwise distinct</w:t>
            </w:r>
          </w:p>
        </w:tc>
      </w:tr>
      <w:tr>
        <w:tc>
          <w:tcPr>
            <w:tcW w:type="dxa" w:w="1728"/>
            <w:vAlign w:val="center"/>
            <w:tcMar>
              <w:top w:w="90" w:type="dxa"/>
              <w:start w:w="110" w:type="dxa"/>
              <w:bottom w:w="90" w:type="dxa"/>
              <w:end w:w="110" w:type="dxa"/>
            </w:tcMar>
          </w:tcPr>
          <w:p>
            <w:pPr>
              <w:spacing w:after="0"/>
            </w:pPr>
            <w:r>
              <w:rPr>
                <w:sz w:val="17"/>
              </w:rPr>
              <w:t>HYPOTHETICAL</w:t>
            </w:r>
          </w:p>
        </w:tc>
        <w:tc>
          <w:tcPr>
            <w:tcW w:type="dxa" w:w="5472"/>
            <w:vAlign w:val="center"/>
            <w:tcMar>
              <w:top w:w="90" w:type="dxa"/>
              <w:start w:w="110" w:type="dxa"/>
              <w:bottom w:w="90" w:type="dxa"/>
              <w:end w:w="110" w:type="dxa"/>
            </w:tcMar>
          </w:tcPr>
          <w:p>
            <w:pPr>
              <w:spacing w:after="0"/>
            </w:pPr>
            <w:r>
              <w:rPr>
                <w:sz w:val="17"/>
              </w:rPr>
              <w:t>Possible flow used to test a hypothesis</w:t>
            </w:r>
          </w:p>
        </w:tc>
        <w:tc>
          <w:tcPr>
            <w:tcW w:type="dxa" w:w="2880"/>
            <w:vAlign w:val="center"/>
            <w:tcMar>
              <w:top w:w="90" w:type="dxa"/>
              <w:start w:w="110" w:type="dxa"/>
              <w:bottom w:w="90" w:type="dxa"/>
              <w:end w:w="110" w:type="dxa"/>
            </w:tcMar>
          </w:tcPr>
          <w:p>
            <w:pPr>
              <w:spacing w:after="0"/>
            </w:pPr>
            <w:r>
              <w:rPr>
                <w:sz w:val="17"/>
              </w:rPr>
              <w:t>Dotted; never included as established fact</w:t>
            </w:r>
          </w:p>
        </w:tc>
      </w:tr>
    </w:tbl>
    <w:p>
      <w:pPr>
        <w:spacing w:after="20"/>
      </w:pPr>
    </w:p>
    <w:p>
      <w:pPr>
        <w:pStyle w:val="Heading2"/>
      </w:pPr>
      <w:r>
        <w:t>12.4 Flow composition</w:t>
      </w:r>
    </w:p>
    <w:p>
      <w:pPr>
        <w:pStyle w:val="CodeBlock"/>
        <w:shd w:fill="F7F8FA"/>
      </w:pPr>
      <w:r>
        <w:t>Contract Award --DOCUMENTED--&gt; Company A</w:t>
        <w:br/>
        <w:t>Company A --RECONSTRUCTED--&gt; Company B</w:t>
        <w:br/>
        <w:t>Company B --DOCUMENTED ASSET PURCHASE--&gt; Property P</w:t>
        <w:br/>
        <w:br/>
        <w:t>System MUST NOT collapse this chain into:</w:t>
        <w:br/>
        <w:t>Government --DIRECT PAYMENT--&gt; Property P</w:t>
      </w:r>
    </w:p>
    <w:p>
      <w:pPr>
        <w:pStyle w:val="Heading1"/>
      </w:pPr>
      <w:r>
        <w:t>13. Typology and Analytical Services</w:t>
      </w:r>
    </w:p>
    <w:p>
      <w:pPr>
        <w:spacing w:after="100" w:line="259" w:lineRule="auto"/>
      </w:pPr>
      <w:r>
        <w:rPr>
          <w:b w:val="0"/>
          <w:i w:val="0"/>
        </w:rPr>
        <w:t>Typology technology supports structured comparison with known mechanisms. It SHALL assist analysts; it SHALL NOT automatically label a person or entity as a money launderer.</w:t>
      </w:r>
    </w:p>
    <w:p>
      <w:pPr>
        <w:pStyle w:val="Heading2"/>
      </w:pPr>
      <w:r>
        <w:t>13.1 Typology service model</w:t>
      </w:r>
    </w:p>
    <w:p>
      <w:pPr>
        <w:pStyle w:val="ListBullet"/>
        <w:spacing w:after="40"/>
      </w:pPr>
      <w:r>
        <w:t>Catalogue entries SHALL be versioned.</w:t>
      </w:r>
    </w:p>
    <w:p>
      <w:pPr>
        <w:pStyle w:val="ListBullet"/>
        <w:spacing w:after="40"/>
      </w:pPr>
      <w:r>
        <w:t>Indicator logic SHOULD distinguish mechanism-specific, corroborating, contextual, disconfirming, and intelligence-gap indicators.</w:t>
      </w:r>
    </w:p>
    <w:p>
      <w:pPr>
        <w:pStyle w:val="ListBullet"/>
        <w:spacing w:after="40"/>
      </w:pPr>
      <w:r>
        <w:t>A typology match SHALL retain the catalogue version used.</w:t>
      </w:r>
    </w:p>
    <w:p>
      <w:pPr>
        <w:pStyle w:val="ListBullet"/>
        <w:spacing w:after="40"/>
      </w:pPr>
      <w:r>
        <w:t>Automated suggestions SHALL display the evidence and rule/features that produced the suggestion.</w:t>
      </w:r>
    </w:p>
    <w:p>
      <w:pPr>
        <w:pStyle w:val="ListBullet"/>
        <w:spacing w:after="40"/>
      </w:pPr>
      <w:r>
        <w:t>Analyst rejection or modification SHALL be retained for learning and audit.</w:t>
      </w:r>
    </w:p>
    <w:p>
      <w:pPr>
        <w:pStyle w:val="Heading2"/>
      </w:pPr>
      <w:r>
        <w:t>13.2 Analytical jobs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vAlign w:val="center"/>
            <w:tcMar>
              <w:top w:w="90" w:type="dxa"/>
              <w:start w:w="110" w:type="dxa"/>
              <w:bottom w:w="90" w:type="dxa"/>
              <w:end w:w="110" w:type="dxa"/>
            </w:tcMar>
          </w:tcPr>
          <w:p>
            <w:r>
              <w:rPr>
                <w:b/>
                <w:color w:val="FFFFFF"/>
                <w:sz w:val="17"/>
              </w:rPr>
              <w:t>Job</w:t>
            </w:r>
          </w:p>
        </w:tc>
        <w:tc>
          <w:tcPr>
            <w:tcW w:type="dxa" w:w="4896"/>
            <w:shd w:fill="1F4E79"/>
            <w:vAlign w:val="center"/>
            <w:tcMar>
              <w:top w:w="90" w:type="dxa"/>
              <w:start w:w="110" w:type="dxa"/>
              <w:bottom w:w="90" w:type="dxa"/>
              <w:end w:w="110" w:type="dxa"/>
            </w:tcMar>
          </w:tcPr>
          <w:p>
            <w:r>
              <w:rPr>
                <w:b/>
                <w:color w:val="FFFFFF"/>
                <w:sz w:val="17"/>
              </w:rPr>
              <w:t>Examples</w:t>
            </w:r>
          </w:p>
        </w:tc>
        <w:tc>
          <w:tcPr>
            <w:tcW w:type="dxa" w:w="3456"/>
            <w:shd w:fill="1F4E79"/>
            <w:vAlign w:val="center"/>
            <w:tcMar>
              <w:top w:w="90" w:type="dxa"/>
              <w:start w:w="110" w:type="dxa"/>
              <w:bottom w:w="90" w:type="dxa"/>
              <w:end w:w="110" w:type="dxa"/>
            </w:tcMar>
          </w:tcPr>
          <w:p>
            <w:r>
              <w:rPr>
                <w:b/>
                <w:color w:val="FFFFFF"/>
                <w:sz w:val="17"/>
              </w:rPr>
              <w:t>Output status</w:t>
            </w:r>
          </w:p>
        </w:tc>
      </w:tr>
      <w:tr>
        <w:tc>
          <w:tcPr>
            <w:tcW w:type="dxa" w:w="1728"/>
            <w:vAlign w:val="center"/>
            <w:tcMar>
              <w:top w:w="90" w:type="dxa"/>
              <w:start w:w="110" w:type="dxa"/>
              <w:bottom w:w="90" w:type="dxa"/>
              <w:end w:w="110" w:type="dxa"/>
            </w:tcMar>
          </w:tcPr>
          <w:p>
            <w:pPr>
              <w:spacing w:after="0"/>
            </w:pPr>
            <w:r>
              <w:rPr>
                <w:sz w:val="17"/>
              </w:rPr>
              <w:t>Rule query</w:t>
            </w:r>
          </w:p>
        </w:tc>
        <w:tc>
          <w:tcPr>
            <w:tcW w:type="dxa" w:w="4896"/>
            <w:vAlign w:val="center"/>
            <w:tcMar>
              <w:top w:w="90" w:type="dxa"/>
              <w:start w:w="110" w:type="dxa"/>
              <w:bottom w:w="90" w:type="dxa"/>
              <w:end w:w="110" w:type="dxa"/>
            </w:tcMar>
          </w:tcPr>
          <w:p>
            <w:pPr>
              <w:spacing w:after="0"/>
            </w:pPr>
            <w:r>
              <w:rPr>
                <w:sz w:val="17"/>
              </w:rPr>
              <w:t>Rapid pass-through within defined window</w:t>
            </w:r>
          </w:p>
        </w:tc>
        <w:tc>
          <w:tcPr>
            <w:tcW w:type="dxa" w:w="3456"/>
            <w:vAlign w:val="center"/>
            <w:tcMar>
              <w:top w:w="90" w:type="dxa"/>
              <w:start w:w="110" w:type="dxa"/>
              <w:bottom w:w="90" w:type="dxa"/>
              <w:end w:w="110" w:type="dxa"/>
            </w:tcMar>
          </w:tcPr>
          <w:p>
            <w:pPr>
              <w:spacing w:after="0"/>
            </w:pPr>
            <w:r>
              <w:rPr>
                <w:sz w:val="17"/>
              </w:rPr>
              <w:t>Candidate indicator</w:t>
            </w:r>
          </w:p>
        </w:tc>
      </w:tr>
      <w:tr>
        <w:tc>
          <w:tcPr>
            <w:tcW w:type="dxa" w:w="1728"/>
            <w:vAlign w:val="center"/>
            <w:tcMar>
              <w:top w:w="90" w:type="dxa"/>
              <w:start w:w="110" w:type="dxa"/>
              <w:bottom w:w="90" w:type="dxa"/>
              <w:end w:w="110" w:type="dxa"/>
            </w:tcMar>
          </w:tcPr>
          <w:p>
            <w:pPr>
              <w:spacing w:after="0"/>
            </w:pPr>
            <w:r>
              <w:rPr>
                <w:sz w:val="17"/>
              </w:rPr>
              <w:t>Graph pattern</w:t>
            </w:r>
          </w:p>
        </w:tc>
        <w:tc>
          <w:tcPr>
            <w:tcW w:type="dxa" w:w="4896"/>
            <w:vAlign w:val="center"/>
            <w:tcMar>
              <w:top w:w="90" w:type="dxa"/>
              <w:start w:w="110" w:type="dxa"/>
              <w:bottom w:w="90" w:type="dxa"/>
              <w:end w:w="110" w:type="dxa"/>
            </w:tcMar>
          </w:tcPr>
          <w:p>
            <w:pPr>
              <w:spacing w:after="0"/>
            </w:pPr>
            <w:r>
              <w:rPr>
                <w:sz w:val="17"/>
              </w:rPr>
              <w:t>Circular ownership / shared-controller cluster</w:t>
            </w:r>
          </w:p>
        </w:tc>
        <w:tc>
          <w:tcPr>
            <w:tcW w:type="dxa" w:w="3456"/>
            <w:vAlign w:val="center"/>
            <w:tcMar>
              <w:top w:w="90" w:type="dxa"/>
              <w:start w:w="110" w:type="dxa"/>
              <w:bottom w:w="90" w:type="dxa"/>
              <w:end w:w="110" w:type="dxa"/>
            </w:tcMar>
          </w:tcPr>
          <w:p>
            <w:pPr>
              <w:spacing w:after="0"/>
            </w:pPr>
            <w:r>
              <w:rPr>
                <w:sz w:val="17"/>
              </w:rPr>
              <w:t>Analytical lead</w:t>
            </w:r>
          </w:p>
        </w:tc>
      </w:tr>
      <w:tr>
        <w:tc>
          <w:tcPr>
            <w:tcW w:type="dxa" w:w="1728"/>
            <w:vAlign w:val="center"/>
            <w:tcMar>
              <w:top w:w="90" w:type="dxa"/>
              <w:start w:w="110" w:type="dxa"/>
              <w:bottom w:w="90" w:type="dxa"/>
              <w:end w:w="110" w:type="dxa"/>
            </w:tcMar>
          </w:tcPr>
          <w:p>
            <w:pPr>
              <w:spacing w:after="0"/>
            </w:pPr>
            <w:r>
              <w:rPr>
                <w:sz w:val="17"/>
              </w:rPr>
              <w:t>Statistical anomaly</w:t>
            </w:r>
          </w:p>
        </w:tc>
        <w:tc>
          <w:tcPr>
            <w:tcW w:type="dxa" w:w="4896"/>
            <w:vAlign w:val="center"/>
            <w:tcMar>
              <w:top w:w="90" w:type="dxa"/>
              <w:start w:w="110" w:type="dxa"/>
              <w:bottom w:w="90" w:type="dxa"/>
              <w:end w:w="110" w:type="dxa"/>
            </w:tcMar>
          </w:tcPr>
          <w:p>
            <w:pPr>
              <w:spacing w:after="0"/>
            </w:pPr>
            <w:r>
              <w:rPr>
                <w:sz w:val="17"/>
              </w:rPr>
              <w:t>Unusual asset growth relative to known baseline</w:t>
            </w:r>
          </w:p>
        </w:tc>
        <w:tc>
          <w:tcPr>
            <w:tcW w:type="dxa" w:w="3456"/>
            <w:vAlign w:val="center"/>
            <w:tcMar>
              <w:top w:w="90" w:type="dxa"/>
              <w:start w:w="110" w:type="dxa"/>
              <w:bottom w:w="90" w:type="dxa"/>
              <w:end w:w="110" w:type="dxa"/>
            </w:tcMar>
          </w:tcPr>
          <w:p>
            <w:pPr>
              <w:spacing w:after="0"/>
            </w:pPr>
            <w:r>
              <w:rPr>
                <w:sz w:val="17"/>
              </w:rPr>
              <w:t>Lead; not a fact</w:t>
            </w:r>
          </w:p>
        </w:tc>
      </w:tr>
      <w:tr>
        <w:tc>
          <w:tcPr>
            <w:tcW w:type="dxa" w:w="1728"/>
            <w:vAlign w:val="center"/>
            <w:tcMar>
              <w:top w:w="90" w:type="dxa"/>
              <w:start w:w="110" w:type="dxa"/>
              <w:bottom w:w="90" w:type="dxa"/>
              <w:end w:w="110" w:type="dxa"/>
            </w:tcMar>
          </w:tcPr>
          <w:p>
            <w:pPr>
              <w:spacing w:after="0"/>
            </w:pPr>
            <w:r>
              <w:rPr>
                <w:sz w:val="17"/>
              </w:rPr>
              <w:t>Document extraction</w:t>
            </w:r>
          </w:p>
        </w:tc>
        <w:tc>
          <w:tcPr>
            <w:tcW w:type="dxa" w:w="4896"/>
            <w:vAlign w:val="center"/>
            <w:tcMar>
              <w:top w:w="90" w:type="dxa"/>
              <w:start w:w="110" w:type="dxa"/>
              <w:bottom w:w="90" w:type="dxa"/>
              <w:end w:w="110" w:type="dxa"/>
            </w:tcMar>
          </w:tcPr>
          <w:p>
            <w:pPr>
              <w:spacing w:after="0"/>
            </w:pPr>
            <w:r>
              <w:rPr>
                <w:sz w:val="17"/>
              </w:rPr>
              <w:t>Named entities, amounts, dates</w:t>
            </w:r>
          </w:p>
        </w:tc>
        <w:tc>
          <w:tcPr>
            <w:tcW w:type="dxa" w:w="3456"/>
            <w:vAlign w:val="center"/>
            <w:tcMar>
              <w:top w:w="90" w:type="dxa"/>
              <w:start w:w="110" w:type="dxa"/>
              <w:bottom w:w="90" w:type="dxa"/>
              <w:end w:w="110" w:type="dxa"/>
            </w:tcMar>
          </w:tcPr>
          <w:p>
            <w:pPr>
              <w:spacing w:after="0"/>
            </w:pPr>
            <w:r>
              <w:rPr>
                <w:sz w:val="17"/>
              </w:rPr>
              <w:t>Unverified observation until checked</w:t>
            </w:r>
          </w:p>
        </w:tc>
      </w:tr>
      <w:tr>
        <w:tc>
          <w:tcPr>
            <w:tcW w:type="dxa" w:w="1728"/>
            <w:vAlign w:val="center"/>
            <w:tcMar>
              <w:top w:w="90" w:type="dxa"/>
              <w:start w:w="110" w:type="dxa"/>
              <w:bottom w:w="90" w:type="dxa"/>
              <w:end w:w="110" w:type="dxa"/>
            </w:tcMar>
          </w:tcPr>
          <w:p>
            <w:pPr>
              <w:spacing w:after="0"/>
            </w:pPr>
            <w:r>
              <w:rPr>
                <w:sz w:val="17"/>
              </w:rPr>
              <w:t>Typology suggestion</w:t>
            </w:r>
          </w:p>
        </w:tc>
        <w:tc>
          <w:tcPr>
            <w:tcW w:type="dxa" w:w="4896"/>
            <w:vAlign w:val="center"/>
            <w:tcMar>
              <w:top w:w="90" w:type="dxa"/>
              <w:start w:w="110" w:type="dxa"/>
              <w:bottom w:w="90" w:type="dxa"/>
              <w:end w:w="110" w:type="dxa"/>
            </w:tcMar>
          </w:tcPr>
          <w:p>
            <w:pPr>
              <w:spacing w:after="0"/>
            </w:pPr>
            <w:r>
              <w:rPr>
                <w:sz w:val="17"/>
              </w:rPr>
              <w:t>Pattern resembles nominee ownership</w:t>
            </w:r>
          </w:p>
        </w:tc>
        <w:tc>
          <w:tcPr>
            <w:tcW w:type="dxa" w:w="3456"/>
            <w:vAlign w:val="center"/>
            <w:tcMar>
              <w:top w:w="90" w:type="dxa"/>
              <w:start w:w="110" w:type="dxa"/>
              <w:bottom w:w="90" w:type="dxa"/>
              <w:end w:w="110" w:type="dxa"/>
            </w:tcMar>
          </w:tcPr>
          <w:p>
            <w:pPr>
              <w:spacing w:after="0"/>
            </w:pPr>
            <w:r>
              <w:rPr>
                <w:sz w:val="17"/>
              </w:rPr>
              <w:t>Suggested match requiring analyst review</w:t>
            </w:r>
          </w:p>
        </w:tc>
      </w:tr>
    </w:tbl>
    <w:p>
      <w:pPr>
        <w:spacing w:after="20"/>
      </w:pPr>
    </w:p>
    <w:p>
      <w:pPr>
        <w:pStyle w:val="Heading1"/>
      </w:pPr>
      <w:r>
        <w:t>14. Hypothesis, Assessment, and Intelligence Product Services</w:t>
      </w:r>
    </w:p>
    <w:p>
      <w:pPr>
        <w:pStyle w:val="Heading2"/>
      </w:pPr>
      <w:r>
        <w:t>14.1 Hypothesis engine</w:t>
      </w:r>
    </w:p>
    <w:p>
      <w:pPr>
        <w:pStyle w:val="ListBullet"/>
        <w:spacing w:after="40"/>
      </w:pPr>
      <w:r>
        <w:t>System SHALL support multiple competing hypotheses.</w:t>
      </w:r>
    </w:p>
    <w:p>
      <w:pPr>
        <w:pStyle w:val="ListBullet"/>
        <w:spacing w:after="40"/>
      </w:pPr>
      <w:r>
        <w:t>Evidence MAY support, contradict, or be neutral to a hypothesis.</w:t>
      </w:r>
    </w:p>
    <w:p>
      <w:pPr>
        <w:pStyle w:val="ListBullet"/>
        <w:spacing w:after="40"/>
      </w:pPr>
      <w:r>
        <w:t>Unknowns SHALL be representable as IntelligenceGap objects.</w:t>
      </w:r>
    </w:p>
    <w:p>
      <w:pPr>
        <w:pStyle w:val="ListBullet"/>
        <w:spacing w:after="40"/>
      </w:pPr>
      <w:r>
        <w:t>Hypothesis status SHALL not be derived only from a numeric score.</w:t>
      </w:r>
    </w:p>
    <w:p>
      <w:pPr>
        <w:pStyle w:val="ListBullet"/>
        <w:spacing w:after="40"/>
      </w:pPr>
      <w:r>
        <w:t>System SHOULD make disconfirming evidence visible near supporting evidence.</w:t>
      </w:r>
    </w:p>
    <w:p>
      <w:pPr>
        <w:pStyle w:val="Heading2"/>
      </w:pPr>
      <w:r>
        <w:t>14.2 Assessment service</w:t>
      </w:r>
    </w:p>
    <w:p>
      <w:pPr>
        <w:spacing w:after="100" w:line="259" w:lineRule="auto"/>
      </w:pPr>
      <w:r>
        <w:rPr>
          <w:b w:val="0"/>
          <w:i w:val="0"/>
        </w:rPr>
        <w:t>Assessment authoring SHALL provide direct access to cited evidence, confidence rationale, intelligence gaps, alternative explanations, peer-review findings, and previous versions.</w:t>
      </w:r>
    </w:p>
    <w:p>
      <w:pPr>
        <w:pStyle w:val="Heading2"/>
      </w:pPr>
      <w:r>
        <w:t>14.3 Product generation</w:t>
      </w:r>
    </w:p>
    <w:p>
      <w:pPr>
        <w:pStyle w:val="ListBullet"/>
        <w:spacing w:after="40"/>
      </w:pPr>
      <w:r>
        <w:t>Generated products SHALL be versioned and linked to the assessment snapshot used.</w:t>
      </w:r>
    </w:p>
    <w:p>
      <w:pPr>
        <w:pStyle w:val="ListBullet"/>
        <w:spacing w:after="40"/>
      </w:pPr>
      <w:r>
        <w:t>Redaction/minimisation SHALL occur before dissemination.</w:t>
      </w:r>
    </w:p>
    <w:p>
      <w:pPr>
        <w:pStyle w:val="ListBullet"/>
        <w:spacing w:after="40"/>
      </w:pPr>
      <w:r>
        <w:t>Export SHALL record recipient/audience, purpose, approver, timestamp, and product version.</w:t>
      </w:r>
    </w:p>
    <w:p>
      <w:pPr>
        <w:pStyle w:val="ListBullet"/>
        <w:spacing w:after="40"/>
      </w:pPr>
      <w:r>
        <w:t>Publication-oriented outputs SHOULD support separation between internal evidentiary notes and public text.</w:t>
      </w:r>
    </w:p>
    <w:p>
      <w:pPr>
        <w:pStyle w:val="Heading1"/>
      </w:pPr>
      <w:r>
        <w:t>15. API and Integration Architecture</w:t>
      </w:r>
    </w:p>
    <w:p>
      <w:pPr>
        <w:pStyle w:val="Heading2"/>
      </w:pPr>
      <w:r>
        <w:t>15.1 API principles</w:t>
      </w:r>
    </w:p>
    <w:p>
      <w:pPr>
        <w:pStyle w:val="ListBullet"/>
        <w:spacing w:after="40"/>
      </w:pPr>
      <w:r>
        <w:t>APIs SHALL enforce the same authorization semantics as the user interface.</w:t>
      </w:r>
    </w:p>
    <w:p>
      <w:pPr>
        <w:pStyle w:val="ListBullet"/>
        <w:spacing w:after="40"/>
      </w:pPr>
      <w:r>
        <w:t>Object APIs SHOULD be resource-oriented and versioned.</w:t>
      </w:r>
    </w:p>
    <w:p>
      <w:pPr>
        <w:pStyle w:val="ListBullet"/>
        <w:spacing w:after="40"/>
      </w:pPr>
      <w:r>
        <w:t>Write operations SHALL generate audit events.</w:t>
      </w:r>
    </w:p>
    <w:p>
      <w:pPr>
        <w:pStyle w:val="ListBullet"/>
        <w:spacing w:after="40"/>
      </w:pPr>
      <w:r>
        <w:t>Bulk endpoints SHALL require explicit permission and rate control.</w:t>
      </w:r>
    </w:p>
    <w:p>
      <w:pPr>
        <w:pStyle w:val="ListBullet"/>
        <w:spacing w:after="40"/>
      </w:pPr>
      <w:r>
        <w:t>Exports SHALL be schema-versioned.</w:t>
      </w:r>
    </w:p>
    <w:p>
      <w:pPr>
        <w:pStyle w:val="ListBullet"/>
        <w:spacing w:after="40"/>
      </w:pPr>
      <w:r>
        <w:t>API clients SHALL receive stable IDs rather than relying on display names.</w:t>
      </w:r>
    </w:p>
    <w:p>
      <w:pPr>
        <w:pStyle w:val="Heading2"/>
      </w:pPr>
      <w:r>
        <w:t>15.2 Minimum interfaces</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4E79"/>
            <w:vAlign w:val="center"/>
            <w:tcMar>
              <w:top w:w="90" w:type="dxa"/>
              <w:start w:w="110" w:type="dxa"/>
              <w:bottom w:w="90" w:type="dxa"/>
              <w:end w:w="110" w:type="dxa"/>
            </w:tcMar>
          </w:tcPr>
          <w:p>
            <w:r>
              <w:rPr>
                <w:b/>
                <w:color w:val="FFFFFF"/>
                <w:sz w:val="17"/>
              </w:rPr>
              <w:t>Interface</w:t>
            </w:r>
          </w:p>
        </w:tc>
        <w:tc>
          <w:tcPr>
            <w:tcW w:type="dxa" w:w="4608"/>
            <w:shd w:fill="1F4E79"/>
            <w:vAlign w:val="center"/>
            <w:tcMar>
              <w:top w:w="90" w:type="dxa"/>
              <w:start w:w="110" w:type="dxa"/>
              <w:bottom w:w="90" w:type="dxa"/>
              <w:end w:w="110" w:type="dxa"/>
            </w:tcMar>
          </w:tcPr>
          <w:p>
            <w:r>
              <w:rPr>
                <w:b/>
                <w:color w:val="FFFFFF"/>
                <w:sz w:val="17"/>
              </w:rPr>
              <w:t>Purpose</w:t>
            </w:r>
          </w:p>
        </w:tc>
        <w:tc>
          <w:tcPr>
            <w:tcW w:type="dxa" w:w="3600"/>
            <w:shd w:fill="1F4E79"/>
            <w:vAlign w:val="center"/>
            <w:tcMar>
              <w:top w:w="90" w:type="dxa"/>
              <w:start w:w="110" w:type="dxa"/>
              <w:bottom w:w="90" w:type="dxa"/>
              <w:end w:w="110" w:type="dxa"/>
            </w:tcMar>
          </w:tcPr>
          <w:p>
            <w:r>
              <w:rPr>
                <w:b/>
                <w:color w:val="FFFFFF"/>
                <w:sz w:val="17"/>
              </w:rPr>
              <w:t>Notes</w:t>
            </w:r>
          </w:p>
        </w:tc>
      </w:tr>
      <w:tr>
        <w:tc>
          <w:tcPr>
            <w:tcW w:type="dxa" w:w="1872"/>
            <w:vAlign w:val="center"/>
            <w:tcMar>
              <w:top w:w="90" w:type="dxa"/>
              <w:start w:w="110" w:type="dxa"/>
              <w:bottom w:w="90" w:type="dxa"/>
              <w:end w:w="110" w:type="dxa"/>
            </w:tcMar>
          </w:tcPr>
          <w:p>
            <w:pPr>
              <w:spacing w:after="0"/>
            </w:pPr>
            <w:r>
              <w:rPr>
                <w:sz w:val="17"/>
              </w:rPr>
              <w:t>Case API</w:t>
            </w:r>
          </w:p>
        </w:tc>
        <w:tc>
          <w:tcPr>
            <w:tcW w:type="dxa" w:w="4608"/>
            <w:vAlign w:val="center"/>
            <w:tcMar>
              <w:top w:w="90" w:type="dxa"/>
              <w:start w:w="110" w:type="dxa"/>
              <w:bottom w:w="90" w:type="dxa"/>
              <w:end w:w="110" w:type="dxa"/>
            </w:tcMar>
          </w:tcPr>
          <w:p>
            <w:pPr>
              <w:spacing w:after="0"/>
            </w:pPr>
            <w:r>
              <w:rPr>
                <w:sz w:val="17"/>
              </w:rPr>
              <w:t>Create/read/update workflow metadata</w:t>
            </w:r>
          </w:p>
        </w:tc>
        <w:tc>
          <w:tcPr>
            <w:tcW w:type="dxa" w:w="3600"/>
            <w:vAlign w:val="center"/>
            <w:tcMar>
              <w:top w:w="90" w:type="dxa"/>
              <w:start w:w="110" w:type="dxa"/>
              <w:bottom w:w="90" w:type="dxa"/>
              <w:end w:w="110" w:type="dxa"/>
            </w:tcMar>
          </w:tcPr>
          <w:p>
            <w:pPr>
              <w:spacing w:after="0"/>
            </w:pPr>
            <w:r>
              <w:rPr>
                <w:sz w:val="17"/>
              </w:rPr>
              <w:t>Gate transitions separately privileged</w:t>
            </w:r>
          </w:p>
        </w:tc>
      </w:tr>
      <w:tr>
        <w:tc>
          <w:tcPr>
            <w:tcW w:type="dxa" w:w="1872"/>
            <w:vAlign w:val="center"/>
            <w:tcMar>
              <w:top w:w="90" w:type="dxa"/>
              <w:start w:w="110" w:type="dxa"/>
              <w:bottom w:w="90" w:type="dxa"/>
              <w:end w:w="110" w:type="dxa"/>
            </w:tcMar>
          </w:tcPr>
          <w:p>
            <w:pPr>
              <w:spacing w:after="0"/>
            </w:pPr>
            <w:r>
              <w:rPr>
                <w:sz w:val="17"/>
              </w:rPr>
              <w:t>Evidence API</w:t>
            </w:r>
          </w:p>
        </w:tc>
        <w:tc>
          <w:tcPr>
            <w:tcW w:type="dxa" w:w="4608"/>
            <w:vAlign w:val="center"/>
            <w:tcMar>
              <w:top w:w="90" w:type="dxa"/>
              <w:start w:w="110" w:type="dxa"/>
              <w:bottom w:w="90" w:type="dxa"/>
              <w:end w:w="110" w:type="dxa"/>
            </w:tcMar>
          </w:tcPr>
          <w:p>
            <w:pPr>
              <w:spacing w:after="0"/>
            </w:pPr>
            <w:r>
              <w:rPr>
                <w:sz w:val="17"/>
              </w:rPr>
              <w:t>Register metadata and retrieve authorized evidence</w:t>
            </w:r>
          </w:p>
        </w:tc>
        <w:tc>
          <w:tcPr>
            <w:tcW w:type="dxa" w:w="3600"/>
            <w:vAlign w:val="center"/>
            <w:tcMar>
              <w:top w:w="90" w:type="dxa"/>
              <w:start w:w="110" w:type="dxa"/>
              <w:bottom w:w="90" w:type="dxa"/>
              <w:end w:w="110" w:type="dxa"/>
            </w:tcMar>
          </w:tcPr>
          <w:p>
            <w:pPr>
              <w:spacing w:after="0"/>
            </w:pPr>
            <w:r>
              <w:rPr>
                <w:sz w:val="17"/>
              </w:rPr>
              <w:t>Original content may use signed/short-lived retrieval</w:t>
            </w:r>
          </w:p>
        </w:tc>
      </w:tr>
      <w:tr>
        <w:tc>
          <w:tcPr>
            <w:tcW w:type="dxa" w:w="1872"/>
            <w:vAlign w:val="center"/>
            <w:tcMar>
              <w:top w:w="90" w:type="dxa"/>
              <w:start w:w="110" w:type="dxa"/>
              <w:bottom w:w="90" w:type="dxa"/>
              <w:end w:w="110" w:type="dxa"/>
            </w:tcMar>
          </w:tcPr>
          <w:p>
            <w:pPr>
              <w:spacing w:after="0"/>
            </w:pPr>
            <w:r>
              <w:rPr>
                <w:sz w:val="17"/>
              </w:rPr>
              <w:t>Entity API</w:t>
            </w:r>
          </w:p>
        </w:tc>
        <w:tc>
          <w:tcPr>
            <w:tcW w:type="dxa" w:w="4608"/>
            <w:vAlign w:val="center"/>
            <w:tcMar>
              <w:top w:w="90" w:type="dxa"/>
              <w:start w:w="110" w:type="dxa"/>
              <w:bottom w:w="90" w:type="dxa"/>
              <w:end w:w="110" w:type="dxa"/>
            </w:tcMar>
          </w:tcPr>
          <w:p>
            <w:pPr>
              <w:spacing w:after="0"/>
            </w:pPr>
            <w:r>
              <w:rPr>
                <w:sz w:val="17"/>
              </w:rPr>
              <w:t>Entity CRUD and external IDs</w:t>
            </w:r>
          </w:p>
        </w:tc>
        <w:tc>
          <w:tcPr>
            <w:tcW w:type="dxa" w:w="3600"/>
            <w:vAlign w:val="center"/>
            <w:tcMar>
              <w:top w:w="90" w:type="dxa"/>
              <w:start w:w="110" w:type="dxa"/>
              <w:bottom w:w="90" w:type="dxa"/>
              <w:end w:w="110" w:type="dxa"/>
            </w:tcMar>
          </w:tcPr>
          <w:p>
            <w:pPr>
              <w:spacing w:after="0"/>
            </w:pPr>
            <w:r>
              <w:rPr>
                <w:sz w:val="17"/>
              </w:rPr>
              <w:t>Merge/split via dedicated decision endpoint</w:t>
            </w:r>
          </w:p>
        </w:tc>
      </w:tr>
      <w:tr>
        <w:tc>
          <w:tcPr>
            <w:tcW w:type="dxa" w:w="1872"/>
            <w:vAlign w:val="center"/>
            <w:tcMar>
              <w:top w:w="90" w:type="dxa"/>
              <w:start w:w="110" w:type="dxa"/>
              <w:bottom w:w="90" w:type="dxa"/>
              <w:end w:w="110" w:type="dxa"/>
            </w:tcMar>
          </w:tcPr>
          <w:p>
            <w:pPr>
              <w:spacing w:after="0"/>
            </w:pPr>
            <w:r>
              <w:rPr>
                <w:sz w:val="17"/>
              </w:rPr>
              <w:t>Relationship API</w:t>
            </w:r>
          </w:p>
        </w:tc>
        <w:tc>
          <w:tcPr>
            <w:tcW w:type="dxa" w:w="4608"/>
            <w:vAlign w:val="center"/>
            <w:tcMar>
              <w:top w:w="90" w:type="dxa"/>
              <w:start w:w="110" w:type="dxa"/>
              <w:bottom w:w="90" w:type="dxa"/>
              <w:end w:w="110" w:type="dxa"/>
            </w:tcMar>
          </w:tcPr>
          <w:p>
            <w:pPr>
              <w:spacing w:after="0"/>
            </w:pPr>
            <w:r>
              <w:rPr>
                <w:sz w:val="17"/>
              </w:rPr>
              <w:t>Create/version relationships</w:t>
            </w:r>
          </w:p>
        </w:tc>
        <w:tc>
          <w:tcPr>
            <w:tcW w:type="dxa" w:w="3600"/>
            <w:vAlign w:val="center"/>
            <w:tcMar>
              <w:top w:w="90" w:type="dxa"/>
              <w:start w:w="110" w:type="dxa"/>
              <w:bottom w:w="90" w:type="dxa"/>
              <w:end w:w="110" w:type="dxa"/>
            </w:tcMar>
          </w:tcPr>
          <w:p>
            <w:pPr>
              <w:spacing w:after="0"/>
            </w:pPr>
            <w:r>
              <w:rPr>
                <w:sz w:val="17"/>
              </w:rPr>
              <w:t>Provenance required</w:t>
            </w:r>
          </w:p>
        </w:tc>
      </w:tr>
      <w:tr>
        <w:tc>
          <w:tcPr>
            <w:tcW w:type="dxa" w:w="1872"/>
            <w:vAlign w:val="center"/>
            <w:tcMar>
              <w:top w:w="90" w:type="dxa"/>
              <w:start w:w="110" w:type="dxa"/>
              <w:bottom w:w="90" w:type="dxa"/>
              <w:end w:w="110" w:type="dxa"/>
            </w:tcMar>
          </w:tcPr>
          <w:p>
            <w:pPr>
              <w:spacing w:after="0"/>
            </w:pPr>
            <w:r>
              <w:rPr>
                <w:sz w:val="17"/>
              </w:rPr>
              <w:t>Graph Query API</w:t>
            </w:r>
          </w:p>
        </w:tc>
        <w:tc>
          <w:tcPr>
            <w:tcW w:type="dxa" w:w="4608"/>
            <w:vAlign w:val="center"/>
            <w:tcMar>
              <w:top w:w="90" w:type="dxa"/>
              <w:start w:w="110" w:type="dxa"/>
              <w:bottom w:w="90" w:type="dxa"/>
              <w:end w:w="110" w:type="dxa"/>
            </w:tcMar>
          </w:tcPr>
          <w:p>
            <w:pPr>
              <w:spacing w:after="0"/>
            </w:pPr>
            <w:r>
              <w:rPr>
                <w:sz w:val="17"/>
              </w:rPr>
              <w:t>Bounded graph traversal</w:t>
            </w:r>
          </w:p>
        </w:tc>
        <w:tc>
          <w:tcPr>
            <w:tcW w:type="dxa" w:w="3600"/>
            <w:vAlign w:val="center"/>
            <w:tcMar>
              <w:top w:w="90" w:type="dxa"/>
              <w:start w:w="110" w:type="dxa"/>
              <w:bottom w:w="90" w:type="dxa"/>
              <w:end w:w="110" w:type="dxa"/>
            </w:tcMar>
          </w:tcPr>
          <w:p>
            <w:pPr>
              <w:spacing w:after="0"/>
            </w:pPr>
            <w:r>
              <w:rPr>
                <w:sz w:val="17"/>
              </w:rPr>
              <w:t>Read-only analytical service preferred</w:t>
            </w:r>
          </w:p>
        </w:tc>
      </w:tr>
      <w:tr>
        <w:tc>
          <w:tcPr>
            <w:tcW w:type="dxa" w:w="1872"/>
            <w:vAlign w:val="center"/>
            <w:tcMar>
              <w:top w:w="90" w:type="dxa"/>
              <w:start w:w="110" w:type="dxa"/>
              <w:bottom w:w="90" w:type="dxa"/>
              <w:end w:w="110" w:type="dxa"/>
            </w:tcMar>
          </w:tcPr>
          <w:p>
            <w:pPr>
              <w:spacing w:after="0"/>
            </w:pPr>
            <w:r>
              <w:rPr>
                <w:sz w:val="17"/>
              </w:rPr>
              <w:t>Search API</w:t>
            </w:r>
          </w:p>
        </w:tc>
        <w:tc>
          <w:tcPr>
            <w:tcW w:type="dxa" w:w="4608"/>
            <w:vAlign w:val="center"/>
            <w:tcMar>
              <w:top w:w="90" w:type="dxa"/>
              <w:start w:w="110" w:type="dxa"/>
              <w:bottom w:w="90" w:type="dxa"/>
              <w:end w:w="110" w:type="dxa"/>
            </w:tcMar>
          </w:tcPr>
          <w:p>
            <w:pPr>
              <w:spacing w:after="0"/>
            </w:pPr>
            <w:r>
              <w:rPr>
                <w:sz w:val="17"/>
              </w:rPr>
              <w:t>Authorized search</w:t>
            </w:r>
          </w:p>
        </w:tc>
        <w:tc>
          <w:tcPr>
            <w:tcW w:type="dxa" w:w="3600"/>
            <w:vAlign w:val="center"/>
            <w:tcMar>
              <w:top w:w="90" w:type="dxa"/>
              <w:start w:w="110" w:type="dxa"/>
              <w:bottom w:w="90" w:type="dxa"/>
              <w:end w:w="110" w:type="dxa"/>
            </w:tcMar>
          </w:tcPr>
          <w:p>
            <w:pPr>
              <w:spacing w:after="0"/>
            </w:pPr>
            <w:r>
              <w:rPr>
                <w:sz w:val="17"/>
              </w:rPr>
              <w:t>Security trimming mandatory</w:t>
            </w:r>
          </w:p>
        </w:tc>
      </w:tr>
      <w:tr>
        <w:tc>
          <w:tcPr>
            <w:tcW w:type="dxa" w:w="1872"/>
            <w:vAlign w:val="center"/>
            <w:tcMar>
              <w:top w:w="90" w:type="dxa"/>
              <w:start w:w="110" w:type="dxa"/>
              <w:bottom w:w="90" w:type="dxa"/>
              <w:end w:w="110" w:type="dxa"/>
            </w:tcMar>
          </w:tcPr>
          <w:p>
            <w:pPr>
              <w:spacing w:after="0"/>
            </w:pPr>
            <w:r>
              <w:rPr>
                <w:sz w:val="17"/>
              </w:rPr>
              <w:t>Product API</w:t>
            </w:r>
          </w:p>
        </w:tc>
        <w:tc>
          <w:tcPr>
            <w:tcW w:type="dxa" w:w="4608"/>
            <w:vAlign w:val="center"/>
            <w:tcMar>
              <w:top w:w="90" w:type="dxa"/>
              <w:start w:w="110" w:type="dxa"/>
              <w:bottom w:w="90" w:type="dxa"/>
              <w:end w:w="110" w:type="dxa"/>
            </w:tcMar>
          </w:tcPr>
          <w:p>
            <w:pPr>
              <w:spacing w:after="0"/>
            </w:pPr>
            <w:r>
              <w:rPr>
                <w:sz w:val="17"/>
              </w:rPr>
              <w:t>Generate/approve/export product</w:t>
            </w:r>
          </w:p>
        </w:tc>
        <w:tc>
          <w:tcPr>
            <w:tcW w:type="dxa" w:w="3600"/>
            <w:vAlign w:val="center"/>
            <w:tcMar>
              <w:top w:w="90" w:type="dxa"/>
              <w:start w:w="110" w:type="dxa"/>
              <w:bottom w:w="90" w:type="dxa"/>
              <w:end w:w="110" w:type="dxa"/>
            </w:tcMar>
          </w:tcPr>
          <w:p>
            <w:pPr>
              <w:spacing w:after="0"/>
            </w:pPr>
            <w:r>
              <w:rPr>
                <w:sz w:val="17"/>
              </w:rPr>
              <w:t>Approval and export audit</w:t>
            </w:r>
          </w:p>
        </w:tc>
      </w:tr>
      <w:tr>
        <w:tc>
          <w:tcPr>
            <w:tcW w:type="dxa" w:w="1872"/>
            <w:vAlign w:val="center"/>
            <w:tcMar>
              <w:top w:w="90" w:type="dxa"/>
              <w:start w:w="110" w:type="dxa"/>
              <w:bottom w:w="90" w:type="dxa"/>
              <w:end w:w="110" w:type="dxa"/>
            </w:tcMar>
          </w:tcPr>
          <w:p>
            <w:pPr>
              <w:spacing w:after="0"/>
            </w:pPr>
            <w:r>
              <w:rPr>
                <w:sz w:val="17"/>
              </w:rPr>
              <w:t>Admin API</w:t>
            </w:r>
          </w:p>
        </w:tc>
        <w:tc>
          <w:tcPr>
            <w:tcW w:type="dxa" w:w="4608"/>
            <w:vAlign w:val="center"/>
            <w:tcMar>
              <w:top w:w="90" w:type="dxa"/>
              <w:start w:w="110" w:type="dxa"/>
              <w:bottom w:w="90" w:type="dxa"/>
              <w:end w:w="110" w:type="dxa"/>
            </w:tcMar>
          </w:tcPr>
          <w:p>
            <w:pPr>
              <w:spacing w:after="0"/>
            </w:pPr>
            <w:r>
              <w:rPr>
                <w:sz w:val="17"/>
              </w:rPr>
              <w:t>Configuration and policy</w:t>
            </w:r>
          </w:p>
        </w:tc>
        <w:tc>
          <w:tcPr>
            <w:tcW w:type="dxa" w:w="3600"/>
            <w:vAlign w:val="center"/>
            <w:tcMar>
              <w:top w:w="90" w:type="dxa"/>
              <w:start w:w="110" w:type="dxa"/>
              <w:bottom w:w="90" w:type="dxa"/>
              <w:end w:w="110" w:type="dxa"/>
            </w:tcMar>
          </w:tcPr>
          <w:p>
            <w:pPr>
              <w:spacing w:after="0"/>
            </w:pPr>
            <w:r>
              <w:rPr>
                <w:sz w:val="17"/>
              </w:rPr>
              <w:t>Separate administrative privilege</w:t>
            </w:r>
          </w:p>
        </w:tc>
      </w:tr>
    </w:tbl>
    <w:p>
      <w:pPr>
        <w:spacing w:after="20"/>
      </w:pPr>
    </w:p>
    <w:p>
      <w:pPr>
        <w:pStyle w:val="Heading2"/>
      </w:pPr>
      <w:r>
        <w:t>15.3 Import and connector model</w:t>
      </w:r>
    </w:p>
    <w:p>
      <w:pPr>
        <w:spacing w:after="100" w:line="259" w:lineRule="auto"/>
      </w:pPr>
      <w:r>
        <w:rPr>
          <w:b w:val="0"/>
          <w:i w:val="0"/>
        </w:rPr>
        <w:t>Connectors SHOULD land imported content in a staging/acquisition zone. Imported data SHALL be registered, classified, and mapped before becoming canonical. A connector failure SHALL NOT create partially trusted canonical objects without provenance.</w:t>
      </w:r>
    </w:p>
    <w:p>
      <w:pPr>
        <w:pStyle w:val="Heading1"/>
      </w:pPr>
      <w:r>
        <w:t>16. Identity, Authentication, and Authorization</w:t>
      </w:r>
    </w:p>
    <w:p>
      <w:pPr>
        <w:spacing w:after="100" w:line="259" w:lineRule="auto"/>
      </w:pPr>
      <w:r>
        <w:rPr>
          <w:b w:val="0"/>
          <w:i w:val="0"/>
        </w:rPr>
        <w:t>The architecture SHOULD apply zero-trust principles: no implicit trust based solely on network location, organisational ownership, or prior session context. Authentication and authorization SHALL be evaluated for access to protected resources.</w:t>
      </w:r>
    </w:p>
    <w:p>
      <w:pPr>
        <w:pStyle w:val="Heading2"/>
      </w:pPr>
      <w:r>
        <w:t>16.1 Authentication</w:t>
      </w:r>
    </w:p>
    <w:p>
      <w:pPr>
        <w:pStyle w:val="ListBullet"/>
        <w:spacing w:after="40"/>
      </w:pPr>
      <w:r>
        <w:t>MFA SHALL be supported for privileged and sensitive deployments.</w:t>
      </w:r>
    </w:p>
    <w:p>
      <w:pPr>
        <w:pStyle w:val="ListBullet"/>
        <w:spacing w:after="40"/>
      </w:pPr>
      <w:r>
        <w:t>Phishing-resistant MFA SHOULD be used for administrators and high-impact approvers where feasible.</w:t>
      </w:r>
    </w:p>
    <w:p>
      <w:pPr>
        <w:pStyle w:val="ListBullet"/>
        <w:spacing w:after="40"/>
      </w:pPr>
      <w:r>
        <w:t>Service identities SHALL be distinct from human identities.</w:t>
      </w:r>
    </w:p>
    <w:p>
      <w:pPr>
        <w:pStyle w:val="ListBullet"/>
        <w:spacing w:after="40"/>
      </w:pPr>
      <w:r>
        <w:t>Shared analyst accounts SHALL NOT be used.</w:t>
      </w:r>
    </w:p>
    <w:p>
      <w:pPr>
        <w:pStyle w:val="ListBullet"/>
        <w:spacing w:after="40"/>
      </w:pPr>
      <w:r>
        <w:t>Recovery processes SHALL be documented and auditable.</w:t>
      </w:r>
    </w:p>
    <w:p>
      <w:pPr>
        <w:pStyle w:val="Heading2"/>
      </w:pPr>
      <w:r>
        <w:t>16.2 Authorization model</w:t>
      </w:r>
    </w:p>
    <w:p>
      <w:pPr>
        <w:pStyle w:val="CodeBlock"/>
        <w:shd w:fill="F7F8FA"/>
      </w:pPr>
      <w:r>
        <w:t>ALLOW = Role Permission</w:t>
        <w:br/>
        <w:t xml:space="preserve">        AND Case Membership / Purpose</w:t>
        <w:br/>
        <w:t xml:space="preserve">        AND Object Classification</w:t>
        <w:br/>
        <w:t xml:space="preserve">        AND Action Sensitivity</w:t>
        <w:br/>
        <w:t xml:space="preserve">        AND Context Policy</w:t>
        <w:br/>
        <w:t xml:space="preserve">        AND No explicit deny</w:t>
      </w:r>
    </w:p>
    <w:p>
      <w:pPr>
        <w:pStyle w:val="Heading2"/>
      </w:pPr>
      <w:r>
        <w:t>16.3 Authorization dimensions</w:t>
      </w:r>
    </w:p>
    <w:tbl>
      <w:tblPr>
        <w:tblStyle w:val="TableGrid"/>
        <w:tblW w:type="auto" w:w="0"/>
        <w:jc w:val="center"/>
        <w:tblLook w:firstColumn="1" w:firstRow="1" w:lastColumn="0" w:lastRow="0" w:noHBand="0" w:noVBand="1" w:val="04A0"/>
      </w:tblPr>
      <w:tblGrid>
        <w:gridCol w:w="5040"/>
        <w:gridCol w:w="5040"/>
      </w:tblGrid>
      <w:tr>
        <w:tc>
          <w:tcPr>
            <w:tcW w:type="dxa" w:w="2448"/>
            <w:shd w:fill="1F4E79"/>
            <w:vAlign w:val="center"/>
            <w:tcMar>
              <w:top w:w="90" w:type="dxa"/>
              <w:start w:w="110" w:type="dxa"/>
              <w:bottom w:w="90" w:type="dxa"/>
              <w:end w:w="110" w:type="dxa"/>
            </w:tcMar>
          </w:tcPr>
          <w:p>
            <w:r>
              <w:rPr>
                <w:b/>
                <w:color w:val="FFFFFF"/>
                <w:sz w:val="17"/>
              </w:rPr>
              <w:t>Dimension</w:t>
            </w:r>
          </w:p>
        </w:tc>
        <w:tc>
          <w:tcPr>
            <w:tcW w:type="dxa" w:w="7632"/>
            <w:shd w:fill="1F4E79"/>
            <w:vAlign w:val="center"/>
            <w:tcMar>
              <w:top w:w="90" w:type="dxa"/>
              <w:start w:w="110" w:type="dxa"/>
              <w:bottom w:w="90" w:type="dxa"/>
              <w:end w:w="110" w:type="dxa"/>
            </w:tcMar>
          </w:tcPr>
          <w:p>
            <w:r>
              <w:rPr>
                <w:b/>
                <w:color w:val="FFFFFF"/>
                <w:sz w:val="17"/>
              </w:rPr>
              <w:t>Examples</w:t>
            </w:r>
          </w:p>
        </w:tc>
      </w:tr>
      <w:tr>
        <w:tc>
          <w:tcPr>
            <w:tcW w:type="dxa" w:w="2448"/>
            <w:vAlign w:val="center"/>
            <w:tcMar>
              <w:top w:w="90" w:type="dxa"/>
              <w:start w:w="110" w:type="dxa"/>
              <w:bottom w:w="90" w:type="dxa"/>
              <w:end w:w="110" w:type="dxa"/>
            </w:tcMar>
          </w:tcPr>
          <w:p>
            <w:pPr>
              <w:spacing w:after="0"/>
            </w:pPr>
            <w:r>
              <w:rPr>
                <w:sz w:val="17"/>
              </w:rPr>
              <w:t>Role</w:t>
            </w:r>
          </w:p>
        </w:tc>
        <w:tc>
          <w:tcPr>
            <w:tcW w:type="dxa" w:w="7632"/>
            <w:vAlign w:val="center"/>
            <w:tcMar>
              <w:top w:w="90" w:type="dxa"/>
              <w:start w:w="110" w:type="dxa"/>
              <w:bottom w:w="90" w:type="dxa"/>
              <w:end w:w="110" w:type="dxa"/>
            </w:tcMar>
          </w:tcPr>
          <w:p>
            <w:pPr>
              <w:spacing w:after="0"/>
            </w:pPr>
            <w:r>
              <w:rPr>
                <w:sz w:val="17"/>
              </w:rPr>
              <w:t>Analyst, Reviewer, Approver, Admin, Auditor</w:t>
            </w:r>
          </w:p>
        </w:tc>
      </w:tr>
      <w:tr>
        <w:tc>
          <w:tcPr>
            <w:tcW w:type="dxa" w:w="2448"/>
            <w:vAlign w:val="center"/>
            <w:tcMar>
              <w:top w:w="90" w:type="dxa"/>
              <w:start w:w="110" w:type="dxa"/>
              <w:bottom w:w="90" w:type="dxa"/>
              <w:end w:w="110" w:type="dxa"/>
            </w:tcMar>
          </w:tcPr>
          <w:p>
            <w:pPr>
              <w:spacing w:after="0"/>
            </w:pPr>
            <w:r>
              <w:rPr>
                <w:sz w:val="17"/>
              </w:rPr>
              <w:t>Case scope</w:t>
            </w:r>
          </w:p>
        </w:tc>
        <w:tc>
          <w:tcPr>
            <w:tcW w:type="dxa" w:w="7632"/>
            <w:vAlign w:val="center"/>
            <w:tcMar>
              <w:top w:w="90" w:type="dxa"/>
              <w:start w:w="110" w:type="dxa"/>
              <w:bottom w:w="90" w:type="dxa"/>
              <w:end w:w="110" w:type="dxa"/>
            </w:tcMar>
          </w:tcPr>
          <w:p>
            <w:pPr>
              <w:spacing w:after="0"/>
            </w:pPr>
            <w:r>
              <w:rPr>
                <w:sz w:val="17"/>
              </w:rPr>
              <w:t>Member of Case A but not Case B</w:t>
            </w:r>
          </w:p>
        </w:tc>
      </w:tr>
      <w:tr>
        <w:tc>
          <w:tcPr>
            <w:tcW w:type="dxa" w:w="2448"/>
            <w:vAlign w:val="center"/>
            <w:tcMar>
              <w:top w:w="90" w:type="dxa"/>
              <w:start w:w="110" w:type="dxa"/>
              <w:bottom w:w="90" w:type="dxa"/>
              <w:end w:w="110" w:type="dxa"/>
            </w:tcMar>
          </w:tcPr>
          <w:p>
            <w:pPr>
              <w:spacing w:after="0"/>
            </w:pPr>
            <w:r>
              <w:rPr>
                <w:sz w:val="17"/>
              </w:rPr>
              <w:t>Object class</w:t>
            </w:r>
          </w:p>
        </w:tc>
        <w:tc>
          <w:tcPr>
            <w:tcW w:type="dxa" w:w="7632"/>
            <w:vAlign w:val="center"/>
            <w:tcMar>
              <w:top w:w="90" w:type="dxa"/>
              <w:start w:w="110" w:type="dxa"/>
              <w:bottom w:w="90" w:type="dxa"/>
              <w:end w:w="110" w:type="dxa"/>
            </w:tcMar>
          </w:tcPr>
          <w:p>
            <w:pPr>
              <w:spacing w:after="0"/>
            </w:pPr>
            <w:r>
              <w:rPr>
                <w:sz w:val="17"/>
              </w:rPr>
              <w:t>Source identity, raw evidence, public source, assessment</w:t>
            </w:r>
          </w:p>
        </w:tc>
      </w:tr>
      <w:tr>
        <w:tc>
          <w:tcPr>
            <w:tcW w:type="dxa" w:w="2448"/>
            <w:vAlign w:val="center"/>
            <w:tcMar>
              <w:top w:w="90" w:type="dxa"/>
              <w:start w:w="110" w:type="dxa"/>
              <w:bottom w:w="90" w:type="dxa"/>
              <w:end w:w="110" w:type="dxa"/>
            </w:tcMar>
          </w:tcPr>
          <w:p>
            <w:pPr>
              <w:spacing w:after="0"/>
            </w:pPr>
            <w:r>
              <w:rPr>
                <w:sz w:val="17"/>
              </w:rPr>
              <w:t>Sensitivity</w:t>
            </w:r>
          </w:p>
        </w:tc>
        <w:tc>
          <w:tcPr>
            <w:tcW w:type="dxa" w:w="7632"/>
            <w:vAlign w:val="center"/>
            <w:tcMar>
              <w:top w:w="90" w:type="dxa"/>
              <w:start w:w="110" w:type="dxa"/>
              <w:bottom w:w="90" w:type="dxa"/>
              <w:end w:w="110" w:type="dxa"/>
            </w:tcMar>
          </w:tcPr>
          <w:p>
            <w:pPr>
              <w:spacing w:after="0"/>
            </w:pPr>
            <w:r>
              <w:rPr>
                <w:sz w:val="17"/>
              </w:rPr>
              <w:t>Internal, Sensitive, Restricted, Source-Protected</w:t>
            </w:r>
          </w:p>
        </w:tc>
      </w:tr>
      <w:tr>
        <w:tc>
          <w:tcPr>
            <w:tcW w:type="dxa" w:w="2448"/>
            <w:vAlign w:val="center"/>
            <w:tcMar>
              <w:top w:w="90" w:type="dxa"/>
              <w:start w:w="110" w:type="dxa"/>
              <w:bottom w:w="90" w:type="dxa"/>
              <w:end w:w="110" w:type="dxa"/>
            </w:tcMar>
          </w:tcPr>
          <w:p>
            <w:pPr>
              <w:spacing w:after="0"/>
            </w:pPr>
            <w:r>
              <w:rPr>
                <w:sz w:val="17"/>
              </w:rPr>
              <w:t>Action</w:t>
            </w:r>
          </w:p>
        </w:tc>
        <w:tc>
          <w:tcPr>
            <w:tcW w:type="dxa" w:w="7632"/>
            <w:vAlign w:val="center"/>
            <w:tcMar>
              <w:top w:w="90" w:type="dxa"/>
              <w:start w:w="110" w:type="dxa"/>
              <w:bottom w:w="90" w:type="dxa"/>
              <w:end w:w="110" w:type="dxa"/>
            </w:tcMar>
          </w:tcPr>
          <w:p>
            <w:pPr>
              <w:spacing w:after="0"/>
            </w:pPr>
            <w:r>
              <w:rPr>
                <w:sz w:val="17"/>
              </w:rPr>
              <w:t>View, annotate, link, merge, export, approve, administer</w:t>
            </w:r>
          </w:p>
        </w:tc>
      </w:tr>
      <w:tr>
        <w:tc>
          <w:tcPr>
            <w:tcW w:type="dxa" w:w="2448"/>
            <w:vAlign w:val="center"/>
            <w:tcMar>
              <w:top w:w="90" w:type="dxa"/>
              <w:start w:w="110" w:type="dxa"/>
              <w:bottom w:w="90" w:type="dxa"/>
              <w:end w:w="110" w:type="dxa"/>
            </w:tcMar>
          </w:tcPr>
          <w:p>
            <w:pPr>
              <w:spacing w:after="0"/>
            </w:pPr>
            <w:r>
              <w:rPr>
                <w:sz w:val="17"/>
              </w:rPr>
              <w:t>Purpose/context</w:t>
            </w:r>
          </w:p>
        </w:tc>
        <w:tc>
          <w:tcPr>
            <w:tcW w:type="dxa" w:w="7632"/>
            <w:vAlign w:val="center"/>
            <w:tcMar>
              <w:top w:w="90" w:type="dxa"/>
              <w:start w:w="110" w:type="dxa"/>
              <w:bottom w:w="90" w:type="dxa"/>
              <w:end w:w="110" w:type="dxa"/>
            </w:tcMar>
          </w:tcPr>
          <w:p>
            <w:pPr>
              <w:spacing w:after="0"/>
            </w:pPr>
            <w:r>
              <w:rPr>
                <w:sz w:val="17"/>
              </w:rPr>
              <w:t>Active case purpose, break-glass emergency, legal hold</w:t>
            </w:r>
          </w:p>
        </w:tc>
      </w:tr>
    </w:tbl>
    <w:p>
      <w:pPr>
        <w:spacing w:after="20"/>
      </w:pPr>
    </w:p>
    <w:p>
      <w:pPr>
        <w:pStyle w:val="Heading2"/>
      </w:pPr>
      <w:r>
        <w:t>16.4 Break-glass access</w:t>
      </w:r>
    </w:p>
    <w:p>
      <w:pPr>
        <w:spacing w:after="100" w:line="259" w:lineRule="auto"/>
      </w:pPr>
      <w:r>
        <w:rPr>
          <w:b w:val="0"/>
          <w:i w:val="0"/>
        </w:rPr>
        <w:t>Emergency access MAY exist but SHALL require explicit reason, stronger authentication where feasible, short duration, enhanced logging, and post-event review.</w:t>
      </w:r>
    </w:p>
    <w:p>
      <w:pPr>
        <w:pStyle w:val="Heading1"/>
      </w:pPr>
      <w:r>
        <w:t>17. Privacy and Data-Protection Architecture</w:t>
      </w:r>
    </w:p>
    <w:p>
      <w:pPr>
        <w:pStyle w:val="ListBullet"/>
        <w:spacing w:after="40"/>
      </w:pPr>
      <w:r>
        <w:t>Privacy metadata SHALL travel with objects or fields where required.</w:t>
      </w:r>
    </w:p>
    <w:p>
      <w:pPr>
        <w:pStyle w:val="ListBullet"/>
        <w:spacing w:after="40"/>
      </w:pPr>
      <w:r>
        <w:t>System SHALL support data minimisation at collection, display, export, and retention stages.</w:t>
      </w:r>
    </w:p>
    <w:p>
      <w:pPr>
        <w:pStyle w:val="ListBullet"/>
        <w:spacing w:after="40"/>
      </w:pPr>
      <w:r>
        <w:t>Sensitive personal data SHOULD be masked from users who do not need it.</w:t>
      </w:r>
    </w:p>
    <w:p>
      <w:pPr>
        <w:pStyle w:val="ListBullet"/>
        <w:spacing w:after="40"/>
      </w:pPr>
      <w:r>
        <w:t>Protected-source identity SHOULD be isolated from ordinary analytical identifiers.</w:t>
      </w:r>
    </w:p>
    <w:p>
      <w:pPr>
        <w:pStyle w:val="ListBullet"/>
        <w:spacing w:after="40"/>
      </w:pPr>
      <w:r>
        <w:t>Retention rules SHALL support legal hold and approved exceptions.</w:t>
      </w:r>
    </w:p>
    <w:p>
      <w:pPr>
        <w:pStyle w:val="ListBullet"/>
        <w:spacing w:after="40"/>
      </w:pPr>
      <w:r>
        <w:t>Deletion/anonymisation SHALL preserve audit evidence necessary to explain that a controlled disposal occurred.</w:t>
      </w:r>
    </w:p>
    <w:p>
      <w:pPr>
        <w:pStyle w:val="Heading2"/>
      </w:pPr>
      <w:r>
        <w:t>17.1 Suggested classification model</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vAlign w:val="center"/>
            <w:tcMar>
              <w:top w:w="90" w:type="dxa"/>
              <w:start w:w="110" w:type="dxa"/>
              <w:bottom w:w="90" w:type="dxa"/>
              <w:end w:w="110" w:type="dxa"/>
            </w:tcMar>
          </w:tcPr>
          <w:p>
            <w:r>
              <w:rPr>
                <w:b/>
                <w:color w:val="FFFFFF"/>
                <w:sz w:val="17"/>
              </w:rPr>
              <w:t>Class</w:t>
            </w:r>
          </w:p>
        </w:tc>
        <w:tc>
          <w:tcPr>
            <w:tcW w:type="dxa" w:w="4896"/>
            <w:shd w:fill="1F4E79"/>
            <w:vAlign w:val="center"/>
            <w:tcMar>
              <w:top w:w="90" w:type="dxa"/>
              <w:start w:w="110" w:type="dxa"/>
              <w:bottom w:w="90" w:type="dxa"/>
              <w:end w:w="110" w:type="dxa"/>
            </w:tcMar>
          </w:tcPr>
          <w:p>
            <w:r>
              <w:rPr>
                <w:b/>
                <w:color w:val="FFFFFF"/>
                <w:sz w:val="17"/>
              </w:rPr>
              <w:t>Example</w:t>
            </w:r>
          </w:p>
        </w:tc>
        <w:tc>
          <w:tcPr>
            <w:tcW w:type="dxa" w:w="3456"/>
            <w:shd w:fill="1F4E79"/>
            <w:vAlign w:val="center"/>
            <w:tcMar>
              <w:top w:w="90" w:type="dxa"/>
              <w:start w:w="110" w:type="dxa"/>
              <w:bottom w:w="90" w:type="dxa"/>
              <w:end w:w="110" w:type="dxa"/>
            </w:tcMar>
          </w:tcPr>
          <w:p>
            <w:r>
              <w:rPr>
                <w:b/>
                <w:color w:val="FFFFFF"/>
                <w:sz w:val="17"/>
              </w:rPr>
              <w:t>Default treatment</w:t>
            </w:r>
          </w:p>
        </w:tc>
      </w:tr>
      <w:tr>
        <w:tc>
          <w:tcPr>
            <w:tcW w:type="dxa" w:w="1728"/>
            <w:vAlign w:val="center"/>
            <w:tcMar>
              <w:top w:w="90" w:type="dxa"/>
              <w:start w:w="110" w:type="dxa"/>
              <w:bottom w:w="90" w:type="dxa"/>
              <w:end w:w="110" w:type="dxa"/>
            </w:tcMar>
          </w:tcPr>
          <w:p>
            <w:pPr>
              <w:spacing w:after="0"/>
            </w:pPr>
            <w:r>
              <w:rPr>
                <w:sz w:val="17"/>
              </w:rPr>
              <w:t>PUBLIC</w:t>
            </w:r>
          </w:p>
        </w:tc>
        <w:tc>
          <w:tcPr>
            <w:tcW w:type="dxa" w:w="4896"/>
            <w:vAlign w:val="center"/>
            <w:tcMar>
              <w:top w:w="90" w:type="dxa"/>
              <w:start w:w="110" w:type="dxa"/>
              <w:bottom w:w="90" w:type="dxa"/>
              <w:end w:w="110" w:type="dxa"/>
            </w:tcMar>
          </w:tcPr>
          <w:p>
            <w:pPr>
              <w:spacing w:after="0"/>
            </w:pPr>
            <w:r>
              <w:rPr>
                <w:sz w:val="17"/>
              </w:rPr>
              <w:t>Published corporate registry</w:t>
            </w:r>
          </w:p>
        </w:tc>
        <w:tc>
          <w:tcPr>
            <w:tcW w:type="dxa" w:w="3456"/>
            <w:vAlign w:val="center"/>
            <w:tcMar>
              <w:top w:w="90" w:type="dxa"/>
              <w:start w:w="110" w:type="dxa"/>
              <w:bottom w:w="90" w:type="dxa"/>
              <w:end w:w="110" w:type="dxa"/>
            </w:tcMar>
          </w:tcPr>
          <w:p>
            <w:pPr>
              <w:spacing w:after="0"/>
            </w:pPr>
            <w:r>
              <w:rPr>
                <w:sz w:val="17"/>
              </w:rPr>
              <w:t>Normal case authorization</w:t>
            </w:r>
          </w:p>
        </w:tc>
      </w:tr>
      <w:tr>
        <w:tc>
          <w:tcPr>
            <w:tcW w:type="dxa" w:w="1728"/>
            <w:vAlign w:val="center"/>
            <w:tcMar>
              <w:top w:w="90" w:type="dxa"/>
              <w:start w:w="110" w:type="dxa"/>
              <w:bottom w:w="90" w:type="dxa"/>
              <w:end w:w="110" w:type="dxa"/>
            </w:tcMar>
          </w:tcPr>
          <w:p>
            <w:pPr>
              <w:spacing w:after="0"/>
            </w:pPr>
            <w:r>
              <w:rPr>
                <w:sz w:val="17"/>
              </w:rPr>
              <w:t>INTERNAL</w:t>
            </w:r>
          </w:p>
        </w:tc>
        <w:tc>
          <w:tcPr>
            <w:tcW w:type="dxa" w:w="4896"/>
            <w:vAlign w:val="center"/>
            <w:tcMar>
              <w:top w:w="90" w:type="dxa"/>
              <w:start w:w="110" w:type="dxa"/>
              <w:bottom w:w="90" w:type="dxa"/>
              <w:end w:w="110" w:type="dxa"/>
            </w:tcMar>
          </w:tcPr>
          <w:p>
            <w:pPr>
              <w:spacing w:after="0"/>
            </w:pPr>
            <w:r>
              <w:rPr>
                <w:sz w:val="17"/>
              </w:rPr>
              <w:t>Analyst notes</w:t>
            </w:r>
          </w:p>
        </w:tc>
        <w:tc>
          <w:tcPr>
            <w:tcW w:type="dxa" w:w="3456"/>
            <w:vAlign w:val="center"/>
            <w:tcMar>
              <w:top w:w="90" w:type="dxa"/>
              <w:start w:w="110" w:type="dxa"/>
              <w:bottom w:w="90" w:type="dxa"/>
              <w:end w:w="110" w:type="dxa"/>
            </w:tcMar>
          </w:tcPr>
          <w:p>
            <w:pPr>
              <w:spacing w:after="0"/>
            </w:pPr>
            <w:r>
              <w:rPr>
                <w:sz w:val="17"/>
              </w:rPr>
              <w:t>Case members only</w:t>
            </w:r>
          </w:p>
        </w:tc>
      </w:tr>
      <w:tr>
        <w:tc>
          <w:tcPr>
            <w:tcW w:type="dxa" w:w="1728"/>
            <w:vAlign w:val="center"/>
            <w:tcMar>
              <w:top w:w="90" w:type="dxa"/>
              <w:start w:w="110" w:type="dxa"/>
              <w:bottom w:w="90" w:type="dxa"/>
              <w:end w:w="110" w:type="dxa"/>
            </w:tcMar>
          </w:tcPr>
          <w:p>
            <w:pPr>
              <w:spacing w:after="0"/>
            </w:pPr>
            <w:r>
              <w:rPr>
                <w:sz w:val="17"/>
              </w:rPr>
              <w:t>SENSITIVE</w:t>
            </w:r>
          </w:p>
        </w:tc>
        <w:tc>
          <w:tcPr>
            <w:tcW w:type="dxa" w:w="4896"/>
            <w:vAlign w:val="center"/>
            <w:tcMar>
              <w:top w:w="90" w:type="dxa"/>
              <w:start w:w="110" w:type="dxa"/>
              <w:bottom w:w="90" w:type="dxa"/>
              <w:end w:w="110" w:type="dxa"/>
            </w:tcMar>
          </w:tcPr>
          <w:p>
            <w:pPr>
              <w:spacing w:after="0"/>
            </w:pPr>
            <w:r>
              <w:rPr>
                <w:sz w:val="17"/>
              </w:rPr>
              <w:t>Personal financial context, private correspondence lawfully held</w:t>
            </w:r>
          </w:p>
        </w:tc>
        <w:tc>
          <w:tcPr>
            <w:tcW w:type="dxa" w:w="3456"/>
            <w:vAlign w:val="center"/>
            <w:tcMar>
              <w:top w:w="90" w:type="dxa"/>
              <w:start w:w="110" w:type="dxa"/>
              <w:bottom w:w="90" w:type="dxa"/>
              <w:end w:w="110" w:type="dxa"/>
            </w:tcMar>
          </w:tcPr>
          <w:p>
            <w:pPr>
              <w:spacing w:after="0"/>
            </w:pPr>
            <w:r>
              <w:rPr>
                <w:sz w:val="17"/>
              </w:rPr>
              <w:t>Need-to-know; export restricted</w:t>
            </w:r>
          </w:p>
        </w:tc>
      </w:tr>
      <w:tr>
        <w:tc>
          <w:tcPr>
            <w:tcW w:type="dxa" w:w="1728"/>
            <w:vAlign w:val="center"/>
            <w:tcMar>
              <w:top w:w="90" w:type="dxa"/>
              <w:start w:w="110" w:type="dxa"/>
              <w:bottom w:w="90" w:type="dxa"/>
              <w:end w:w="110" w:type="dxa"/>
            </w:tcMar>
          </w:tcPr>
          <w:p>
            <w:pPr>
              <w:spacing w:after="0"/>
            </w:pPr>
            <w:r>
              <w:rPr>
                <w:sz w:val="17"/>
              </w:rPr>
              <w:t>RESTRICTED</w:t>
            </w:r>
          </w:p>
        </w:tc>
        <w:tc>
          <w:tcPr>
            <w:tcW w:type="dxa" w:w="4896"/>
            <w:vAlign w:val="center"/>
            <w:tcMar>
              <w:top w:w="90" w:type="dxa"/>
              <w:start w:w="110" w:type="dxa"/>
              <w:bottom w:w="90" w:type="dxa"/>
              <w:end w:w="110" w:type="dxa"/>
            </w:tcMar>
          </w:tcPr>
          <w:p>
            <w:pPr>
              <w:spacing w:after="0"/>
            </w:pPr>
            <w:r>
              <w:rPr>
                <w:sz w:val="17"/>
              </w:rPr>
              <w:t>High-risk identity data, unpublished allegation</w:t>
            </w:r>
          </w:p>
        </w:tc>
        <w:tc>
          <w:tcPr>
            <w:tcW w:type="dxa" w:w="3456"/>
            <w:vAlign w:val="center"/>
            <w:tcMar>
              <w:top w:w="90" w:type="dxa"/>
              <w:start w:w="110" w:type="dxa"/>
              <w:bottom w:w="90" w:type="dxa"/>
              <w:end w:w="110" w:type="dxa"/>
            </w:tcMar>
          </w:tcPr>
          <w:p>
            <w:pPr>
              <w:spacing w:after="0"/>
            </w:pPr>
            <w:r>
              <w:rPr>
                <w:sz w:val="17"/>
              </w:rPr>
              <w:t>Strong access restrictions</w:t>
            </w:r>
          </w:p>
        </w:tc>
      </w:tr>
      <w:tr>
        <w:tc>
          <w:tcPr>
            <w:tcW w:type="dxa" w:w="1728"/>
            <w:vAlign w:val="center"/>
            <w:tcMar>
              <w:top w:w="90" w:type="dxa"/>
              <w:start w:w="110" w:type="dxa"/>
              <w:bottom w:w="90" w:type="dxa"/>
              <w:end w:w="110" w:type="dxa"/>
            </w:tcMar>
          </w:tcPr>
          <w:p>
            <w:pPr>
              <w:spacing w:after="0"/>
            </w:pPr>
            <w:r>
              <w:rPr>
                <w:sz w:val="17"/>
              </w:rPr>
              <w:t>SOURCE-PROTECTED</w:t>
            </w:r>
          </w:p>
        </w:tc>
        <w:tc>
          <w:tcPr>
            <w:tcW w:type="dxa" w:w="4896"/>
            <w:vAlign w:val="center"/>
            <w:tcMar>
              <w:top w:w="90" w:type="dxa"/>
              <w:start w:w="110" w:type="dxa"/>
              <w:bottom w:w="90" w:type="dxa"/>
              <w:end w:w="110" w:type="dxa"/>
            </w:tcMar>
          </w:tcPr>
          <w:p>
            <w:pPr>
              <w:spacing w:after="0"/>
            </w:pPr>
            <w:r>
              <w:rPr>
                <w:sz w:val="17"/>
              </w:rPr>
              <w:t>Whistleblower identity or contact channel</w:t>
            </w:r>
          </w:p>
        </w:tc>
        <w:tc>
          <w:tcPr>
            <w:tcW w:type="dxa" w:w="3456"/>
            <w:vAlign w:val="center"/>
            <w:tcMar>
              <w:top w:w="90" w:type="dxa"/>
              <w:start w:w="110" w:type="dxa"/>
              <w:bottom w:w="90" w:type="dxa"/>
              <w:end w:w="110" w:type="dxa"/>
            </w:tcMar>
          </w:tcPr>
          <w:p>
            <w:pPr>
              <w:spacing w:after="0"/>
            </w:pPr>
            <w:r>
              <w:rPr>
                <w:sz w:val="17"/>
              </w:rPr>
              <w:t>Dedicated policy, minimal disclosure</w:t>
            </w:r>
          </w:p>
        </w:tc>
      </w:tr>
    </w:tbl>
    <w:p>
      <w:pPr>
        <w:spacing w:after="20"/>
      </w:pPr>
    </w:p>
    <w:p>
      <w:pPr>
        <w:pStyle w:val="Heading1"/>
      </w:pPr>
      <w:r>
        <w:t>18. Cryptography, Secrets, and Key Management</w:t>
      </w:r>
    </w:p>
    <w:p>
      <w:pPr>
        <w:pStyle w:val="ListBullet"/>
        <w:spacing w:after="40"/>
      </w:pPr>
      <w:r>
        <w:t>Transport encryption SHALL protect remote access and service-to-service traffic crossing untrusted networks.</w:t>
      </w:r>
    </w:p>
    <w:p>
      <w:pPr>
        <w:pStyle w:val="ListBullet"/>
        <w:spacing w:after="40"/>
      </w:pPr>
      <w:r>
        <w:t>Sensitive data at rest SHOULD be encrypted using platform-appropriate controls.</w:t>
      </w:r>
    </w:p>
    <w:p>
      <w:pPr>
        <w:pStyle w:val="ListBullet"/>
        <w:spacing w:after="40"/>
      </w:pPr>
      <w:r>
        <w:t>Secrets SHALL not be stored in source code or ordinary configuration repositories.</w:t>
      </w:r>
    </w:p>
    <w:p>
      <w:pPr>
        <w:pStyle w:val="ListBullet"/>
        <w:spacing w:after="40"/>
      </w:pPr>
      <w:r>
        <w:t>Key rotation and recovery SHALL be documented.</w:t>
      </w:r>
    </w:p>
    <w:p>
      <w:pPr>
        <w:pStyle w:val="ListBullet"/>
        <w:spacing w:after="40"/>
      </w:pPr>
      <w:r>
        <w:t>Backup encryption keys SHALL be protected separately from backups.</w:t>
      </w:r>
    </w:p>
    <w:p>
      <w:pPr>
        <w:pStyle w:val="ListBullet"/>
        <w:spacing w:after="40"/>
      </w:pPr>
      <w:r>
        <w:t>Cryptographic evidence hashes SHALL be distinguished from encryption keys and authentication secrets.</w:t>
      </w:r>
    </w:p>
    <w:p>
      <w:pPr>
        <w:pStyle w:val="Heading1"/>
      </w:pPr>
      <w:r>
        <w:t>19. Security Architecture and Threat Model</w:t>
      </w:r>
    </w:p>
    <w:p>
      <w:pPr>
        <w:pStyle w:val="Heading2"/>
      </w:pPr>
      <w:r>
        <w:t>19.1 High-value assets</w:t>
      </w:r>
    </w:p>
    <w:tbl>
      <w:tblPr>
        <w:tblStyle w:val="TableGrid"/>
        <w:tblW w:type="auto" w:w="0"/>
        <w:jc w:val="center"/>
        <w:tblLook w:firstColumn="1" w:firstRow="1" w:lastColumn="0" w:lastRow="0" w:noHBand="0" w:noVBand="1" w:val="04A0"/>
      </w:tblPr>
      <w:tblGrid>
        <w:gridCol w:w="5040"/>
        <w:gridCol w:w="5040"/>
      </w:tblGrid>
      <w:tr>
        <w:tc>
          <w:tcPr>
            <w:tcW w:type="dxa" w:w="3312"/>
            <w:shd w:fill="1F4E79"/>
            <w:vAlign w:val="center"/>
            <w:tcMar>
              <w:top w:w="90" w:type="dxa"/>
              <w:start w:w="110" w:type="dxa"/>
              <w:bottom w:w="90" w:type="dxa"/>
              <w:end w:w="110" w:type="dxa"/>
            </w:tcMar>
          </w:tcPr>
          <w:p>
            <w:r>
              <w:rPr>
                <w:b/>
                <w:color w:val="FFFFFF"/>
                <w:sz w:val="17"/>
              </w:rPr>
              <w:t>Asset</w:t>
            </w:r>
          </w:p>
        </w:tc>
        <w:tc>
          <w:tcPr>
            <w:tcW w:type="dxa" w:w="6768"/>
            <w:shd w:fill="1F4E79"/>
            <w:vAlign w:val="center"/>
            <w:tcMar>
              <w:top w:w="90" w:type="dxa"/>
              <w:start w:w="110" w:type="dxa"/>
              <w:bottom w:w="90" w:type="dxa"/>
              <w:end w:w="110" w:type="dxa"/>
            </w:tcMar>
          </w:tcPr>
          <w:p>
            <w:r>
              <w:rPr>
                <w:b/>
                <w:color w:val="FFFFFF"/>
                <w:sz w:val="17"/>
              </w:rPr>
              <w:t>Why valuable</w:t>
            </w:r>
          </w:p>
        </w:tc>
      </w:tr>
      <w:tr>
        <w:tc>
          <w:tcPr>
            <w:tcW w:type="dxa" w:w="3312"/>
            <w:vAlign w:val="center"/>
            <w:tcMar>
              <w:top w:w="90" w:type="dxa"/>
              <w:start w:w="110" w:type="dxa"/>
              <w:bottom w:w="90" w:type="dxa"/>
              <w:end w:w="110" w:type="dxa"/>
            </w:tcMar>
          </w:tcPr>
          <w:p>
            <w:pPr>
              <w:spacing w:after="0"/>
            </w:pPr>
            <w:r>
              <w:rPr>
                <w:sz w:val="17"/>
              </w:rPr>
              <w:t>Protected-source identity</w:t>
            </w:r>
          </w:p>
        </w:tc>
        <w:tc>
          <w:tcPr>
            <w:tcW w:type="dxa" w:w="6768"/>
            <w:vAlign w:val="center"/>
            <w:tcMar>
              <w:top w:w="90" w:type="dxa"/>
              <w:start w:w="110" w:type="dxa"/>
              <w:bottom w:w="90" w:type="dxa"/>
              <w:end w:w="110" w:type="dxa"/>
            </w:tcMar>
          </w:tcPr>
          <w:p>
            <w:pPr>
              <w:spacing w:after="0"/>
            </w:pPr>
            <w:r>
              <w:rPr>
                <w:sz w:val="17"/>
              </w:rPr>
              <w:t>Exposure can cause physical, legal, or reputational harm</w:t>
            </w:r>
          </w:p>
        </w:tc>
      </w:tr>
      <w:tr>
        <w:tc>
          <w:tcPr>
            <w:tcW w:type="dxa" w:w="3312"/>
            <w:vAlign w:val="center"/>
            <w:tcMar>
              <w:top w:w="90" w:type="dxa"/>
              <w:start w:w="110" w:type="dxa"/>
              <w:bottom w:w="90" w:type="dxa"/>
              <w:end w:w="110" w:type="dxa"/>
            </w:tcMar>
          </w:tcPr>
          <w:p>
            <w:pPr>
              <w:spacing w:after="0"/>
            </w:pPr>
            <w:r>
              <w:rPr>
                <w:sz w:val="17"/>
              </w:rPr>
              <w:t>Raw evidence</w:t>
            </w:r>
          </w:p>
        </w:tc>
        <w:tc>
          <w:tcPr>
            <w:tcW w:type="dxa" w:w="6768"/>
            <w:vAlign w:val="center"/>
            <w:tcMar>
              <w:top w:w="90" w:type="dxa"/>
              <w:start w:w="110" w:type="dxa"/>
              <w:bottom w:w="90" w:type="dxa"/>
              <w:end w:w="110" w:type="dxa"/>
            </w:tcMar>
          </w:tcPr>
          <w:p>
            <w:pPr>
              <w:spacing w:after="0"/>
            </w:pPr>
            <w:r>
              <w:rPr>
                <w:sz w:val="17"/>
              </w:rPr>
              <w:t>May contain sensitive personal or investigative information</w:t>
            </w:r>
          </w:p>
        </w:tc>
      </w:tr>
      <w:tr>
        <w:tc>
          <w:tcPr>
            <w:tcW w:type="dxa" w:w="3312"/>
            <w:vAlign w:val="center"/>
            <w:tcMar>
              <w:top w:w="90" w:type="dxa"/>
              <w:start w:w="110" w:type="dxa"/>
              <w:bottom w:w="90" w:type="dxa"/>
              <w:end w:w="110" w:type="dxa"/>
            </w:tcMar>
          </w:tcPr>
          <w:p>
            <w:pPr>
              <w:spacing w:after="0"/>
            </w:pPr>
            <w:r>
              <w:rPr>
                <w:sz w:val="17"/>
              </w:rPr>
              <w:t>Entity/relationship graph</w:t>
            </w:r>
          </w:p>
        </w:tc>
        <w:tc>
          <w:tcPr>
            <w:tcW w:type="dxa" w:w="6768"/>
            <w:vAlign w:val="center"/>
            <w:tcMar>
              <w:top w:w="90" w:type="dxa"/>
              <w:start w:w="110" w:type="dxa"/>
              <w:bottom w:w="90" w:type="dxa"/>
              <w:end w:w="110" w:type="dxa"/>
            </w:tcMar>
          </w:tcPr>
          <w:p>
            <w:pPr>
              <w:spacing w:after="0"/>
            </w:pPr>
            <w:r>
              <w:rPr>
                <w:sz w:val="17"/>
              </w:rPr>
              <w:t>Reveals investigation scope and associations</w:t>
            </w:r>
          </w:p>
        </w:tc>
      </w:tr>
      <w:tr>
        <w:tc>
          <w:tcPr>
            <w:tcW w:type="dxa" w:w="3312"/>
            <w:vAlign w:val="center"/>
            <w:tcMar>
              <w:top w:w="90" w:type="dxa"/>
              <w:start w:w="110" w:type="dxa"/>
              <w:bottom w:w="90" w:type="dxa"/>
              <w:end w:w="110" w:type="dxa"/>
            </w:tcMar>
          </w:tcPr>
          <w:p>
            <w:pPr>
              <w:spacing w:after="0"/>
            </w:pPr>
            <w:r>
              <w:rPr>
                <w:sz w:val="17"/>
              </w:rPr>
              <w:t>Assessment drafts</w:t>
            </w:r>
          </w:p>
        </w:tc>
        <w:tc>
          <w:tcPr>
            <w:tcW w:type="dxa" w:w="6768"/>
            <w:vAlign w:val="center"/>
            <w:tcMar>
              <w:top w:w="90" w:type="dxa"/>
              <w:start w:w="110" w:type="dxa"/>
              <w:bottom w:w="90" w:type="dxa"/>
              <w:end w:w="110" w:type="dxa"/>
            </w:tcMar>
          </w:tcPr>
          <w:p>
            <w:pPr>
              <w:spacing w:after="0"/>
            </w:pPr>
            <w:r>
              <w:rPr>
                <w:sz w:val="17"/>
              </w:rPr>
              <w:t>Can expose allegations before review</w:t>
            </w:r>
          </w:p>
        </w:tc>
      </w:tr>
      <w:tr>
        <w:tc>
          <w:tcPr>
            <w:tcW w:type="dxa" w:w="3312"/>
            <w:vAlign w:val="center"/>
            <w:tcMar>
              <w:top w:w="90" w:type="dxa"/>
              <w:start w:w="110" w:type="dxa"/>
              <w:bottom w:w="90" w:type="dxa"/>
              <w:end w:w="110" w:type="dxa"/>
            </w:tcMar>
          </w:tcPr>
          <w:p>
            <w:pPr>
              <w:spacing w:after="0"/>
            </w:pPr>
            <w:r>
              <w:rPr>
                <w:sz w:val="17"/>
              </w:rPr>
              <w:t>Credentials/tokens</w:t>
            </w:r>
          </w:p>
        </w:tc>
        <w:tc>
          <w:tcPr>
            <w:tcW w:type="dxa" w:w="6768"/>
            <w:vAlign w:val="center"/>
            <w:tcMar>
              <w:top w:w="90" w:type="dxa"/>
              <w:start w:w="110" w:type="dxa"/>
              <w:bottom w:w="90" w:type="dxa"/>
              <w:end w:w="110" w:type="dxa"/>
            </w:tcMar>
          </w:tcPr>
          <w:p>
            <w:pPr>
              <w:spacing w:after="0"/>
            </w:pPr>
            <w:r>
              <w:rPr>
                <w:sz w:val="17"/>
              </w:rPr>
              <w:t>Enable lateral access</w:t>
            </w:r>
          </w:p>
        </w:tc>
      </w:tr>
      <w:tr>
        <w:tc>
          <w:tcPr>
            <w:tcW w:type="dxa" w:w="3312"/>
            <w:vAlign w:val="center"/>
            <w:tcMar>
              <w:top w:w="90" w:type="dxa"/>
              <w:start w:w="110" w:type="dxa"/>
              <w:bottom w:w="90" w:type="dxa"/>
              <w:end w:w="110" w:type="dxa"/>
            </w:tcMar>
          </w:tcPr>
          <w:p>
            <w:pPr>
              <w:spacing w:after="0"/>
            </w:pPr>
            <w:r>
              <w:rPr>
                <w:sz w:val="17"/>
              </w:rPr>
              <w:t>Audit logs</w:t>
            </w:r>
          </w:p>
        </w:tc>
        <w:tc>
          <w:tcPr>
            <w:tcW w:type="dxa" w:w="6768"/>
            <w:vAlign w:val="center"/>
            <w:tcMar>
              <w:top w:w="90" w:type="dxa"/>
              <w:start w:w="110" w:type="dxa"/>
              <w:bottom w:w="90" w:type="dxa"/>
              <w:end w:w="110" w:type="dxa"/>
            </w:tcMar>
          </w:tcPr>
          <w:p>
            <w:pPr>
              <w:spacing w:after="0"/>
            </w:pPr>
            <w:r>
              <w:rPr>
                <w:sz w:val="17"/>
              </w:rPr>
              <w:t>Reveal activity and can prove misuse</w:t>
            </w:r>
          </w:p>
        </w:tc>
      </w:tr>
      <w:tr>
        <w:tc>
          <w:tcPr>
            <w:tcW w:type="dxa" w:w="3312"/>
            <w:vAlign w:val="center"/>
            <w:tcMar>
              <w:top w:w="90" w:type="dxa"/>
              <w:start w:w="110" w:type="dxa"/>
              <w:bottom w:w="90" w:type="dxa"/>
              <w:end w:w="110" w:type="dxa"/>
            </w:tcMar>
          </w:tcPr>
          <w:p>
            <w:pPr>
              <w:spacing w:after="0"/>
            </w:pPr>
            <w:r>
              <w:rPr>
                <w:sz w:val="17"/>
              </w:rPr>
              <w:t>Export packages</w:t>
            </w:r>
          </w:p>
        </w:tc>
        <w:tc>
          <w:tcPr>
            <w:tcW w:type="dxa" w:w="6768"/>
            <w:vAlign w:val="center"/>
            <w:tcMar>
              <w:top w:w="90" w:type="dxa"/>
              <w:start w:w="110" w:type="dxa"/>
              <w:bottom w:w="90" w:type="dxa"/>
              <w:end w:w="110" w:type="dxa"/>
            </w:tcMar>
          </w:tcPr>
          <w:p>
            <w:pPr>
              <w:spacing w:after="0"/>
            </w:pPr>
            <w:r>
              <w:rPr>
                <w:sz w:val="17"/>
              </w:rPr>
              <w:t>May contain concentrated high-impact intelligence</w:t>
            </w:r>
          </w:p>
        </w:tc>
      </w:tr>
    </w:tbl>
    <w:p>
      <w:pPr>
        <w:spacing w:after="20"/>
      </w:pPr>
    </w:p>
    <w:p>
      <w:pPr>
        <w:pStyle w:val="Heading2"/>
      </w:pPr>
      <w:r>
        <w:t>19.2 Threat scenarios</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Mar>
              <w:top w:w="90" w:type="dxa"/>
              <w:start w:w="110" w:type="dxa"/>
              <w:bottom w:w="90" w:type="dxa"/>
              <w:end w:w="110" w:type="dxa"/>
            </w:tcMar>
          </w:tcPr>
          <w:p>
            <w:r>
              <w:rPr>
                <w:b/>
                <w:color w:val="FFFFFF"/>
                <w:sz w:val="17"/>
              </w:rPr>
              <w:t>Threat</w:t>
            </w:r>
          </w:p>
        </w:tc>
        <w:tc>
          <w:tcPr>
            <w:tcW w:type="dxa" w:w="7200"/>
            <w:shd w:fill="1F4E79"/>
            <w:vAlign w:val="center"/>
            <w:tcMar>
              <w:top w:w="90" w:type="dxa"/>
              <w:start w:w="110" w:type="dxa"/>
              <w:bottom w:w="90" w:type="dxa"/>
              <w:end w:w="110" w:type="dxa"/>
            </w:tcMar>
          </w:tcPr>
          <w:p>
            <w:r>
              <w:rPr>
                <w:b/>
                <w:color w:val="FFFFFF"/>
                <w:sz w:val="17"/>
              </w:rPr>
              <w:t>Examples</w:t>
            </w:r>
          </w:p>
        </w:tc>
      </w:tr>
      <w:tr>
        <w:tc>
          <w:tcPr>
            <w:tcW w:type="dxa" w:w="2880"/>
            <w:vAlign w:val="center"/>
            <w:tcMar>
              <w:top w:w="90" w:type="dxa"/>
              <w:start w:w="110" w:type="dxa"/>
              <w:bottom w:w="90" w:type="dxa"/>
              <w:end w:w="110" w:type="dxa"/>
            </w:tcMar>
          </w:tcPr>
          <w:p>
            <w:pPr>
              <w:spacing w:after="0"/>
            </w:pPr>
            <w:r>
              <w:rPr>
                <w:sz w:val="17"/>
              </w:rPr>
              <w:t>External compromise</w:t>
            </w:r>
          </w:p>
        </w:tc>
        <w:tc>
          <w:tcPr>
            <w:tcW w:type="dxa" w:w="7200"/>
            <w:vAlign w:val="center"/>
            <w:tcMar>
              <w:top w:w="90" w:type="dxa"/>
              <w:start w:w="110" w:type="dxa"/>
              <w:bottom w:w="90" w:type="dxa"/>
              <w:end w:w="110" w:type="dxa"/>
            </w:tcMar>
          </w:tcPr>
          <w:p>
            <w:pPr>
              <w:spacing w:after="0"/>
            </w:pPr>
            <w:r>
              <w:rPr>
                <w:sz w:val="17"/>
              </w:rPr>
              <w:t>Credential theft, application exploit, exposed storage</w:t>
            </w:r>
          </w:p>
        </w:tc>
      </w:tr>
      <w:tr>
        <w:tc>
          <w:tcPr>
            <w:tcW w:type="dxa" w:w="2880"/>
            <w:vAlign w:val="center"/>
            <w:tcMar>
              <w:top w:w="90" w:type="dxa"/>
              <w:start w:w="110" w:type="dxa"/>
              <w:bottom w:w="90" w:type="dxa"/>
              <w:end w:w="110" w:type="dxa"/>
            </w:tcMar>
          </w:tcPr>
          <w:p>
            <w:pPr>
              <w:spacing w:after="0"/>
            </w:pPr>
            <w:r>
              <w:rPr>
                <w:sz w:val="17"/>
              </w:rPr>
              <w:t>Malicious insider</w:t>
            </w:r>
          </w:p>
        </w:tc>
        <w:tc>
          <w:tcPr>
            <w:tcW w:type="dxa" w:w="7200"/>
            <w:vAlign w:val="center"/>
            <w:tcMar>
              <w:top w:w="90" w:type="dxa"/>
              <w:start w:w="110" w:type="dxa"/>
              <w:bottom w:w="90" w:type="dxa"/>
              <w:end w:w="110" w:type="dxa"/>
            </w:tcMar>
          </w:tcPr>
          <w:p>
            <w:pPr>
              <w:spacing w:after="0"/>
            </w:pPr>
            <w:r>
              <w:rPr>
                <w:sz w:val="17"/>
              </w:rPr>
              <w:t>Unauthorized browsing, export, source exposure</w:t>
            </w:r>
          </w:p>
        </w:tc>
      </w:tr>
      <w:tr>
        <w:tc>
          <w:tcPr>
            <w:tcW w:type="dxa" w:w="2880"/>
            <w:vAlign w:val="center"/>
            <w:tcMar>
              <w:top w:w="90" w:type="dxa"/>
              <w:start w:w="110" w:type="dxa"/>
              <w:bottom w:w="90" w:type="dxa"/>
              <w:end w:w="110" w:type="dxa"/>
            </w:tcMar>
          </w:tcPr>
          <w:p>
            <w:pPr>
              <w:spacing w:after="0"/>
            </w:pPr>
            <w:r>
              <w:rPr>
                <w:sz w:val="17"/>
              </w:rPr>
              <w:t>Compelled or coerced access</w:t>
            </w:r>
          </w:p>
        </w:tc>
        <w:tc>
          <w:tcPr>
            <w:tcW w:type="dxa" w:w="7200"/>
            <w:vAlign w:val="center"/>
            <w:tcMar>
              <w:top w:w="90" w:type="dxa"/>
              <w:start w:w="110" w:type="dxa"/>
              <w:bottom w:w="90" w:type="dxa"/>
              <w:end w:w="110" w:type="dxa"/>
            </w:tcMar>
          </w:tcPr>
          <w:p>
            <w:pPr>
              <w:spacing w:after="0"/>
            </w:pPr>
            <w:r>
              <w:rPr>
                <w:sz w:val="17"/>
              </w:rPr>
              <w:t>Legal/physical pressure on operator or host</w:t>
            </w:r>
          </w:p>
        </w:tc>
      </w:tr>
      <w:tr>
        <w:tc>
          <w:tcPr>
            <w:tcW w:type="dxa" w:w="2880"/>
            <w:vAlign w:val="center"/>
            <w:tcMar>
              <w:top w:w="90" w:type="dxa"/>
              <w:start w:w="110" w:type="dxa"/>
              <w:bottom w:w="90" w:type="dxa"/>
              <w:end w:w="110" w:type="dxa"/>
            </w:tcMar>
          </w:tcPr>
          <w:p>
            <w:pPr>
              <w:spacing w:after="0"/>
            </w:pPr>
            <w:r>
              <w:rPr>
                <w:sz w:val="17"/>
              </w:rPr>
              <w:t>Supply-chain compromise</w:t>
            </w:r>
          </w:p>
        </w:tc>
        <w:tc>
          <w:tcPr>
            <w:tcW w:type="dxa" w:w="7200"/>
            <w:vAlign w:val="center"/>
            <w:tcMar>
              <w:top w:w="90" w:type="dxa"/>
              <w:start w:w="110" w:type="dxa"/>
              <w:bottom w:w="90" w:type="dxa"/>
              <w:end w:w="110" w:type="dxa"/>
            </w:tcMar>
          </w:tcPr>
          <w:p>
            <w:pPr>
              <w:spacing w:after="0"/>
            </w:pPr>
            <w:r>
              <w:rPr>
                <w:sz w:val="17"/>
              </w:rPr>
              <w:t>Malicious dependency, build artifact, update channel</w:t>
            </w:r>
          </w:p>
        </w:tc>
      </w:tr>
      <w:tr>
        <w:tc>
          <w:tcPr>
            <w:tcW w:type="dxa" w:w="2880"/>
            <w:vAlign w:val="center"/>
            <w:tcMar>
              <w:top w:w="90" w:type="dxa"/>
              <w:start w:w="110" w:type="dxa"/>
              <w:bottom w:w="90" w:type="dxa"/>
              <w:end w:w="110" w:type="dxa"/>
            </w:tcMar>
          </w:tcPr>
          <w:p>
            <w:pPr>
              <w:spacing w:after="0"/>
            </w:pPr>
            <w:r>
              <w:rPr>
                <w:sz w:val="17"/>
              </w:rPr>
              <w:t>Data poisoning</w:t>
            </w:r>
          </w:p>
        </w:tc>
        <w:tc>
          <w:tcPr>
            <w:tcW w:type="dxa" w:w="7200"/>
            <w:vAlign w:val="center"/>
            <w:tcMar>
              <w:top w:w="90" w:type="dxa"/>
              <w:start w:w="110" w:type="dxa"/>
              <w:bottom w:w="90" w:type="dxa"/>
              <w:end w:w="110" w:type="dxa"/>
            </w:tcMar>
          </w:tcPr>
          <w:p>
            <w:pPr>
              <w:spacing w:after="0"/>
            </w:pPr>
            <w:r>
              <w:rPr>
                <w:sz w:val="17"/>
              </w:rPr>
              <w:t>False records introduced to manipulate analysis</w:t>
            </w:r>
          </w:p>
        </w:tc>
      </w:tr>
      <w:tr>
        <w:tc>
          <w:tcPr>
            <w:tcW w:type="dxa" w:w="2880"/>
            <w:vAlign w:val="center"/>
            <w:tcMar>
              <w:top w:w="90" w:type="dxa"/>
              <w:start w:w="110" w:type="dxa"/>
              <w:bottom w:w="90" w:type="dxa"/>
              <w:end w:w="110" w:type="dxa"/>
            </w:tcMar>
          </w:tcPr>
          <w:p>
            <w:pPr>
              <w:spacing w:after="0"/>
            </w:pPr>
            <w:r>
              <w:rPr>
                <w:sz w:val="17"/>
              </w:rPr>
              <w:t>Inference amplification</w:t>
            </w:r>
          </w:p>
        </w:tc>
        <w:tc>
          <w:tcPr>
            <w:tcW w:type="dxa" w:w="7200"/>
            <w:vAlign w:val="center"/>
            <w:tcMar>
              <w:top w:w="90" w:type="dxa"/>
              <w:start w:w="110" w:type="dxa"/>
              <w:bottom w:w="90" w:type="dxa"/>
              <w:end w:w="110" w:type="dxa"/>
            </w:tcMar>
          </w:tcPr>
          <w:p>
            <w:pPr>
              <w:spacing w:after="0"/>
            </w:pPr>
            <w:r>
              <w:rPr>
                <w:sz w:val="17"/>
              </w:rPr>
              <w:t>Weak signals algorithmically promoted to strong conclusions</w:t>
            </w:r>
          </w:p>
        </w:tc>
      </w:tr>
      <w:tr>
        <w:tc>
          <w:tcPr>
            <w:tcW w:type="dxa" w:w="2880"/>
            <w:vAlign w:val="center"/>
            <w:tcMar>
              <w:top w:w="90" w:type="dxa"/>
              <w:start w:w="110" w:type="dxa"/>
              <w:bottom w:w="90" w:type="dxa"/>
              <w:end w:w="110" w:type="dxa"/>
            </w:tcMar>
          </w:tcPr>
          <w:p>
            <w:pPr>
              <w:spacing w:after="0"/>
            </w:pPr>
            <w:r>
              <w:rPr>
                <w:sz w:val="17"/>
              </w:rPr>
              <w:t>Availability attack</w:t>
            </w:r>
          </w:p>
        </w:tc>
        <w:tc>
          <w:tcPr>
            <w:tcW w:type="dxa" w:w="7200"/>
            <w:vAlign w:val="center"/>
            <w:tcMar>
              <w:top w:w="90" w:type="dxa"/>
              <w:start w:w="110" w:type="dxa"/>
              <w:bottom w:w="90" w:type="dxa"/>
              <w:end w:w="110" w:type="dxa"/>
            </w:tcMar>
          </w:tcPr>
          <w:p>
            <w:pPr>
              <w:spacing w:after="0"/>
            </w:pPr>
            <w:r>
              <w:rPr>
                <w:sz w:val="17"/>
              </w:rPr>
              <w:t>Ransomware, deletion, denial of service</w:t>
            </w:r>
          </w:p>
        </w:tc>
      </w:tr>
      <w:tr>
        <w:tc>
          <w:tcPr>
            <w:tcW w:type="dxa" w:w="2880"/>
            <w:vAlign w:val="center"/>
            <w:tcMar>
              <w:top w:w="90" w:type="dxa"/>
              <w:start w:w="110" w:type="dxa"/>
              <w:bottom w:w="90" w:type="dxa"/>
              <w:end w:w="110" w:type="dxa"/>
            </w:tcMar>
          </w:tcPr>
          <w:p>
            <w:pPr>
              <w:spacing w:after="0"/>
            </w:pPr>
            <w:r>
              <w:rPr>
                <w:sz w:val="17"/>
              </w:rPr>
              <w:t>Metadata leakage</w:t>
            </w:r>
          </w:p>
        </w:tc>
        <w:tc>
          <w:tcPr>
            <w:tcW w:type="dxa" w:w="7200"/>
            <w:vAlign w:val="center"/>
            <w:tcMar>
              <w:top w:w="90" w:type="dxa"/>
              <w:start w:w="110" w:type="dxa"/>
              <w:bottom w:w="90" w:type="dxa"/>
              <w:end w:w="110" w:type="dxa"/>
            </w:tcMar>
          </w:tcPr>
          <w:p>
            <w:pPr>
              <w:spacing w:after="0"/>
            </w:pPr>
            <w:r>
              <w:rPr>
                <w:sz w:val="17"/>
              </w:rPr>
              <w:t>Backups, logs, search indexes, notifications expose case existence</w:t>
            </w:r>
          </w:p>
        </w:tc>
      </w:tr>
    </w:tbl>
    <w:p>
      <w:pPr>
        <w:spacing w:after="20"/>
      </w:pPr>
    </w:p>
    <w:p>
      <w:pPr>
        <w:pStyle w:val="Heading2"/>
      </w:pPr>
      <w:r>
        <w:t>19.3 Security control domains</w:t>
      </w:r>
    </w:p>
    <w:p>
      <w:pPr>
        <w:pStyle w:val="ListBullet"/>
        <w:spacing w:after="40"/>
      </w:pPr>
      <w:r>
        <w:t>Secure configuration and patch management</w:t>
      </w:r>
    </w:p>
    <w:p>
      <w:pPr>
        <w:pStyle w:val="ListBullet"/>
        <w:spacing w:after="40"/>
      </w:pPr>
      <w:r>
        <w:t>Application security verification</w:t>
      </w:r>
    </w:p>
    <w:p>
      <w:pPr>
        <w:pStyle w:val="ListBullet"/>
        <w:spacing w:after="40"/>
      </w:pPr>
      <w:r>
        <w:t>Network segmentation and restricted administrative exposure</w:t>
      </w:r>
    </w:p>
    <w:p>
      <w:pPr>
        <w:pStyle w:val="ListBullet"/>
        <w:spacing w:after="40"/>
      </w:pPr>
      <w:r>
        <w:t>Endpoint protection for administrator/analyst devices where in scope</w:t>
      </w:r>
    </w:p>
    <w:p>
      <w:pPr>
        <w:pStyle w:val="ListBullet"/>
        <w:spacing w:after="40"/>
      </w:pPr>
      <w:r>
        <w:t>Rate limiting and anti-automation abuse</w:t>
      </w:r>
    </w:p>
    <w:p>
      <w:pPr>
        <w:pStyle w:val="ListBullet"/>
        <w:spacing w:after="40"/>
      </w:pPr>
      <w:r>
        <w:t>File-type validation and malware scanning for uploads</w:t>
      </w:r>
    </w:p>
    <w:p>
      <w:pPr>
        <w:pStyle w:val="ListBullet"/>
        <w:spacing w:after="40"/>
      </w:pPr>
      <w:r>
        <w:t>Content Security Policy and browser hardening</w:t>
      </w:r>
    </w:p>
    <w:p>
      <w:pPr>
        <w:pStyle w:val="ListBullet"/>
        <w:spacing w:after="40"/>
      </w:pPr>
      <w:r>
        <w:t>Database and object-store least privilege</w:t>
      </w:r>
    </w:p>
    <w:p>
      <w:pPr>
        <w:pStyle w:val="ListBullet"/>
        <w:spacing w:after="40"/>
      </w:pPr>
      <w:r>
        <w:t>Security incident detection and response</w:t>
      </w:r>
    </w:p>
    <w:p>
      <w:pPr>
        <w:pStyle w:val="ListBullet"/>
        <w:spacing w:after="40"/>
      </w:pPr>
      <w:r>
        <w:t>Regular restore testing and credential/key rotation</w:t>
      </w:r>
    </w:p>
    <w:p>
      <w:pPr>
        <w:pStyle w:val="Heading1"/>
      </w:pPr>
      <w:r>
        <w:t>20. Audit, Logging, and Non-Repudiation</w:t>
      </w:r>
    </w:p>
    <w:p>
      <w:pPr>
        <w:pStyle w:val="Heading2"/>
      </w:pPr>
      <w:r>
        <w:t>20.1 Mandatory audit events</w:t>
      </w:r>
    </w:p>
    <w:tbl>
      <w:tblPr>
        <w:tblStyle w:val="TableGrid"/>
        <w:tblW w:type="auto" w:w="0"/>
        <w:jc w:val="center"/>
        <w:tblLook w:firstColumn="1" w:firstRow="1" w:lastColumn="0" w:lastRow="0" w:noHBand="0" w:noVBand="1" w:val="04A0"/>
      </w:tblPr>
      <w:tblGrid>
        <w:gridCol w:w="5040"/>
        <w:gridCol w:w="5040"/>
      </w:tblGrid>
      <w:tr>
        <w:tc>
          <w:tcPr>
            <w:tcW w:type="dxa" w:w="2304"/>
            <w:shd w:fill="1F4E79"/>
            <w:vAlign w:val="center"/>
            <w:tcMar>
              <w:top w:w="90" w:type="dxa"/>
              <w:start w:w="110" w:type="dxa"/>
              <w:bottom w:w="90" w:type="dxa"/>
              <w:end w:w="110" w:type="dxa"/>
            </w:tcMar>
          </w:tcPr>
          <w:p>
            <w:r>
              <w:rPr>
                <w:b/>
                <w:color w:val="FFFFFF"/>
                <w:sz w:val="17"/>
              </w:rPr>
              <w:t>Event family</w:t>
            </w:r>
          </w:p>
        </w:tc>
        <w:tc>
          <w:tcPr>
            <w:tcW w:type="dxa" w:w="7776"/>
            <w:shd w:fill="1F4E79"/>
            <w:vAlign w:val="center"/>
            <w:tcMar>
              <w:top w:w="90" w:type="dxa"/>
              <w:start w:w="110" w:type="dxa"/>
              <w:bottom w:w="90" w:type="dxa"/>
              <w:end w:w="110" w:type="dxa"/>
            </w:tcMar>
          </w:tcPr>
          <w:p>
            <w:r>
              <w:rPr>
                <w:b/>
                <w:color w:val="FFFFFF"/>
                <w:sz w:val="17"/>
              </w:rPr>
              <w:t>Examples</w:t>
            </w:r>
          </w:p>
        </w:tc>
      </w:tr>
      <w:tr>
        <w:tc>
          <w:tcPr>
            <w:tcW w:type="dxa" w:w="2304"/>
            <w:vAlign w:val="center"/>
            <w:tcMar>
              <w:top w:w="90" w:type="dxa"/>
              <w:start w:w="110" w:type="dxa"/>
              <w:bottom w:w="90" w:type="dxa"/>
              <w:end w:w="110" w:type="dxa"/>
            </w:tcMar>
          </w:tcPr>
          <w:p>
            <w:pPr>
              <w:spacing w:after="0"/>
            </w:pPr>
            <w:r>
              <w:rPr>
                <w:sz w:val="17"/>
              </w:rPr>
              <w:t>Authentication</w:t>
            </w:r>
          </w:p>
        </w:tc>
        <w:tc>
          <w:tcPr>
            <w:tcW w:type="dxa" w:w="7776"/>
            <w:vAlign w:val="center"/>
            <w:tcMar>
              <w:top w:w="90" w:type="dxa"/>
              <w:start w:w="110" w:type="dxa"/>
              <w:bottom w:w="90" w:type="dxa"/>
              <w:end w:w="110" w:type="dxa"/>
            </w:tcMar>
          </w:tcPr>
          <w:p>
            <w:pPr>
              <w:spacing w:after="0"/>
            </w:pPr>
            <w:r>
              <w:rPr>
                <w:sz w:val="17"/>
              </w:rPr>
              <w:t>Login success/failure, MFA change, recovery</w:t>
            </w:r>
          </w:p>
        </w:tc>
      </w:tr>
      <w:tr>
        <w:tc>
          <w:tcPr>
            <w:tcW w:type="dxa" w:w="2304"/>
            <w:vAlign w:val="center"/>
            <w:tcMar>
              <w:top w:w="90" w:type="dxa"/>
              <w:start w:w="110" w:type="dxa"/>
              <w:bottom w:w="90" w:type="dxa"/>
              <w:end w:w="110" w:type="dxa"/>
            </w:tcMar>
          </w:tcPr>
          <w:p>
            <w:pPr>
              <w:spacing w:after="0"/>
            </w:pPr>
            <w:r>
              <w:rPr>
                <w:sz w:val="17"/>
              </w:rPr>
              <w:t>Authorization</w:t>
            </w:r>
          </w:p>
        </w:tc>
        <w:tc>
          <w:tcPr>
            <w:tcW w:type="dxa" w:w="7776"/>
            <w:vAlign w:val="center"/>
            <w:tcMar>
              <w:top w:w="90" w:type="dxa"/>
              <w:start w:w="110" w:type="dxa"/>
              <w:bottom w:w="90" w:type="dxa"/>
              <w:end w:w="110" w:type="dxa"/>
            </w:tcMar>
          </w:tcPr>
          <w:p>
            <w:pPr>
              <w:spacing w:after="0"/>
            </w:pPr>
            <w:r>
              <w:rPr>
                <w:sz w:val="17"/>
              </w:rPr>
              <w:t>Denied sensitive action, break-glass</w:t>
            </w:r>
          </w:p>
        </w:tc>
      </w:tr>
      <w:tr>
        <w:tc>
          <w:tcPr>
            <w:tcW w:type="dxa" w:w="2304"/>
            <w:vAlign w:val="center"/>
            <w:tcMar>
              <w:top w:w="90" w:type="dxa"/>
              <w:start w:w="110" w:type="dxa"/>
              <w:bottom w:w="90" w:type="dxa"/>
              <w:end w:w="110" w:type="dxa"/>
            </w:tcMar>
          </w:tcPr>
          <w:p>
            <w:pPr>
              <w:spacing w:after="0"/>
            </w:pPr>
            <w:r>
              <w:rPr>
                <w:sz w:val="17"/>
              </w:rPr>
              <w:t>Case governance</w:t>
            </w:r>
          </w:p>
        </w:tc>
        <w:tc>
          <w:tcPr>
            <w:tcW w:type="dxa" w:w="7776"/>
            <w:vAlign w:val="center"/>
            <w:tcMar>
              <w:top w:w="90" w:type="dxa"/>
              <w:start w:w="110" w:type="dxa"/>
              <w:bottom w:w="90" w:type="dxa"/>
              <w:end w:w="110" w:type="dxa"/>
            </w:tcMar>
          </w:tcPr>
          <w:p>
            <w:pPr>
              <w:spacing w:after="0"/>
            </w:pPr>
            <w:r>
              <w:rPr>
                <w:sz w:val="17"/>
              </w:rPr>
              <w:t>Open, owner change, gate approval, close/reopen</w:t>
            </w:r>
          </w:p>
        </w:tc>
      </w:tr>
      <w:tr>
        <w:tc>
          <w:tcPr>
            <w:tcW w:type="dxa" w:w="2304"/>
            <w:vAlign w:val="center"/>
            <w:tcMar>
              <w:top w:w="90" w:type="dxa"/>
              <w:start w:w="110" w:type="dxa"/>
              <w:bottom w:w="90" w:type="dxa"/>
              <w:end w:w="110" w:type="dxa"/>
            </w:tcMar>
          </w:tcPr>
          <w:p>
            <w:pPr>
              <w:spacing w:after="0"/>
            </w:pPr>
            <w:r>
              <w:rPr>
                <w:sz w:val="17"/>
              </w:rPr>
              <w:t>Evidence</w:t>
            </w:r>
          </w:p>
        </w:tc>
        <w:tc>
          <w:tcPr>
            <w:tcW w:type="dxa" w:w="7776"/>
            <w:vAlign w:val="center"/>
            <w:tcMar>
              <w:top w:w="90" w:type="dxa"/>
              <w:start w:w="110" w:type="dxa"/>
              <w:bottom w:w="90" w:type="dxa"/>
              <w:end w:w="110" w:type="dxa"/>
            </w:tcMar>
          </w:tcPr>
          <w:p>
            <w:pPr>
              <w:spacing w:after="0"/>
            </w:pPr>
            <w:r>
              <w:rPr>
                <w:sz w:val="17"/>
              </w:rPr>
              <w:t>Register, hash, view/download sensitive item, delete/dispose</w:t>
            </w:r>
          </w:p>
        </w:tc>
      </w:tr>
      <w:tr>
        <w:tc>
          <w:tcPr>
            <w:tcW w:type="dxa" w:w="2304"/>
            <w:vAlign w:val="center"/>
            <w:tcMar>
              <w:top w:w="90" w:type="dxa"/>
              <w:start w:w="110" w:type="dxa"/>
              <w:bottom w:w="90" w:type="dxa"/>
              <w:end w:w="110" w:type="dxa"/>
            </w:tcMar>
          </w:tcPr>
          <w:p>
            <w:pPr>
              <w:spacing w:after="0"/>
            </w:pPr>
            <w:r>
              <w:rPr>
                <w:sz w:val="17"/>
              </w:rPr>
              <w:t>Analytical change</w:t>
            </w:r>
          </w:p>
        </w:tc>
        <w:tc>
          <w:tcPr>
            <w:tcW w:type="dxa" w:w="7776"/>
            <w:vAlign w:val="center"/>
            <w:tcMar>
              <w:top w:w="90" w:type="dxa"/>
              <w:start w:w="110" w:type="dxa"/>
              <w:bottom w:w="90" w:type="dxa"/>
              <w:end w:w="110" w:type="dxa"/>
            </w:tcMar>
          </w:tcPr>
          <w:p>
            <w:pPr>
              <w:spacing w:after="0"/>
            </w:pPr>
            <w:r>
              <w:rPr>
                <w:sz w:val="17"/>
              </w:rPr>
              <w:t>Entity merge/split, relationship change, hypothesis status, assessment version</w:t>
            </w:r>
          </w:p>
        </w:tc>
      </w:tr>
      <w:tr>
        <w:tc>
          <w:tcPr>
            <w:tcW w:type="dxa" w:w="2304"/>
            <w:vAlign w:val="center"/>
            <w:tcMar>
              <w:top w:w="90" w:type="dxa"/>
              <w:start w:w="110" w:type="dxa"/>
              <w:bottom w:w="90" w:type="dxa"/>
              <w:end w:w="110" w:type="dxa"/>
            </w:tcMar>
          </w:tcPr>
          <w:p>
            <w:pPr>
              <w:spacing w:after="0"/>
            </w:pPr>
            <w:r>
              <w:rPr>
                <w:sz w:val="17"/>
              </w:rPr>
              <w:t>Dissemination</w:t>
            </w:r>
          </w:p>
        </w:tc>
        <w:tc>
          <w:tcPr>
            <w:tcW w:type="dxa" w:w="7776"/>
            <w:vAlign w:val="center"/>
            <w:tcMar>
              <w:top w:w="90" w:type="dxa"/>
              <w:start w:w="110" w:type="dxa"/>
              <w:bottom w:w="90" w:type="dxa"/>
              <w:end w:w="110" w:type="dxa"/>
            </w:tcMar>
          </w:tcPr>
          <w:p>
            <w:pPr>
              <w:spacing w:after="0"/>
            </w:pPr>
            <w:r>
              <w:rPr>
                <w:sz w:val="17"/>
              </w:rPr>
              <w:t>Preview, approve, export, recipient/purpose</w:t>
            </w:r>
          </w:p>
        </w:tc>
      </w:tr>
      <w:tr>
        <w:tc>
          <w:tcPr>
            <w:tcW w:type="dxa" w:w="2304"/>
            <w:vAlign w:val="center"/>
            <w:tcMar>
              <w:top w:w="90" w:type="dxa"/>
              <w:start w:w="110" w:type="dxa"/>
              <w:bottom w:w="90" w:type="dxa"/>
              <w:end w:w="110" w:type="dxa"/>
            </w:tcMar>
          </w:tcPr>
          <w:p>
            <w:pPr>
              <w:spacing w:after="0"/>
            </w:pPr>
            <w:r>
              <w:rPr>
                <w:sz w:val="17"/>
              </w:rPr>
              <w:t>Administration</w:t>
            </w:r>
          </w:p>
        </w:tc>
        <w:tc>
          <w:tcPr>
            <w:tcW w:type="dxa" w:w="7776"/>
            <w:vAlign w:val="center"/>
            <w:tcMar>
              <w:top w:w="90" w:type="dxa"/>
              <w:start w:w="110" w:type="dxa"/>
              <w:bottom w:w="90" w:type="dxa"/>
              <w:end w:w="110" w:type="dxa"/>
            </w:tcMar>
          </w:tcPr>
          <w:p>
            <w:pPr>
              <w:spacing w:after="0"/>
            </w:pPr>
            <w:r>
              <w:rPr>
                <w:sz w:val="17"/>
              </w:rPr>
              <w:t>Role changes, policy/config changes, key/secrets operations</w:t>
            </w:r>
          </w:p>
        </w:tc>
      </w:tr>
      <w:tr>
        <w:tc>
          <w:tcPr>
            <w:tcW w:type="dxa" w:w="2304"/>
            <w:vAlign w:val="center"/>
            <w:tcMar>
              <w:top w:w="90" w:type="dxa"/>
              <w:start w:w="110" w:type="dxa"/>
              <w:bottom w:w="90" w:type="dxa"/>
              <w:end w:w="110" w:type="dxa"/>
            </w:tcMar>
          </w:tcPr>
          <w:p>
            <w:pPr>
              <w:spacing w:after="0"/>
            </w:pPr>
            <w:r>
              <w:rPr>
                <w:sz w:val="17"/>
              </w:rPr>
              <w:t>Integration</w:t>
            </w:r>
          </w:p>
        </w:tc>
        <w:tc>
          <w:tcPr>
            <w:tcW w:type="dxa" w:w="7776"/>
            <w:vAlign w:val="center"/>
            <w:tcMar>
              <w:top w:w="90" w:type="dxa"/>
              <w:start w:w="110" w:type="dxa"/>
              <w:bottom w:w="90" w:type="dxa"/>
              <w:end w:w="110" w:type="dxa"/>
            </w:tcMar>
          </w:tcPr>
          <w:p>
            <w:pPr>
              <w:spacing w:after="0"/>
            </w:pPr>
            <w:r>
              <w:rPr>
                <w:sz w:val="17"/>
              </w:rPr>
              <w:t>Connector import, bulk API use, failed mapping</w:t>
            </w:r>
          </w:p>
        </w:tc>
      </w:tr>
    </w:tbl>
    <w:p>
      <w:pPr>
        <w:spacing w:after="20"/>
      </w:pPr>
    </w:p>
    <w:p>
      <w:pPr>
        <w:pStyle w:val="Heading2"/>
      </w:pPr>
      <w:r>
        <w:t>20.2 Audit integrity</w:t>
      </w:r>
    </w:p>
    <w:p>
      <w:pPr>
        <w:pStyle w:val="ListBullet"/>
        <w:spacing w:after="40"/>
      </w:pPr>
      <w:r>
        <w:t>Application users SHALL NOT be able to silently modify historical audit events.</w:t>
      </w:r>
    </w:p>
    <w:p>
      <w:pPr>
        <w:pStyle w:val="ListBullet"/>
        <w:spacing w:after="40"/>
      </w:pPr>
      <w:r>
        <w:t>Audit access SHALL be restricted because logs may themselves contain sensitive metadata.</w:t>
      </w:r>
    </w:p>
    <w:p>
      <w:pPr>
        <w:pStyle w:val="ListBullet"/>
        <w:spacing w:after="40"/>
      </w:pPr>
      <w:r>
        <w:t>Clock synchronization SHOULD be maintained across components.</w:t>
      </w:r>
    </w:p>
    <w:p>
      <w:pPr>
        <w:pStyle w:val="ListBullet"/>
        <w:spacing w:after="40"/>
      </w:pPr>
      <w:r>
        <w:t>Audit retention SHALL be longer than transient operational logs where risk requires.</w:t>
      </w:r>
    </w:p>
    <w:p>
      <w:pPr>
        <w:pStyle w:val="ListBullet"/>
        <w:spacing w:after="40"/>
      </w:pPr>
      <w:r>
        <w:t>High-impact events SHOULD be exportable to an independent monitoring or archival system.</w:t>
      </w:r>
    </w:p>
    <w:p>
      <w:pPr>
        <w:pStyle w:val="Heading1"/>
      </w:pPr>
      <w:r>
        <w:t>21. Observability and Operational Monitoring</w:t>
      </w:r>
    </w:p>
    <w:p>
      <w:pPr>
        <w:spacing w:after="100" w:line="259" w:lineRule="auto"/>
      </w:pPr>
      <w:r>
        <w:rPr>
          <w:b w:val="0"/>
          <w:i w:val="0"/>
        </w:rPr>
        <w:t>Operational observability SHOULD distinguish application telemetry from investigative content. Telemetry collection SHALL avoid unnecessary capture of evidence text, source identities, search queries, or document contents.</w:t>
      </w:r>
    </w:p>
    <w:p>
      <w:pPr>
        <w:pStyle w:val="Heading2"/>
      </w:pPr>
      <w:r>
        <w:t>21.1 Signals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vAlign w:val="center"/>
            <w:tcMar>
              <w:top w:w="90" w:type="dxa"/>
              <w:start w:w="110" w:type="dxa"/>
              <w:bottom w:w="90" w:type="dxa"/>
              <w:end w:w="110" w:type="dxa"/>
            </w:tcMar>
          </w:tcPr>
          <w:p>
            <w:r>
              <w:rPr>
                <w:b/>
                <w:color w:val="FFFFFF"/>
                <w:sz w:val="17"/>
              </w:rPr>
              <w:t>Signal</w:t>
            </w:r>
          </w:p>
        </w:tc>
        <w:tc>
          <w:tcPr>
            <w:tcW w:type="dxa" w:w="4896"/>
            <w:shd w:fill="1F4E79"/>
            <w:vAlign w:val="center"/>
            <w:tcMar>
              <w:top w:w="90" w:type="dxa"/>
              <w:start w:w="110" w:type="dxa"/>
              <w:bottom w:w="90" w:type="dxa"/>
              <w:end w:w="110" w:type="dxa"/>
            </w:tcMar>
          </w:tcPr>
          <w:p>
            <w:r>
              <w:rPr>
                <w:b/>
                <w:color w:val="FFFFFF"/>
                <w:sz w:val="17"/>
              </w:rPr>
              <w:t>Examples</w:t>
            </w:r>
          </w:p>
        </w:tc>
        <w:tc>
          <w:tcPr>
            <w:tcW w:type="dxa" w:w="3456"/>
            <w:shd w:fill="1F4E79"/>
            <w:vAlign w:val="center"/>
            <w:tcMar>
              <w:top w:w="90" w:type="dxa"/>
              <w:start w:w="110" w:type="dxa"/>
              <w:bottom w:w="90" w:type="dxa"/>
              <w:end w:w="110" w:type="dxa"/>
            </w:tcMar>
          </w:tcPr>
          <w:p>
            <w:r>
              <w:rPr>
                <w:b/>
                <w:color w:val="FFFFFF"/>
                <w:sz w:val="17"/>
              </w:rPr>
              <w:t>Privacy rule</w:t>
            </w:r>
          </w:p>
        </w:tc>
      </w:tr>
      <w:tr>
        <w:tc>
          <w:tcPr>
            <w:tcW w:type="dxa" w:w="1728"/>
            <w:vAlign w:val="center"/>
            <w:tcMar>
              <w:top w:w="90" w:type="dxa"/>
              <w:start w:w="110" w:type="dxa"/>
              <w:bottom w:w="90" w:type="dxa"/>
              <w:end w:w="110" w:type="dxa"/>
            </w:tcMar>
          </w:tcPr>
          <w:p>
            <w:pPr>
              <w:spacing w:after="0"/>
            </w:pPr>
            <w:r>
              <w:rPr>
                <w:sz w:val="17"/>
              </w:rPr>
              <w:t>Metrics</w:t>
            </w:r>
          </w:p>
        </w:tc>
        <w:tc>
          <w:tcPr>
            <w:tcW w:type="dxa" w:w="4896"/>
            <w:vAlign w:val="center"/>
            <w:tcMar>
              <w:top w:w="90" w:type="dxa"/>
              <w:start w:w="110" w:type="dxa"/>
              <w:bottom w:w="90" w:type="dxa"/>
              <w:end w:w="110" w:type="dxa"/>
            </w:tcMar>
          </w:tcPr>
          <w:p>
            <w:pPr>
              <w:spacing w:after="0"/>
            </w:pPr>
            <w:r>
              <w:rPr>
                <w:sz w:val="17"/>
              </w:rPr>
              <w:t>Request latency, job queue depth, storage use, error rate</w:t>
            </w:r>
          </w:p>
        </w:tc>
        <w:tc>
          <w:tcPr>
            <w:tcW w:type="dxa" w:w="3456"/>
            <w:vAlign w:val="center"/>
            <w:tcMar>
              <w:top w:w="90" w:type="dxa"/>
              <w:start w:w="110" w:type="dxa"/>
              <w:bottom w:w="90" w:type="dxa"/>
              <w:end w:w="110" w:type="dxa"/>
            </w:tcMar>
          </w:tcPr>
          <w:p>
            <w:pPr>
              <w:spacing w:after="0"/>
            </w:pPr>
            <w:r>
              <w:rPr>
                <w:sz w:val="17"/>
              </w:rPr>
              <w:t>No case content in labels</w:t>
            </w:r>
          </w:p>
        </w:tc>
      </w:tr>
      <w:tr>
        <w:tc>
          <w:tcPr>
            <w:tcW w:type="dxa" w:w="1728"/>
            <w:vAlign w:val="center"/>
            <w:tcMar>
              <w:top w:w="90" w:type="dxa"/>
              <w:start w:w="110" w:type="dxa"/>
              <w:bottom w:w="90" w:type="dxa"/>
              <w:end w:w="110" w:type="dxa"/>
            </w:tcMar>
          </w:tcPr>
          <w:p>
            <w:pPr>
              <w:spacing w:after="0"/>
            </w:pPr>
            <w:r>
              <w:rPr>
                <w:sz w:val="17"/>
              </w:rPr>
              <w:t>Logs</w:t>
            </w:r>
          </w:p>
        </w:tc>
        <w:tc>
          <w:tcPr>
            <w:tcW w:type="dxa" w:w="4896"/>
            <w:vAlign w:val="center"/>
            <w:tcMar>
              <w:top w:w="90" w:type="dxa"/>
              <w:start w:w="110" w:type="dxa"/>
              <w:bottom w:w="90" w:type="dxa"/>
              <w:end w:w="110" w:type="dxa"/>
            </w:tcMar>
          </w:tcPr>
          <w:p>
            <w:pPr>
              <w:spacing w:after="0"/>
            </w:pPr>
            <w:r>
              <w:rPr>
                <w:sz w:val="17"/>
              </w:rPr>
              <w:t>Service errors, security events, connector failures</w:t>
            </w:r>
          </w:p>
        </w:tc>
        <w:tc>
          <w:tcPr>
            <w:tcW w:type="dxa" w:w="3456"/>
            <w:vAlign w:val="center"/>
            <w:tcMar>
              <w:top w:w="90" w:type="dxa"/>
              <w:start w:w="110" w:type="dxa"/>
              <w:bottom w:w="90" w:type="dxa"/>
              <w:end w:w="110" w:type="dxa"/>
            </w:tcMar>
          </w:tcPr>
          <w:p>
            <w:pPr>
              <w:spacing w:after="0"/>
            </w:pPr>
            <w:r>
              <w:rPr>
                <w:sz w:val="17"/>
              </w:rPr>
              <w:t>Structured and minimised</w:t>
            </w:r>
          </w:p>
        </w:tc>
      </w:tr>
      <w:tr>
        <w:tc>
          <w:tcPr>
            <w:tcW w:type="dxa" w:w="1728"/>
            <w:vAlign w:val="center"/>
            <w:tcMar>
              <w:top w:w="90" w:type="dxa"/>
              <w:start w:w="110" w:type="dxa"/>
              <w:bottom w:w="90" w:type="dxa"/>
              <w:end w:w="110" w:type="dxa"/>
            </w:tcMar>
          </w:tcPr>
          <w:p>
            <w:pPr>
              <w:spacing w:after="0"/>
            </w:pPr>
            <w:r>
              <w:rPr>
                <w:sz w:val="17"/>
              </w:rPr>
              <w:t>Traces</w:t>
            </w:r>
          </w:p>
        </w:tc>
        <w:tc>
          <w:tcPr>
            <w:tcW w:type="dxa" w:w="4896"/>
            <w:vAlign w:val="center"/>
            <w:tcMar>
              <w:top w:w="90" w:type="dxa"/>
              <w:start w:w="110" w:type="dxa"/>
              <w:bottom w:w="90" w:type="dxa"/>
              <w:end w:w="110" w:type="dxa"/>
            </w:tcMar>
          </w:tcPr>
          <w:p>
            <w:pPr>
              <w:spacing w:after="0"/>
            </w:pPr>
            <w:r>
              <w:rPr>
                <w:sz w:val="17"/>
              </w:rPr>
              <w:t>Cross-service latency and failures</w:t>
            </w:r>
          </w:p>
        </w:tc>
        <w:tc>
          <w:tcPr>
            <w:tcW w:type="dxa" w:w="3456"/>
            <w:vAlign w:val="center"/>
            <w:tcMar>
              <w:top w:w="90" w:type="dxa"/>
              <w:start w:w="110" w:type="dxa"/>
              <w:bottom w:w="90" w:type="dxa"/>
              <w:end w:w="110" w:type="dxa"/>
            </w:tcMar>
          </w:tcPr>
          <w:p>
            <w:pPr>
              <w:spacing w:after="0"/>
            </w:pPr>
            <w:r>
              <w:rPr>
                <w:sz w:val="17"/>
              </w:rPr>
              <w:t>Avoid sensitive payloads</w:t>
            </w:r>
          </w:p>
        </w:tc>
      </w:tr>
      <w:tr>
        <w:tc>
          <w:tcPr>
            <w:tcW w:type="dxa" w:w="1728"/>
            <w:vAlign w:val="center"/>
            <w:tcMar>
              <w:top w:w="90" w:type="dxa"/>
              <w:start w:w="110" w:type="dxa"/>
              <w:bottom w:w="90" w:type="dxa"/>
              <w:end w:w="110" w:type="dxa"/>
            </w:tcMar>
          </w:tcPr>
          <w:p>
            <w:pPr>
              <w:spacing w:after="0"/>
            </w:pPr>
            <w:r>
              <w:rPr>
                <w:sz w:val="17"/>
              </w:rPr>
              <w:t>Health checks</w:t>
            </w:r>
          </w:p>
        </w:tc>
        <w:tc>
          <w:tcPr>
            <w:tcW w:type="dxa" w:w="4896"/>
            <w:vAlign w:val="center"/>
            <w:tcMar>
              <w:top w:w="90" w:type="dxa"/>
              <w:start w:w="110" w:type="dxa"/>
              <w:bottom w:w="90" w:type="dxa"/>
              <w:end w:w="110" w:type="dxa"/>
            </w:tcMar>
          </w:tcPr>
          <w:p>
            <w:pPr>
              <w:spacing w:after="0"/>
            </w:pPr>
            <w:r>
              <w:rPr>
                <w:sz w:val="17"/>
              </w:rPr>
              <w:t>Database, object store, index, queue</w:t>
            </w:r>
          </w:p>
        </w:tc>
        <w:tc>
          <w:tcPr>
            <w:tcW w:type="dxa" w:w="3456"/>
            <w:vAlign w:val="center"/>
            <w:tcMar>
              <w:top w:w="90" w:type="dxa"/>
              <w:start w:w="110" w:type="dxa"/>
              <w:bottom w:w="90" w:type="dxa"/>
              <w:end w:w="110" w:type="dxa"/>
            </w:tcMar>
          </w:tcPr>
          <w:p>
            <w:pPr>
              <w:spacing w:after="0"/>
            </w:pPr>
            <w:r>
              <w:rPr>
                <w:sz w:val="17"/>
              </w:rPr>
              <w:t>No sensitive data</w:t>
            </w:r>
          </w:p>
        </w:tc>
      </w:tr>
      <w:tr>
        <w:tc>
          <w:tcPr>
            <w:tcW w:type="dxa" w:w="1728"/>
            <w:vAlign w:val="center"/>
            <w:tcMar>
              <w:top w:w="90" w:type="dxa"/>
              <w:start w:w="110" w:type="dxa"/>
              <w:bottom w:w="90" w:type="dxa"/>
              <w:end w:w="110" w:type="dxa"/>
            </w:tcMar>
          </w:tcPr>
          <w:p>
            <w:pPr>
              <w:spacing w:after="0"/>
            </w:pPr>
            <w:r>
              <w:rPr>
                <w:sz w:val="17"/>
              </w:rPr>
              <w:t>Business controls</w:t>
            </w:r>
          </w:p>
        </w:tc>
        <w:tc>
          <w:tcPr>
            <w:tcW w:type="dxa" w:w="4896"/>
            <w:vAlign w:val="center"/>
            <w:tcMar>
              <w:top w:w="90" w:type="dxa"/>
              <w:start w:w="110" w:type="dxa"/>
              <w:bottom w:w="90" w:type="dxa"/>
              <w:end w:w="110" w:type="dxa"/>
            </w:tcMar>
          </w:tcPr>
          <w:p>
            <w:pPr>
              <w:spacing w:after="0"/>
            </w:pPr>
            <w:r>
              <w:rPr>
                <w:sz w:val="17"/>
              </w:rPr>
              <w:t>Pending review age, failed backup test</w:t>
            </w:r>
          </w:p>
        </w:tc>
        <w:tc>
          <w:tcPr>
            <w:tcW w:type="dxa" w:w="3456"/>
            <w:vAlign w:val="center"/>
            <w:tcMar>
              <w:top w:w="90" w:type="dxa"/>
              <w:start w:w="110" w:type="dxa"/>
              <w:bottom w:w="90" w:type="dxa"/>
              <w:end w:w="110" w:type="dxa"/>
            </w:tcMar>
          </w:tcPr>
          <w:p>
            <w:pPr>
              <w:spacing w:after="0"/>
            </w:pPr>
            <w:r>
              <w:rPr>
                <w:sz w:val="17"/>
              </w:rPr>
              <w:t>Aggregate when possible</w:t>
            </w:r>
          </w:p>
        </w:tc>
      </w:tr>
    </w:tbl>
    <w:p>
      <w:pPr>
        <w:spacing w:after="20"/>
      </w:pPr>
    </w:p>
    <w:p>
      <w:pPr>
        <w:spacing w:after="100" w:line="259" w:lineRule="auto"/>
      </w:pPr>
      <w:r>
        <w:rPr>
          <w:b w:val="0"/>
          <w:i w:val="0"/>
        </w:rPr>
        <w:t>OpenTelemetry or equivalent vendor-neutral instrumentation MAY be used; the normative requirement is consistent, privacy-aware telemetry that supports troubleshooting and assurance.</w:t>
      </w:r>
    </w:p>
    <w:p>
      <w:pPr>
        <w:pStyle w:val="Heading1"/>
      </w:pPr>
      <w:r>
        <w:t>22. Reliability, Backup, and Disaster Recovery</w:t>
      </w:r>
    </w:p>
    <w:p>
      <w:pPr>
        <w:pStyle w:val="Heading2"/>
      </w:pPr>
      <w:r>
        <w:t>22.1 Data criticality</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vAlign w:val="center"/>
            <w:tcMar>
              <w:top w:w="90" w:type="dxa"/>
              <w:start w:w="110" w:type="dxa"/>
              <w:bottom w:w="90" w:type="dxa"/>
              <w:end w:w="110" w:type="dxa"/>
            </w:tcMar>
          </w:tcPr>
          <w:p>
            <w:r>
              <w:rPr>
                <w:b/>
                <w:color w:val="FFFFFF"/>
                <w:sz w:val="17"/>
              </w:rPr>
              <w:t>Class</w:t>
            </w:r>
          </w:p>
        </w:tc>
        <w:tc>
          <w:tcPr>
            <w:tcW w:type="dxa" w:w="5472"/>
            <w:shd w:fill="1F4E79"/>
            <w:vAlign w:val="center"/>
            <w:tcMar>
              <w:top w:w="90" w:type="dxa"/>
              <w:start w:w="110" w:type="dxa"/>
              <w:bottom w:w="90" w:type="dxa"/>
              <w:end w:w="110" w:type="dxa"/>
            </w:tcMar>
          </w:tcPr>
          <w:p>
            <w:r>
              <w:rPr>
                <w:b/>
                <w:color w:val="FFFFFF"/>
                <w:sz w:val="17"/>
              </w:rPr>
              <w:t>Examples</w:t>
            </w:r>
          </w:p>
        </w:tc>
        <w:tc>
          <w:tcPr>
            <w:tcW w:type="dxa" w:w="2880"/>
            <w:shd w:fill="1F4E79"/>
            <w:vAlign w:val="center"/>
            <w:tcMar>
              <w:top w:w="90" w:type="dxa"/>
              <w:start w:w="110" w:type="dxa"/>
              <w:bottom w:w="90" w:type="dxa"/>
              <w:end w:w="110" w:type="dxa"/>
            </w:tcMar>
          </w:tcPr>
          <w:p>
            <w:r>
              <w:rPr>
                <w:b/>
                <w:color w:val="FFFFFF"/>
                <w:sz w:val="17"/>
              </w:rPr>
              <w:t>Recovery priority</w:t>
            </w:r>
          </w:p>
        </w:tc>
      </w:tr>
      <w:tr>
        <w:tc>
          <w:tcPr>
            <w:tcW w:type="dxa" w:w="1728"/>
            <w:vAlign w:val="center"/>
            <w:tcMar>
              <w:top w:w="90" w:type="dxa"/>
              <w:start w:w="110" w:type="dxa"/>
              <w:bottom w:w="90" w:type="dxa"/>
              <w:end w:w="110" w:type="dxa"/>
            </w:tcMar>
          </w:tcPr>
          <w:p>
            <w:pPr>
              <w:spacing w:after="0"/>
            </w:pPr>
            <w:r>
              <w:rPr>
                <w:sz w:val="17"/>
              </w:rPr>
              <w:t>Tier 0</w:t>
            </w:r>
          </w:p>
        </w:tc>
        <w:tc>
          <w:tcPr>
            <w:tcW w:type="dxa" w:w="5472"/>
            <w:vAlign w:val="center"/>
            <w:tcMar>
              <w:top w:w="90" w:type="dxa"/>
              <w:start w:w="110" w:type="dxa"/>
              <w:bottom w:w="90" w:type="dxa"/>
              <w:end w:w="110" w:type="dxa"/>
            </w:tcMar>
          </w:tcPr>
          <w:p>
            <w:pPr>
              <w:spacing w:after="0"/>
            </w:pPr>
            <w:r>
              <w:rPr>
                <w:sz w:val="17"/>
              </w:rPr>
              <w:t>Keys/secrets necessary to decrypt backups</w:t>
            </w:r>
          </w:p>
        </w:tc>
        <w:tc>
          <w:tcPr>
            <w:tcW w:type="dxa" w:w="2880"/>
            <w:vAlign w:val="center"/>
            <w:tcMar>
              <w:top w:w="90" w:type="dxa"/>
              <w:start w:w="110" w:type="dxa"/>
              <w:bottom w:w="90" w:type="dxa"/>
              <w:end w:w="110" w:type="dxa"/>
            </w:tcMar>
          </w:tcPr>
          <w:p>
            <w:pPr>
              <w:spacing w:after="0"/>
            </w:pPr>
            <w:r>
              <w:rPr>
                <w:sz w:val="17"/>
              </w:rPr>
              <w:t>Critical</w:t>
            </w:r>
          </w:p>
        </w:tc>
      </w:tr>
      <w:tr>
        <w:tc>
          <w:tcPr>
            <w:tcW w:type="dxa" w:w="1728"/>
            <w:vAlign w:val="center"/>
            <w:tcMar>
              <w:top w:w="90" w:type="dxa"/>
              <w:start w:w="110" w:type="dxa"/>
              <w:bottom w:w="90" w:type="dxa"/>
              <w:end w:w="110" w:type="dxa"/>
            </w:tcMar>
          </w:tcPr>
          <w:p>
            <w:pPr>
              <w:spacing w:after="0"/>
            </w:pPr>
            <w:r>
              <w:rPr>
                <w:sz w:val="17"/>
              </w:rPr>
              <w:t>Tier 1</w:t>
            </w:r>
          </w:p>
        </w:tc>
        <w:tc>
          <w:tcPr>
            <w:tcW w:type="dxa" w:w="5472"/>
            <w:vAlign w:val="center"/>
            <w:tcMar>
              <w:top w:w="90" w:type="dxa"/>
              <w:start w:w="110" w:type="dxa"/>
              <w:bottom w:w="90" w:type="dxa"/>
              <w:end w:w="110" w:type="dxa"/>
            </w:tcMar>
          </w:tcPr>
          <w:p>
            <w:pPr>
              <w:spacing w:after="0"/>
            </w:pPr>
            <w:r>
              <w:rPr>
                <w:sz w:val="17"/>
              </w:rPr>
              <w:t>Canonical database, evidence object store, audit store</w:t>
            </w:r>
          </w:p>
        </w:tc>
        <w:tc>
          <w:tcPr>
            <w:tcW w:type="dxa" w:w="2880"/>
            <w:vAlign w:val="center"/>
            <w:tcMar>
              <w:top w:w="90" w:type="dxa"/>
              <w:start w:w="110" w:type="dxa"/>
              <w:bottom w:w="90" w:type="dxa"/>
              <w:end w:w="110" w:type="dxa"/>
            </w:tcMar>
          </w:tcPr>
          <w:p>
            <w:pPr>
              <w:spacing w:after="0"/>
            </w:pPr>
            <w:r>
              <w:rPr>
                <w:sz w:val="17"/>
              </w:rPr>
              <w:t>Highest</w:t>
            </w:r>
          </w:p>
        </w:tc>
      </w:tr>
      <w:tr>
        <w:tc>
          <w:tcPr>
            <w:tcW w:type="dxa" w:w="1728"/>
            <w:vAlign w:val="center"/>
            <w:tcMar>
              <w:top w:w="90" w:type="dxa"/>
              <w:start w:w="110" w:type="dxa"/>
              <w:bottom w:w="90" w:type="dxa"/>
              <w:end w:w="110" w:type="dxa"/>
            </w:tcMar>
          </w:tcPr>
          <w:p>
            <w:pPr>
              <w:spacing w:after="0"/>
            </w:pPr>
            <w:r>
              <w:rPr>
                <w:sz w:val="17"/>
              </w:rPr>
              <w:t>Tier 2</w:t>
            </w:r>
          </w:p>
        </w:tc>
        <w:tc>
          <w:tcPr>
            <w:tcW w:type="dxa" w:w="5472"/>
            <w:vAlign w:val="center"/>
            <w:tcMar>
              <w:top w:w="90" w:type="dxa"/>
              <w:start w:w="110" w:type="dxa"/>
              <w:bottom w:w="90" w:type="dxa"/>
              <w:end w:w="110" w:type="dxa"/>
            </w:tcMar>
          </w:tcPr>
          <w:p>
            <w:pPr>
              <w:spacing w:after="0"/>
            </w:pPr>
            <w:r>
              <w:rPr>
                <w:sz w:val="17"/>
              </w:rPr>
              <w:t>Approved intelligence products, configuration</w:t>
            </w:r>
          </w:p>
        </w:tc>
        <w:tc>
          <w:tcPr>
            <w:tcW w:type="dxa" w:w="2880"/>
            <w:vAlign w:val="center"/>
            <w:tcMar>
              <w:top w:w="90" w:type="dxa"/>
              <w:start w:w="110" w:type="dxa"/>
              <w:bottom w:w="90" w:type="dxa"/>
              <w:end w:w="110" w:type="dxa"/>
            </w:tcMar>
          </w:tcPr>
          <w:p>
            <w:pPr>
              <w:spacing w:after="0"/>
            </w:pPr>
            <w:r>
              <w:rPr>
                <w:sz w:val="17"/>
              </w:rPr>
              <w:t>High</w:t>
            </w:r>
          </w:p>
        </w:tc>
      </w:tr>
      <w:tr>
        <w:tc>
          <w:tcPr>
            <w:tcW w:type="dxa" w:w="1728"/>
            <w:vAlign w:val="center"/>
            <w:tcMar>
              <w:top w:w="90" w:type="dxa"/>
              <w:start w:w="110" w:type="dxa"/>
              <w:bottom w:w="90" w:type="dxa"/>
              <w:end w:w="110" w:type="dxa"/>
            </w:tcMar>
          </w:tcPr>
          <w:p>
            <w:pPr>
              <w:spacing w:after="0"/>
            </w:pPr>
            <w:r>
              <w:rPr>
                <w:sz w:val="17"/>
              </w:rPr>
              <w:t>Tier 3</w:t>
            </w:r>
          </w:p>
        </w:tc>
        <w:tc>
          <w:tcPr>
            <w:tcW w:type="dxa" w:w="5472"/>
            <w:vAlign w:val="center"/>
            <w:tcMar>
              <w:top w:w="90" w:type="dxa"/>
              <w:start w:w="110" w:type="dxa"/>
              <w:bottom w:w="90" w:type="dxa"/>
              <w:end w:w="110" w:type="dxa"/>
            </w:tcMar>
          </w:tcPr>
          <w:p>
            <w:pPr>
              <w:spacing w:after="0"/>
            </w:pPr>
            <w:r>
              <w:rPr>
                <w:sz w:val="17"/>
              </w:rPr>
              <w:t>Search/graph indexes</w:t>
            </w:r>
          </w:p>
        </w:tc>
        <w:tc>
          <w:tcPr>
            <w:tcW w:type="dxa" w:w="2880"/>
            <w:vAlign w:val="center"/>
            <w:tcMar>
              <w:top w:w="90" w:type="dxa"/>
              <w:start w:w="110" w:type="dxa"/>
              <w:bottom w:w="90" w:type="dxa"/>
              <w:end w:w="110" w:type="dxa"/>
            </w:tcMar>
          </w:tcPr>
          <w:p>
            <w:pPr>
              <w:spacing w:after="0"/>
            </w:pPr>
            <w:r>
              <w:rPr>
                <w:sz w:val="17"/>
              </w:rPr>
              <w:t>Rebuildable</w:t>
            </w:r>
          </w:p>
        </w:tc>
      </w:tr>
      <w:tr>
        <w:tc>
          <w:tcPr>
            <w:tcW w:type="dxa" w:w="1728"/>
            <w:vAlign w:val="center"/>
            <w:tcMar>
              <w:top w:w="90" w:type="dxa"/>
              <w:start w:w="110" w:type="dxa"/>
              <w:bottom w:w="90" w:type="dxa"/>
              <w:end w:w="110" w:type="dxa"/>
            </w:tcMar>
          </w:tcPr>
          <w:p>
            <w:pPr>
              <w:spacing w:after="0"/>
            </w:pPr>
            <w:r>
              <w:rPr>
                <w:sz w:val="17"/>
              </w:rPr>
              <w:t>Tier 4</w:t>
            </w:r>
          </w:p>
        </w:tc>
        <w:tc>
          <w:tcPr>
            <w:tcW w:type="dxa" w:w="5472"/>
            <w:vAlign w:val="center"/>
            <w:tcMar>
              <w:top w:w="90" w:type="dxa"/>
              <w:start w:w="110" w:type="dxa"/>
              <w:bottom w:w="90" w:type="dxa"/>
              <w:end w:w="110" w:type="dxa"/>
            </w:tcMar>
          </w:tcPr>
          <w:p>
            <w:pPr>
              <w:spacing w:after="0"/>
            </w:pPr>
            <w:r>
              <w:rPr>
                <w:sz w:val="17"/>
              </w:rPr>
              <w:t>Caches, transient jobs</w:t>
            </w:r>
          </w:p>
        </w:tc>
        <w:tc>
          <w:tcPr>
            <w:tcW w:type="dxa" w:w="2880"/>
            <w:vAlign w:val="center"/>
            <w:tcMar>
              <w:top w:w="90" w:type="dxa"/>
              <w:start w:w="110" w:type="dxa"/>
              <w:bottom w:w="90" w:type="dxa"/>
              <w:end w:w="110" w:type="dxa"/>
            </w:tcMar>
          </w:tcPr>
          <w:p>
            <w:pPr>
              <w:spacing w:after="0"/>
            </w:pPr>
            <w:r>
              <w:rPr>
                <w:sz w:val="17"/>
              </w:rPr>
              <w:t>Lowest</w:t>
            </w:r>
          </w:p>
        </w:tc>
      </w:tr>
    </w:tbl>
    <w:p>
      <w:pPr>
        <w:spacing w:after="20"/>
      </w:pPr>
    </w:p>
    <w:p>
      <w:pPr>
        <w:pStyle w:val="Heading2"/>
      </w:pPr>
      <w:r>
        <w:t>22.2 Backup requirements</w:t>
      </w:r>
    </w:p>
    <w:p>
      <w:pPr>
        <w:pStyle w:val="ListBullet"/>
        <w:spacing w:after="40"/>
      </w:pPr>
      <w:r>
        <w:t>Canonical data and evidence SHALL be backed up according to documented RPO/RTO targets.</w:t>
      </w:r>
    </w:p>
    <w:p>
      <w:pPr>
        <w:pStyle w:val="ListBullet"/>
        <w:spacing w:after="40"/>
      </w:pPr>
      <w:r>
        <w:t>At least one backup copy SHOULD be logically isolated from the primary environment.</w:t>
      </w:r>
    </w:p>
    <w:p>
      <w:pPr>
        <w:pStyle w:val="ListBullet"/>
        <w:spacing w:after="40"/>
      </w:pPr>
      <w:r>
        <w:t>Restore tests SHALL be performed periodically; a successful backup job is not proof of recoverability.</w:t>
      </w:r>
    </w:p>
    <w:p>
      <w:pPr>
        <w:pStyle w:val="ListBullet"/>
        <w:spacing w:after="40"/>
      </w:pPr>
      <w:r>
        <w:t>Backups SHALL inherit sensitivity protections.</w:t>
      </w:r>
    </w:p>
    <w:p>
      <w:pPr>
        <w:pStyle w:val="ListBullet"/>
        <w:spacing w:after="40"/>
      </w:pPr>
      <w:r>
        <w:t>Deletion/retention policy SHALL address backup copies, including realistic delayed deletion where immediate purge is technically infeasible.</w:t>
      </w:r>
    </w:p>
    <w:p>
      <w:pPr>
        <w:pStyle w:val="Heading2"/>
      </w:pPr>
      <w:r>
        <w:t>22.3 Example recovery profiles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shd w:fill="1F4E79"/>
            <w:vAlign w:val="center"/>
            <w:tcMar>
              <w:top w:w="90" w:type="dxa"/>
              <w:start w:w="110" w:type="dxa"/>
              <w:bottom w:w="90" w:type="dxa"/>
              <w:end w:w="110" w:type="dxa"/>
            </w:tcMar>
          </w:tcPr>
          <w:p>
            <w:r>
              <w:rPr>
                <w:b/>
                <w:color w:val="FFFFFF"/>
                <w:sz w:val="17"/>
              </w:rPr>
              <w:t>Profile</w:t>
            </w:r>
          </w:p>
        </w:tc>
        <w:tc>
          <w:tcPr>
            <w:tcW w:type="dxa" w:w="2160"/>
            <w:shd w:fill="1F4E79"/>
            <w:vAlign w:val="center"/>
            <w:tcMar>
              <w:top w:w="90" w:type="dxa"/>
              <w:start w:w="110" w:type="dxa"/>
              <w:bottom w:w="90" w:type="dxa"/>
              <w:end w:w="110" w:type="dxa"/>
            </w:tcMar>
          </w:tcPr>
          <w:p>
            <w:r>
              <w:rPr>
                <w:b/>
                <w:color w:val="FFFFFF"/>
                <w:sz w:val="17"/>
              </w:rPr>
              <w:t>Indicative RPO</w:t>
            </w:r>
          </w:p>
        </w:tc>
        <w:tc>
          <w:tcPr>
            <w:tcW w:type="dxa" w:w="2160"/>
            <w:shd w:fill="1F4E79"/>
            <w:vAlign w:val="center"/>
            <w:tcMar>
              <w:top w:w="90" w:type="dxa"/>
              <w:start w:w="110" w:type="dxa"/>
              <w:bottom w:w="90" w:type="dxa"/>
              <w:end w:w="110" w:type="dxa"/>
            </w:tcMar>
          </w:tcPr>
          <w:p>
            <w:r>
              <w:rPr>
                <w:b/>
                <w:color w:val="FFFFFF"/>
                <w:sz w:val="17"/>
              </w:rPr>
              <w:t>Indicative RTO</w:t>
            </w:r>
          </w:p>
        </w:tc>
        <w:tc>
          <w:tcPr>
            <w:tcW w:type="dxa" w:w="4320"/>
            <w:shd w:fill="1F4E79"/>
            <w:vAlign w:val="center"/>
            <w:tcMar>
              <w:top w:w="90" w:type="dxa"/>
              <w:start w:w="110" w:type="dxa"/>
              <w:bottom w:w="90" w:type="dxa"/>
              <w:end w:w="110" w:type="dxa"/>
            </w:tcMar>
          </w:tcPr>
          <w:p>
            <w:r>
              <w:rPr>
                <w:b/>
                <w:color w:val="FFFFFF"/>
                <w:sz w:val="17"/>
              </w:rPr>
              <w:t>Suitable context</w:t>
            </w:r>
          </w:p>
        </w:tc>
      </w:tr>
      <w:tr>
        <w:tc>
          <w:tcPr>
            <w:tcW w:type="dxa" w:w="1872"/>
            <w:vAlign w:val="center"/>
            <w:tcMar>
              <w:top w:w="90" w:type="dxa"/>
              <w:start w:w="110" w:type="dxa"/>
              <w:bottom w:w="90" w:type="dxa"/>
              <w:end w:w="110" w:type="dxa"/>
            </w:tcMar>
          </w:tcPr>
          <w:p>
            <w:pPr>
              <w:spacing w:after="0"/>
            </w:pPr>
            <w:r>
              <w:rPr>
                <w:sz w:val="17"/>
              </w:rPr>
              <w:t>Small CSO</w:t>
            </w:r>
          </w:p>
        </w:tc>
        <w:tc>
          <w:tcPr>
            <w:tcW w:type="dxa" w:w="2160"/>
            <w:vAlign w:val="center"/>
            <w:tcMar>
              <w:top w:w="90" w:type="dxa"/>
              <w:start w:w="110" w:type="dxa"/>
              <w:bottom w:w="90" w:type="dxa"/>
              <w:end w:w="110" w:type="dxa"/>
            </w:tcMar>
          </w:tcPr>
          <w:p>
            <w:pPr>
              <w:spacing w:after="0"/>
            </w:pPr>
            <w:r>
              <w:rPr>
                <w:sz w:val="17"/>
              </w:rPr>
              <w:t>24 hours</w:t>
            </w:r>
          </w:p>
        </w:tc>
        <w:tc>
          <w:tcPr>
            <w:tcW w:type="dxa" w:w="2160"/>
            <w:vAlign w:val="center"/>
            <w:tcMar>
              <w:top w:w="90" w:type="dxa"/>
              <w:start w:w="110" w:type="dxa"/>
              <w:bottom w:w="90" w:type="dxa"/>
              <w:end w:w="110" w:type="dxa"/>
            </w:tcMar>
          </w:tcPr>
          <w:p>
            <w:pPr>
              <w:spacing w:after="0"/>
            </w:pPr>
            <w:r>
              <w:rPr>
                <w:sz w:val="17"/>
              </w:rPr>
              <w:t>1-3 days</w:t>
            </w:r>
          </w:p>
        </w:tc>
        <w:tc>
          <w:tcPr>
            <w:tcW w:type="dxa" w:w="4320"/>
            <w:vAlign w:val="center"/>
            <w:tcMar>
              <w:top w:w="90" w:type="dxa"/>
              <w:start w:w="110" w:type="dxa"/>
              <w:bottom w:w="90" w:type="dxa"/>
              <w:end w:w="110" w:type="dxa"/>
            </w:tcMar>
          </w:tcPr>
          <w:p>
            <w:pPr>
              <w:spacing w:after="0"/>
            </w:pPr>
            <w:r>
              <w:rPr>
                <w:sz w:val="17"/>
              </w:rPr>
              <w:t>Low transaction volume, single team</w:t>
            </w:r>
          </w:p>
        </w:tc>
      </w:tr>
      <w:tr>
        <w:tc>
          <w:tcPr>
            <w:tcW w:type="dxa" w:w="1872"/>
            <w:vAlign w:val="center"/>
            <w:tcMar>
              <w:top w:w="90" w:type="dxa"/>
              <w:start w:w="110" w:type="dxa"/>
              <w:bottom w:w="90" w:type="dxa"/>
              <w:end w:w="110" w:type="dxa"/>
            </w:tcMar>
          </w:tcPr>
          <w:p>
            <w:pPr>
              <w:spacing w:after="0"/>
            </w:pPr>
            <w:r>
              <w:rPr>
                <w:sz w:val="17"/>
              </w:rPr>
              <w:t>Operational</w:t>
            </w:r>
          </w:p>
        </w:tc>
        <w:tc>
          <w:tcPr>
            <w:tcW w:type="dxa" w:w="2160"/>
            <w:vAlign w:val="center"/>
            <w:tcMar>
              <w:top w:w="90" w:type="dxa"/>
              <w:start w:w="110" w:type="dxa"/>
              <w:bottom w:w="90" w:type="dxa"/>
              <w:end w:w="110" w:type="dxa"/>
            </w:tcMar>
          </w:tcPr>
          <w:p>
            <w:pPr>
              <w:spacing w:after="0"/>
            </w:pPr>
            <w:r>
              <w:rPr>
                <w:sz w:val="17"/>
              </w:rPr>
              <w:t>4 hours</w:t>
            </w:r>
          </w:p>
        </w:tc>
        <w:tc>
          <w:tcPr>
            <w:tcW w:type="dxa" w:w="2160"/>
            <w:vAlign w:val="center"/>
            <w:tcMar>
              <w:top w:w="90" w:type="dxa"/>
              <w:start w:w="110" w:type="dxa"/>
              <w:bottom w:w="90" w:type="dxa"/>
              <w:end w:w="110" w:type="dxa"/>
            </w:tcMar>
          </w:tcPr>
          <w:p>
            <w:pPr>
              <w:spacing w:after="0"/>
            </w:pPr>
            <w:r>
              <w:rPr>
                <w:sz w:val="17"/>
              </w:rPr>
              <w:t>8-24 hours</w:t>
            </w:r>
          </w:p>
        </w:tc>
        <w:tc>
          <w:tcPr>
            <w:tcW w:type="dxa" w:w="4320"/>
            <w:vAlign w:val="center"/>
            <w:tcMar>
              <w:top w:w="90" w:type="dxa"/>
              <w:start w:w="110" w:type="dxa"/>
              <w:bottom w:w="90" w:type="dxa"/>
              <w:end w:w="110" w:type="dxa"/>
            </w:tcMar>
          </w:tcPr>
          <w:p>
            <w:pPr>
              <w:spacing w:after="0"/>
            </w:pPr>
            <w:r>
              <w:rPr>
                <w:sz w:val="17"/>
              </w:rPr>
              <w:t>Active investigations, multiple analysts</w:t>
            </w:r>
          </w:p>
        </w:tc>
      </w:tr>
      <w:tr>
        <w:tc>
          <w:tcPr>
            <w:tcW w:type="dxa" w:w="1872"/>
            <w:vAlign w:val="center"/>
            <w:tcMar>
              <w:top w:w="90" w:type="dxa"/>
              <w:start w:w="110" w:type="dxa"/>
              <w:bottom w:w="90" w:type="dxa"/>
              <w:end w:w="110" w:type="dxa"/>
            </w:tcMar>
          </w:tcPr>
          <w:p>
            <w:pPr>
              <w:spacing w:after="0"/>
            </w:pPr>
            <w:r>
              <w:rPr>
                <w:sz w:val="17"/>
              </w:rPr>
              <w:t>High resilience</w:t>
            </w:r>
          </w:p>
        </w:tc>
        <w:tc>
          <w:tcPr>
            <w:tcW w:type="dxa" w:w="2160"/>
            <w:vAlign w:val="center"/>
            <w:tcMar>
              <w:top w:w="90" w:type="dxa"/>
              <w:start w:w="110" w:type="dxa"/>
              <w:bottom w:w="90" w:type="dxa"/>
              <w:end w:w="110" w:type="dxa"/>
            </w:tcMar>
          </w:tcPr>
          <w:p>
            <w:pPr>
              <w:spacing w:after="0"/>
            </w:pPr>
            <w:r>
              <w:rPr>
                <w:sz w:val="17"/>
              </w:rPr>
              <w:t>&lt;=1 hour</w:t>
            </w:r>
          </w:p>
        </w:tc>
        <w:tc>
          <w:tcPr>
            <w:tcW w:type="dxa" w:w="2160"/>
            <w:vAlign w:val="center"/>
            <w:tcMar>
              <w:top w:w="90" w:type="dxa"/>
              <w:start w:w="110" w:type="dxa"/>
              <w:bottom w:w="90" w:type="dxa"/>
              <w:end w:w="110" w:type="dxa"/>
            </w:tcMar>
          </w:tcPr>
          <w:p>
            <w:pPr>
              <w:spacing w:after="0"/>
            </w:pPr>
            <w:r>
              <w:rPr>
                <w:sz w:val="17"/>
              </w:rPr>
              <w:t>&lt;=4 hours</w:t>
            </w:r>
          </w:p>
        </w:tc>
        <w:tc>
          <w:tcPr>
            <w:tcW w:type="dxa" w:w="4320"/>
            <w:vAlign w:val="center"/>
            <w:tcMar>
              <w:top w:w="90" w:type="dxa"/>
              <w:start w:w="110" w:type="dxa"/>
              <w:bottom w:w="90" w:type="dxa"/>
              <w:end w:w="110" w:type="dxa"/>
            </w:tcMar>
          </w:tcPr>
          <w:p>
            <w:pPr>
              <w:spacing w:after="0"/>
            </w:pPr>
            <w:r>
              <w:rPr>
                <w:sz w:val="17"/>
              </w:rPr>
              <w:t>Time-sensitive/high-risk investigations</w:t>
            </w:r>
          </w:p>
        </w:tc>
      </w:tr>
    </w:tbl>
    <w:p>
      <w:pPr>
        <w:spacing w:after="20"/>
      </w:pPr>
    </w:p>
    <w:p>
      <w:pPr>
        <w:spacing w:after="100" w:line="259" w:lineRule="auto"/>
      </w:pPr>
      <w:r>
        <w:rPr>
          <w:b w:val="0"/>
          <w:i w:val="0"/>
        </w:rPr>
        <w:t>Values above are reference examples, not normative universal targets. Organisations SHALL set targets based on harm, resources, and operational need.</w:t>
      </w:r>
    </w:p>
    <w:p>
      <w:pPr>
        <w:pStyle w:val="Heading1"/>
      </w:pPr>
      <w:r>
        <w:t>23. Deployment Models</w:t>
      </w:r>
    </w:p>
    <w:p>
      <w:pPr>
        <w:pStyle w:val="Heading2"/>
      </w:pPr>
      <w:r>
        <w:t>23.1 Model A - Single-node secure deployment</w:t>
      </w:r>
    </w:p>
    <w:p>
      <w:pPr>
        <w:spacing w:after="100" w:line="259" w:lineRule="auto"/>
      </w:pPr>
      <w:r>
        <w:rPr>
          <w:b w:val="0"/>
          <w:i w:val="0"/>
        </w:rPr>
        <w:t>Suitable for small organisations. Application, database, search/graph projections, and object storage may run on one hardened server or small virtual environment. Logical separation, backups, and least privilege remain required.</w:t>
      </w:r>
    </w:p>
    <w:p>
      <w:pPr>
        <w:pStyle w:val="Heading2"/>
      </w:pPr>
      <w:r>
        <w:t>23.2 Model B - Segmented self-hosted deployment</w:t>
      </w:r>
    </w:p>
    <w:p>
      <w:pPr>
        <w:pStyle w:val="CodeBlock"/>
        <w:shd w:fill="F7F8FA"/>
      </w:pPr>
      <w:r>
        <w:t>Internet / VPN</w:t>
        <w:br/>
        <w:t xml:space="preserve">     |</w:t>
        <w:br/>
        <w:t>Reverse Proxy / WAF</w:t>
        <w:br/>
        <w:t xml:space="preserve">     |</w:t>
        <w:br/>
        <w:t>Application Tier</w:t>
        <w:br/>
        <w:t xml:space="preserve">  |       |</w:t>
        <w:br/>
        <w:t>DB      Worker</w:t>
        <w:br/>
        <w:t xml:space="preserve">  |       |</w:t>
        <w:br/>
        <w:t>Object  Search/Graph</w:t>
        <w:br/>
        <w:t>Storage</w:t>
        <w:br/>
        <w:t xml:space="preserve">     |</w:t>
        <w:br/>
        <w:t>Backup / Audit archive</w:t>
      </w:r>
    </w:p>
    <w:p>
      <w:pPr>
        <w:pStyle w:val="Heading2"/>
      </w:pPr>
      <w:r>
        <w:t>23.3 Model C - Managed cloud deployment</w:t>
      </w:r>
    </w:p>
    <w:p>
      <w:pPr>
        <w:spacing w:after="100" w:line="259" w:lineRule="auto"/>
      </w:pPr>
      <w:r>
        <w:rPr>
          <w:b w:val="0"/>
          <w:i w:val="0"/>
        </w:rPr>
        <w:t>Managed databases/object stores MAY be used where legal, risk, contractual, and threat-model considerations are acceptable. Provider access, encryption, location, backup, identity federation, and incident response responsibilities SHALL be documented.</w:t>
      </w:r>
    </w:p>
    <w:p>
      <w:pPr>
        <w:pStyle w:val="Heading2"/>
      </w:pPr>
      <w:r>
        <w:t>23.4 Model D - High-risk isolated deployment</w:t>
      </w:r>
    </w:p>
    <w:p>
      <w:pPr>
        <w:spacing w:after="100" w:line="259" w:lineRule="auto"/>
      </w:pPr>
      <w:r>
        <w:rPr>
          <w:b w:val="0"/>
          <w:i w:val="0"/>
        </w:rPr>
        <w:t>For especially sensitive work, organisations MAY use isolated or tightly controlled environments, separate source-protection stores, restricted egress, hardened analyst access, and dedicated export workflows.</w:t>
      </w:r>
    </w:p>
    <w:p>
      <w:pPr>
        <w:pStyle w:val="Heading1"/>
      </w:pPr>
      <w:r>
        <w:t>24. Multi-Tenancy and Federation</w:t>
      </w:r>
    </w:p>
    <w:p>
      <w:pPr>
        <w:pStyle w:val="Heading2"/>
      </w:pPr>
      <w:r>
        <w:t>24.1 Multi-tenancy</w:t>
      </w:r>
    </w:p>
    <w:p>
      <w:pPr>
        <w:pStyle w:val="ListBullet"/>
        <w:spacing w:after="40"/>
      </w:pPr>
      <w:r>
        <w:t>Tenant isolation SHALL be explicit at authorization and data-access layers.</w:t>
      </w:r>
    </w:p>
    <w:p>
      <w:pPr>
        <w:pStyle w:val="ListBullet"/>
        <w:spacing w:after="40"/>
      </w:pPr>
      <w:r>
        <w:t>Cross-tenant search SHALL be disabled by default.</w:t>
      </w:r>
    </w:p>
    <w:p>
      <w:pPr>
        <w:pStyle w:val="ListBullet"/>
        <w:spacing w:after="40"/>
      </w:pPr>
      <w:r>
        <w:t>Shared infrastructure SHALL not imply shared analytical visibility.</w:t>
      </w:r>
    </w:p>
    <w:p>
      <w:pPr>
        <w:pStyle w:val="ListBullet"/>
        <w:spacing w:after="40"/>
      </w:pPr>
      <w:r>
        <w:t>Administrative access to multiple tenants SHALL be separately privileged and audited.</w:t>
      </w:r>
    </w:p>
    <w:p>
      <w:pPr>
        <w:pStyle w:val="Heading2"/>
      </w:pPr>
      <w:r>
        <w:t>24.2 Federation</w:t>
      </w:r>
    </w:p>
    <w:p>
      <w:pPr>
        <w:spacing w:after="100" w:line="259" w:lineRule="auto"/>
      </w:pPr>
      <w:r>
        <w:rPr>
          <w:b w:val="0"/>
          <w:i w:val="0"/>
        </w:rPr>
        <w:t>Federation allows organisations to share selected intelligence without centralising all raw evidence. CS-AML federation SHOULD exchange explicitly approved objects or products, not provide unrestricted remote graph access.</w:t>
      </w:r>
    </w:p>
    <w:p>
      <w:pPr>
        <w:pStyle w:val="CodeBlock"/>
        <w:shd w:fill="F7F8FA"/>
      </w:pPr>
      <w:r>
        <w:t>Org A Canonical Store --approved package--&gt; Exchange Layer --approved import--&gt; Org B</w:t>
        <w:br/>
        <w:t xml:space="preserve">       raw evidence stays local unless specifically authorized</w:t>
      </w:r>
    </w:p>
    <w:p>
      <w:pPr>
        <w:pStyle w:val="Heading2"/>
      </w:pPr>
      <w:r>
        <w:t>24.3 Federation package requirements</w:t>
      </w:r>
    </w:p>
    <w:p>
      <w:pPr>
        <w:pStyle w:val="ListBullet"/>
        <w:spacing w:after="40"/>
      </w:pPr>
      <w:r>
        <w:t>Origin organisation/node identifier</w:t>
      </w:r>
    </w:p>
    <w:p>
      <w:pPr>
        <w:pStyle w:val="ListBullet"/>
        <w:spacing w:after="40"/>
      </w:pPr>
      <w:r>
        <w:t>Schema version</w:t>
      </w:r>
    </w:p>
    <w:p>
      <w:pPr>
        <w:pStyle w:val="ListBullet"/>
        <w:spacing w:after="40"/>
      </w:pPr>
      <w:r>
        <w:t>Object IDs and provenance</w:t>
      </w:r>
    </w:p>
    <w:p>
      <w:pPr>
        <w:pStyle w:val="ListBullet"/>
        <w:spacing w:after="40"/>
      </w:pPr>
      <w:r>
        <w:t>Sharing classification and permitted use</w:t>
      </w:r>
    </w:p>
    <w:p>
      <w:pPr>
        <w:pStyle w:val="ListBullet"/>
        <w:spacing w:after="40"/>
      </w:pPr>
      <w:r>
        <w:t>Confidence/uncertainty metadata</w:t>
      </w:r>
    </w:p>
    <w:p>
      <w:pPr>
        <w:pStyle w:val="ListBullet"/>
        <w:spacing w:after="40"/>
      </w:pPr>
      <w:r>
        <w:t>Redaction/minimisation state</w:t>
      </w:r>
    </w:p>
    <w:p>
      <w:pPr>
        <w:pStyle w:val="ListBullet"/>
        <w:spacing w:after="40"/>
      </w:pPr>
      <w:r>
        <w:t>Integrity signature or equivalent verification where feasible</w:t>
      </w:r>
    </w:p>
    <w:p>
      <w:pPr>
        <w:pStyle w:val="Heading1"/>
      </w:pPr>
      <w:r>
        <w:t>25. Software Supply Chain and Secure Delivery</w:t>
      </w:r>
    </w:p>
    <w:p>
      <w:pPr>
        <w:pStyle w:val="ListBullet"/>
        <w:spacing w:after="40"/>
      </w:pPr>
      <w:r>
        <w:t>Dependencies SHALL be inventoried and routinely updated.</w:t>
      </w:r>
    </w:p>
    <w:p>
      <w:pPr>
        <w:pStyle w:val="ListBullet"/>
        <w:spacing w:after="40"/>
      </w:pPr>
      <w:r>
        <w:t>Build and release processes SHOULD produce provenance/attestation appropriate to organisational maturity.</w:t>
      </w:r>
    </w:p>
    <w:p>
      <w:pPr>
        <w:pStyle w:val="ListBullet"/>
        <w:spacing w:after="40"/>
      </w:pPr>
      <w:r>
        <w:t>Production deployments SHOULD use reproducible or controlled build artifacts rather than ad-hoc developer workstations.</w:t>
      </w:r>
    </w:p>
    <w:p>
      <w:pPr>
        <w:pStyle w:val="ListBullet"/>
        <w:spacing w:after="40"/>
      </w:pPr>
      <w:r>
        <w:t>Secrets SHALL be injected at deployment/runtime rather than embedded in artifacts.</w:t>
      </w:r>
    </w:p>
    <w:p>
      <w:pPr>
        <w:pStyle w:val="ListBullet"/>
        <w:spacing w:after="40"/>
      </w:pPr>
      <w:r>
        <w:t>Security testing SHOULD include dependency, container/image, and application security checks.</w:t>
      </w:r>
    </w:p>
    <w:p>
      <w:pPr>
        <w:pStyle w:val="ListBullet"/>
        <w:spacing w:after="40"/>
      </w:pPr>
      <w:r>
        <w:t>Critical updates SHALL have a documented emergency path.</w:t>
      </w:r>
    </w:p>
    <w:p>
      <w:pPr>
        <w:spacing w:after="100" w:line="259" w:lineRule="auto"/>
      </w:pPr>
      <w:r>
        <w:rPr>
          <w:b w:val="0"/>
          <w:i w:val="0"/>
        </w:rPr>
        <w:t>OWASP ASVS MAY be used as a verification baseline for web application security controls. SLSA-style provenance and supply-chain levels MAY be used to strengthen source/build integrity. These are reference mappings, not requirements to obtain external certification.</w:t>
      </w:r>
    </w:p>
    <w:p>
      <w:pPr>
        <w:pStyle w:val="Heading1"/>
      </w:pPr>
      <w:r>
        <w:t>26. AI and Automation Architecture</w:t>
      </w:r>
    </w:p>
    <w:tbl>
      <w:tblPr>
        <w:tblStyle w:val="TableGrid"/>
        <w:tblW w:type="auto" w:w="0"/>
        <w:jc w:val="center"/>
        <w:tblLook w:firstColumn="1" w:firstRow="1" w:lastColumn="0" w:lastRow="0" w:noHBand="0" w:noVBand="1" w:val="04A0"/>
      </w:tblPr>
      <w:tblGrid>
        <w:gridCol w:w="10080"/>
      </w:tblGrid>
      <w:tr>
        <w:tc>
          <w:tcPr>
            <w:tcW w:type="dxa" w:w="10080"/>
            <w:shd w:fill="FBE9E7"/>
            <w:tcMar>
              <w:top w:w="150" w:type="dxa"/>
              <w:start w:w="160" w:type="dxa"/>
              <w:bottom w:w="150" w:type="dxa"/>
              <w:end w:w="160" w:type="dxa"/>
            </w:tcMar>
          </w:tcPr>
          <w:p>
            <w:r>
              <w:rPr>
                <w:b/>
                <w:color w:val="1F4E79"/>
                <w:sz w:val="20"/>
              </w:rPr>
              <w:t>AI boundary</w:t>
              <w:br/>
            </w:r>
            <w:r>
              <w:rPr>
                <w:sz w:val="19"/>
              </w:rPr>
              <w:t>AI MAY assist extraction, summarisation, entity candidate generation, translation, search, pattern discovery, and drafting. AI SHALL NOT autonomously determine guilt, authorize dissemination, reveal protected-source identity, or silently overwrite analyst conclusions.</w:t>
            </w:r>
          </w:p>
        </w:tc>
      </w:tr>
    </w:tbl>
    <w:p>
      <w:pPr>
        <w:spacing w:after="20"/>
      </w:pPr>
    </w:p>
    <w:p>
      <w:pPr>
        <w:pStyle w:val="Heading2"/>
      </w:pPr>
      <w:r>
        <w:t>26.1 AI service boundary</w:t>
      </w:r>
    </w:p>
    <w:p>
      <w:pPr>
        <w:pStyle w:val="ListBullet"/>
        <w:spacing w:after="40"/>
      </w:pPr>
      <w:r>
        <w:t>AI input scope SHALL be governed by data classification and provider/deployment risk.</w:t>
      </w:r>
    </w:p>
    <w:p>
      <w:pPr>
        <w:pStyle w:val="ListBullet"/>
        <w:spacing w:after="40"/>
      </w:pPr>
      <w:r>
        <w:t>Sensitive cases SHOULD prefer locally controlled or contractually appropriate models where external processing is not acceptable.</w:t>
      </w:r>
    </w:p>
    <w:p>
      <w:pPr>
        <w:pStyle w:val="ListBullet"/>
        <w:spacing w:after="40"/>
      </w:pPr>
      <w:r>
        <w:t>Prompts, retrieved context, outputs, and model/version metadata SHOULD be retained when AI output materially influences an assessment.</w:t>
      </w:r>
    </w:p>
    <w:p>
      <w:pPr>
        <w:pStyle w:val="ListBullet"/>
        <w:spacing w:after="40"/>
      </w:pPr>
      <w:r>
        <w:t>AI-generated observations SHALL be marked as machine-generated until verified.</w:t>
      </w:r>
    </w:p>
    <w:p>
      <w:pPr>
        <w:pStyle w:val="ListBullet"/>
        <w:spacing w:after="40"/>
      </w:pPr>
      <w:r>
        <w:t>Retrieval-augmented generation SHALL cite canonical objects/evidence where outputs are used analytically.</w:t>
      </w:r>
    </w:p>
    <w:p>
      <w:pPr>
        <w:pStyle w:val="ListBullet"/>
        <w:spacing w:after="40"/>
      </w:pPr>
      <w:r>
        <w:t>Automated entity merges SHALL NOT occur without policy-defined validation/review.</w:t>
      </w:r>
    </w:p>
    <w:p>
      <w:pPr>
        <w:pStyle w:val="Heading2"/>
      </w:pPr>
      <w:r>
        <w:t>26.2 Model governance</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Mar>
              <w:top w:w="90" w:type="dxa"/>
              <w:start w:w="110" w:type="dxa"/>
              <w:bottom w:w="90" w:type="dxa"/>
              <w:end w:w="110" w:type="dxa"/>
            </w:tcMar>
          </w:tcPr>
          <w:p>
            <w:r>
              <w:rPr>
                <w:b/>
                <w:color w:val="FFFFFF"/>
                <w:sz w:val="17"/>
              </w:rPr>
              <w:t>Concern</w:t>
            </w:r>
          </w:p>
        </w:tc>
        <w:tc>
          <w:tcPr>
            <w:tcW w:type="dxa" w:w="7200"/>
            <w:shd w:fill="1F4E79"/>
            <w:vAlign w:val="center"/>
            <w:tcMar>
              <w:top w:w="90" w:type="dxa"/>
              <w:start w:w="110" w:type="dxa"/>
              <w:bottom w:w="90" w:type="dxa"/>
              <w:end w:w="110" w:type="dxa"/>
            </w:tcMar>
          </w:tcPr>
          <w:p>
            <w:r>
              <w:rPr>
                <w:b/>
                <w:color w:val="FFFFFF"/>
                <w:sz w:val="17"/>
              </w:rPr>
              <w:t>Required architectural response</w:t>
            </w:r>
          </w:p>
        </w:tc>
      </w:tr>
      <w:tr>
        <w:tc>
          <w:tcPr>
            <w:tcW w:type="dxa" w:w="2880"/>
            <w:vAlign w:val="center"/>
            <w:tcMar>
              <w:top w:w="90" w:type="dxa"/>
              <w:start w:w="110" w:type="dxa"/>
              <w:bottom w:w="90" w:type="dxa"/>
              <w:end w:w="110" w:type="dxa"/>
            </w:tcMar>
          </w:tcPr>
          <w:p>
            <w:pPr>
              <w:spacing w:after="0"/>
            </w:pPr>
            <w:r>
              <w:rPr>
                <w:sz w:val="17"/>
              </w:rPr>
              <w:t>Hallucination</w:t>
            </w:r>
          </w:p>
        </w:tc>
        <w:tc>
          <w:tcPr>
            <w:tcW w:type="dxa" w:w="7200"/>
            <w:vAlign w:val="center"/>
            <w:tcMar>
              <w:top w:w="90" w:type="dxa"/>
              <w:start w:w="110" w:type="dxa"/>
              <w:bottom w:w="90" w:type="dxa"/>
              <w:end w:w="110" w:type="dxa"/>
            </w:tcMar>
          </w:tcPr>
          <w:p>
            <w:pPr>
              <w:spacing w:after="0"/>
            </w:pPr>
            <w:r>
              <w:rPr>
                <w:sz w:val="17"/>
              </w:rPr>
              <w:t>Evidence-linked verification and analyst confirmation</w:t>
            </w:r>
          </w:p>
        </w:tc>
      </w:tr>
      <w:tr>
        <w:tc>
          <w:tcPr>
            <w:tcW w:type="dxa" w:w="2880"/>
            <w:vAlign w:val="center"/>
            <w:tcMar>
              <w:top w:w="90" w:type="dxa"/>
              <w:start w:w="110" w:type="dxa"/>
              <w:bottom w:w="90" w:type="dxa"/>
              <w:end w:w="110" w:type="dxa"/>
            </w:tcMar>
          </w:tcPr>
          <w:p>
            <w:pPr>
              <w:spacing w:after="0"/>
            </w:pPr>
            <w:r>
              <w:rPr>
                <w:sz w:val="17"/>
              </w:rPr>
              <w:t>Bias</w:t>
            </w:r>
          </w:p>
        </w:tc>
        <w:tc>
          <w:tcPr>
            <w:tcW w:type="dxa" w:w="7200"/>
            <w:vAlign w:val="center"/>
            <w:tcMar>
              <w:top w:w="90" w:type="dxa"/>
              <w:start w:w="110" w:type="dxa"/>
              <w:bottom w:w="90" w:type="dxa"/>
              <w:end w:w="110" w:type="dxa"/>
            </w:tcMar>
          </w:tcPr>
          <w:p>
            <w:pPr>
              <w:spacing w:after="0"/>
            </w:pPr>
            <w:r>
              <w:rPr>
                <w:sz w:val="17"/>
              </w:rPr>
              <w:t>Alternative hypotheses, review, evaluation datasets</w:t>
            </w:r>
          </w:p>
        </w:tc>
      </w:tr>
      <w:tr>
        <w:tc>
          <w:tcPr>
            <w:tcW w:type="dxa" w:w="2880"/>
            <w:vAlign w:val="center"/>
            <w:tcMar>
              <w:top w:w="90" w:type="dxa"/>
              <w:start w:w="110" w:type="dxa"/>
              <w:bottom w:w="90" w:type="dxa"/>
              <w:end w:w="110" w:type="dxa"/>
            </w:tcMar>
          </w:tcPr>
          <w:p>
            <w:pPr>
              <w:spacing w:after="0"/>
            </w:pPr>
            <w:r>
              <w:rPr>
                <w:sz w:val="17"/>
              </w:rPr>
              <w:t>Prompt/data leakage</w:t>
            </w:r>
          </w:p>
        </w:tc>
        <w:tc>
          <w:tcPr>
            <w:tcW w:type="dxa" w:w="7200"/>
            <w:vAlign w:val="center"/>
            <w:tcMar>
              <w:top w:w="90" w:type="dxa"/>
              <w:start w:w="110" w:type="dxa"/>
              <w:bottom w:w="90" w:type="dxa"/>
              <w:end w:w="110" w:type="dxa"/>
            </w:tcMar>
          </w:tcPr>
          <w:p>
            <w:pPr>
              <w:spacing w:after="0"/>
            </w:pPr>
            <w:r>
              <w:rPr>
                <w:sz w:val="17"/>
              </w:rPr>
              <w:t>Classification-aware routing, no unnecessary third-party submission</w:t>
            </w:r>
          </w:p>
        </w:tc>
      </w:tr>
      <w:tr>
        <w:tc>
          <w:tcPr>
            <w:tcW w:type="dxa" w:w="2880"/>
            <w:vAlign w:val="center"/>
            <w:tcMar>
              <w:top w:w="90" w:type="dxa"/>
              <w:start w:w="110" w:type="dxa"/>
              <w:bottom w:w="90" w:type="dxa"/>
              <w:end w:w="110" w:type="dxa"/>
            </w:tcMar>
          </w:tcPr>
          <w:p>
            <w:pPr>
              <w:spacing w:after="0"/>
            </w:pPr>
            <w:r>
              <w:rPr>
                <w:sz w:val="17"/>
              </w:rPr>
              <w:t>Model drift</w:t>
            </w:r>
          </w:p>
        </w:tc>
        <w:tc>
          <w:tcPr>
            <w:tcW w:type="dxa" w:w="7200"/>
            <w:vAlign w:val="center"/>
            <w:tcMar>
              <w:top w:w="90" w:type="dxa"/>
              <w:start w:w="110" w:type="dxa"/>
              <w:bottom w:w="90" w:type="dxa"/>
              <w:end w:w="110" w:type="dxa"/>
            </w:tcMar>
          </w:tcPr>
          <w:p>
            <w:pPr>
              <w:spacing w:after="0"/>
            </w:pPr>
            <w:r>
              <w:rPr>
                <w:sz w:val="17"/>
              </w:rPr>
              <w:t>Version capture and periodic evaluation</w:t>
            </w:r>
          </w:p>
        </w:tc>
      </w:tr>
      <w:tr>
        <w:tc>
          <w:tcPr>
            <w:tcW w:type="dxa" w:w="2880"/>
            <w:vAlign w:val="center"/>
            <w:tcMar>
              <w:top w:w="90" w:type="dxa"/>
              <w:start w:w="110" w:type="dxa"/>
              <w:bottom w:w="90" w:type="dxa"/>
              <w:end w:w="110" w:type="dxa"/>
            </w:tcMar>
          </w:tcPr>
          <w:p>
            <w:pPr>
              <w:spacing w:after="0"/>
            </w:pPr>
            <w:r>
              <w:rPr>
                <w:sz w:val="17"/>
              </w:rPr>
              <w:t>Automation bias</w:t>
            </w:r>
          </w:p>
        </w:tc>
        <w:tc>
          <w:tcPr>
            <w:tcW w:type="dxa" w:w="7200"/>
            <w:vAlign w:val="center"/>
            <w:tcMar>
              <w:top w:w="90" w:type="dxa"/>
              <w:start w:w="110" w:type="dxa"/>
              <w:bottom w:w="90" w:type="dxa"/>
              <w:end w:w="110" w:type="dxa"/>
            </w:tcMar>
          </w:tcPr>
          <w:p>
            <w:pPr>
              <w:spacing w:after="0"/>
            </w:pPr>
            <w:r>
              <w:rPr>
                <w:sz w:val="17"/>
              </w:rPr>
              <w:t>UI shows machine suggestion separately from analyst decision</w:t>
            </w:r>
          </w:p>
        </w:tc>
      </w:tr>
      <w:tr>
        <w:tc>
          <w:tcPr>
            <w:tcW w:type="dxa" w:w="2880"/>
            <w:vAlign w:val="center"/>
            <w:tcMar>
              <w:top w:w="90" w:type="dxa"/>
              <w:start w:w="110" w:type="dxa"/>
              <w:bottom w:w="90" w:type="dxa"/>
              <w:end w:w="110" w:type="dxa"/>
            </w:tcMar>
          </w:tcPr>
          <w:p>
            <w:pPr>
              <w:spacing w:after="0"/>
            </w:pPr>
            <w:r>
              <w:rPr>
                <w:sz w:val="17"/>
              </w:rPr>
              <w:t>Opaque score</w:t>
            </w:r>
          </w:p>
        </w:tc>
        <w:tc>
          <w:tcPr>
            <w:tcW w:type="dxa" w:w="7200"/>
            <w:vAlign w:val="center"/>
            <w:tcMar>
              <w:top w:w="90" w:type="dxa"/>
              <w:start w:w="110" w:type="dxa"/>
              <w:bottom w:w="90" w:type="dxa"/>
              <w:end w:w="110" w:type="dxa"/>
            </w:tcMar>
          </w:tcPr>
          <w:p>
            <w:pPr>
              <w:spacing w:after="0"/>
            </w:pPr>
            <w:r>
              <w:rPr>
                <w:sz w:val="17"/>
              </w:rPr>
              <w:t>Expose contributing features/rationale where possible</w:t>
            </w:r>
          </w:p>
        </w:tc>
      </w:tr>
    </w:tbl>
    <w:p>
      <w:pPr>
        <w:spacing w:after="20"/>
      </w:pPr>
    </w:p>
    <w:p>
      <w:pPr>
        <w:pStyle w:val="Heading1"/>
      </w:pPr>
      <w:r>
        <w:t>27. Performance and Scalability</w:t>
      </w:r>
    </w:p>
    <w:p>
      <w:pPr>
        <w:spacing w:after="100" w:line="259" w:lineRule="auto"/>
      </w:pPr>
      <w:r>
        <w:rPr>
          <w:b w:val="0"/>
          <w:i w:val="0"/>
        </w:rPr>
        <w:t>CS-AML is analyst-centred rather than high-frequency payment processing. Architecture SHOULD optimize evidence retrieval, graph exploration, search responsiveness, and audit integrity rather than chase transaction-processing benchmarks irrelevant to civil-society investigation.</w:t>
      </w:r>
    </w:p>
    <w:p>
      <w:pPr>
        <w:pStyle w:val="Heading2"/>
      </w:pPr>
      <w:r>
        <w:t>27.1 Performance classes</w:t>
      </w:r>
    </w:p>
    <w:tbl>
      <w:tblPr>
        <w:tblStyle w:val="TableGrid"/>
        <w:tblW w:type="auto" w:w="0"/>
        <w:jc w:val="center"/>
        <w:tblLook w:firstColumn="1" w:firstRow="1" w:lastColumn="0" w:lastRow="0" w:noHBand="0" w:noVBand="1" w:val="04A0"/>
      </w:tblPr>
      <w:tblGrid>
        <w:gridCol w:w="5040"/>
        <w:gridCol w:w="5040"/>
      </w:tblGrid>
      <w:tr>
        <w:tc>
          <w:tcPr>
            <w:tcW w:type="dxa" w:w="3168"/>
            <w:shd w:fill="1F4E79"/>
            <w:vAlign w:val="center"/>
            <w:tcMar>
              <w:top w:w="90" w:type="dxa"/>
              <w:start w:w="110" w:type="dxa"/>
              <w:bottom w:w="90" w:type="dxa"/>
              <w:end w:w="110" w:type="dxa"/>
            </w:tcMar>
          </w:tcPr>
          <w:p>
            <w:r>
              <w:rPr>
                <w:b/>
                <w:color w:val="FFFFFF"/>
                <w:sz w:val="17"/>
              </w:rPr>
              <w:t>Workload</w:t>
            </w:r>
          </w:p>
        </w:tc>
        <w:tc>
          <w:tcPr>
            <w:tcW w:type="dxa" w:w="6912"/>
            <w:shd w:fill="1F4E79"/>
            <w:vAlign w:val="center"/>
            <w:tcMar>
              <w:top w:w="90" w:type="dxa"/>
              <w:start w:w="110" w:type="dxa"/>
              <w:bottom w:w="90" w:type="dxa"/>
              <w:end w:w="110" w:type="dxa"/>
            </w:tcMar>
          </w:tcPr>
          <w:p>
            <w:r>
              <w:rPr>
                <w:b/>
                <w:color w:val="FFFFFF"/>
                <w:sz w:val="17"/>
              </w:rPr>
              <w:t>Target design concern</w:t>
            </w:r>
          </w:p>
        </w:tc>
      </w:tr>
      <w:tr>
        <w:tc>
          <w:tcPr>
            <w:tcW w:type="dxa" w:w="3168"/>
            <w:vAlign w:val="center"/>
            <w:tcMar>
              <w:top w:w="90" w:type="dxa"/>
              <w:start w:w="110" w:type="dxa"/>
              <w:bottom w:w="90" w:type="dxa"/>
              <w:end w:w="110" w:type="dxa"/>
            </w:tcMar>
          </w:tcPr>
          <w:p>
            <w:pPr>
              <w:spacing w:after="0"/>
            </w:pPr>
            <w:r>
              <w:rPr>
                <w:sz w:val="17"/>
              </w:rPr>
              <w:t>Interactive case navigation</w:t>
            </w:r>
          </w:p>
        </w:tc>
        <w:tc>
          <w:tcPr>
            <w:tcW w:type="dxa" w:w="6912"/>
            <w:vAlign w:val="center"/>
            <w:tcMar>
              <w:top w:w="90" w:type="dxa"/>
              <w:start w:w="110" w:type="dxa"/>
              <w:bottom w:w="90" w:type="dxa"/>
              <w:end w:w="110" w:type="dxa"/>
            </w:tcMar>
          </w:tcPr>
          <w:p>
            <w:pPr>
              <w:spacing w:after="0"/>
            </w:pPr>
            <w:r>
              <w:rPr>
                <w:sz w:val="17"/>
              </w:rPr>
              <w:t>Predictable page/API response</w:t>
            </w:r>
          </w:p>
        </w:tc>
      </w:tr>
      <w:tr>
        <w:tc>
          <w:tcPr>
            <w:tcW w:type="dxa" w:w="3168"/>
            <w:vAlign w:val="center"/>
            <w:tcMar>
              <w:top w:w="90" w:type="dxa"/>
              <w:start w:w="110" w:type="dxa"/>
              <w:bottom w:w="90" w:type="dxa"/>
              <w:end w:w="110" w:type="dxa"/>
            </w:tcMar>
          </w:tcPr>
          <w:p>
            <w:pPr>
              <w:spacing w:after="0"/>
            </w:pPr>
            <w:r>
              <w:rPr>
                <w:sz w:val="17"/>
              </w:rPr>
              <w:t>Full-text search</w:t>
            </w:r>
          </w:p>
        </w:tc>
        <w:tc>
          <w:tcPr>
            <w:tcW w:type="dxa" w:w="6912"/>
            <w:vAlign w:val="center"/>
            <w:tcMar>
              <w:top w:w="90" w:type="dxa"/>
              <w:start w:w="110" w:type="dxa"/>
              <w:bottom w:w="90" w:type="dxa"/>
              <w:end w:w="110" w:type="dxa"/>
            </w:tcMar>
          </w:tcPr>
          <w:p>
            <w:pPr>
              <w:spacing w:after="0"/>
            </w:pPr>
            <w:r>
              <w:rPr>
                <w:sz w:val="17"/>
              </w:rPr>
              <w:t>Sub-second to few-second typical query depending on corpus</w:t>
            </w:r>
          </w:p>
        </w:tc>
      </w:tr>
      <w:tr>
        <w:tc>
          <w:tcPr>
            <w:tcW w:type="dxa" w:w="3168"/>
            <w:vAlign w:val="center"/>
            <w:tcMar>
              <w:top w:w="90" w:type="dxa"/>
              <w:start w:w="110" w:type="dxa"/>
              <w:bottom w:w="90" w:type="dxa"/>
              <w:end w:w="110" w:type="dxa"/>
            </w:tcMar>
          </w:tcPr>
          <w:p>
            <w:pPr>
              <w:spacing w:after="0"/>
            </w:pPr>
            <w:r>
              <w:rPr>
                <w:sz w:val="17"/>
              </w:rPr>
              <w:t>Graph traversal</w:t>
            </w:r>
          </w:p>
        </w:tc>
        <w:tc>
          <w:tcPr>
            <w:tcW w:type="dxa" w:w="6912"/>
            <w:vAlign w:val="center"/>
            <w:tcMar>
              <w:top w:w="90" w:type="dxa"/>
              <w:start w:w="110" w:type="dxa"/>
              <w:bottom w:w="90" w:type="dxa"/>
              <w:end w:w="110" w:type="dxa"/>
            </w:tcMar>
          </w:tcPr>
          <w:p>
            <w:pPr>
              <w:spacing w:after="0"/>
            </w:pPr>
            <w:r>
              <w:rPr>
                <w:sz w:val="17"/>
              </w:rPr>
              <w:t>Bounded depth and result size; asynchronous for expensive analytics</w:t>
            </w:r>
          </w:p>
        </w:tc>
      </w:tr>
      <w:tr>
        <w:tc>
          <w:tcPr>
            <w:tcW w:type="dxa" w:w="3168"/>
            <w:vAlign w:val="center"/>
            <w:tcMar>
              <w:top w:w="90" w:type="dxa"/>
              <w:start w:w="110" w:type="dxa"/>
              <w:bottom w:w="90" w:type="dxa"/>
              <w:end w:w="110" w:type="dxa"/>
            </w:tcMar>
          </w:tcPr>
          <w:p>
            <w:pPr>
              <w:spacing w:after="0"/>
            </w:pPr>
            <w:r>
              <w:rPr>
                <w:sz w:val="17"/>
              </w:rPr>
              <w:t>Document processing</w:t>
            </w:r>
          </w:p>
        </w:tc>
        <w:tc>
          <w:tcPr>
            <w:tcW w:type="dxa" w:w="6912"/>
            <w:vAlign w:val="center"/>
            <w:tcMar>
              <w:top w:w="90" w:type="dxa"/>
              <w:start w:w="110" w:type="dxa"/>
              <w:bottom w:w="90" w:type="dxa"/>
              <w:end w:w="110" w:type="dxa"/>
            </w:tcMar>
          </w:tcPr>
          <w:p>
            <w:pPr>
              <w:spacing w:after="0"/>
            </w:pPr>
            <w:r>
              <w:rPr>
                <w:sz w:val="17"/>
              </w:rPr>
              <w:t>Asynchronous jobs with progress and retry</w:t>
            </w:r>
          </w:p>
        </w:tc>
      </w:tr>
      <w:tr>
        <w:tc>
          <w:tcPr>
            <w:tcW w:type="dxa" w:w="3168"/>
            <w:vAlign w:val="center"/>
            <w:tcMar>
              <w:top w:w="90" w:type="dxa"/>
              <w:start w:w="110" w:type="dxa"/>
              <w:bottom w:w="90" w:type="dxa"/>
              <w:end w:w="110" w:type="dxa"/>
            </w:tcMar>
          </w:tcPr>
          <w:p>
            <w:pPr>
              <w:spacing w:after="0"/>
            </w:pPr>
            <w:r>
              <w:rPr>
                <w:sz w:val="17"/>
              </w:rPr>
              <w:t>Bulk import</w:t>
            </w:r>
          </w:p>
        </w:tc>
        <w:tc>
          <w:tcPr>
            <w:tcW w:type="dxa" w:w="6912"/>
            <w:vAlign w:val="center"/>
            <w:tcMar>
              <w:top w:w="90" w:type="dxa"/>
              <w:start w:w="110" w:type="dxa"/>
              <w:bottom w:w="90" w:type="dxa"/>
              <w:end w:w="110" w:type="dxa"/>
            </w:tcMar>
          </w:tcPr>
          <w:p>
            <w:pPr>
              <w:spacing w:after="0"/>
            </w:pPr>
            <w:r>
              <w:rPr>
                <w:sz w:val="17"/>
              </w:rPr>
              <w:t>Staging, validation, backpressure</w:t>
            </w:r>
          </w:p>
        </w:tc>
      </w:tr>
      <w:tr>
        <w:tc>
          <w:tcPr>
            <w:tcW w:type="dxa" w:w="3168"/>
            <w:vAlign w:val="center"/>
            <w:tcMar>
              <w:top w:w="90" w:type="dxa"/>
              <w:start w:w="110" w:type="dxa"/>
              <w:bottom w:w="90" w:type="dxa"/>
              <w:end w:w="110" w:type="dxa"/>
            </w:tcMar>
          </w:tcPr>
          <w:p>
            <w:pPr>
              <w:spacing w:after="0"/>
            </w:pPr>
            <w:r>
              <w:rPr>
                <w:sz w:val="17"/>
              </w:rPr>
              <w:t>Report generation</w:t>
            </w:r>
          </w:p>
        </w:tc>
        <w:tc>
          <w:tcPr>
            <w:tcW w:type="dxa" w:w="6912"/>
            <w:vAlign w:val="center"/>
            <w:tcMar>
              <w:top w:w="90" w:type="dxa"/>
              <w:start w:w="110" w:type="dxa"/>
              <w:bottom w:w="90" w:type="dxa"/>
              <w:end w:w="110" w:type="dxa"/>
            </w:tcMar>
          </w:tcPr>
          <w:p>
            <w:pPr>
              <w:spacing w:after="0"/>
            </w:pPr>
            <w:r>
              <w:rPr>
                <w:sz w:val="17"/>
              </w:rPr>
              <w:t>Version-consistent snapshot; may run asynchronously</w:t>
            </w:r>
          </w:p>
        </w:tc>
      </w:tr>
    </w:tbl>
    <w:p>
      <w:pPr>
        <w:spacing w:after="20"/>
      </w:pPr>
    </w:p>
    <w:p>
      <w:pPr>
        <w:pStyle w:val="Heading2"/>
      </w:pPr>
      <w:r>
        <w:t>27.2 Scaling order</w:t>
      </w:r>
    </w:p>
    <w:p>
      <w:pPr>
        <w:pStyle w:val="ListBullet"/>
        <w:spacing w:after="40"/>
      </w:pPr>
      <w:r>
        <w:t>Measure before scaling.</w:t>
      </w:r>
    </w:p>
    <w:p>
      <w:pPr>
        <w:pStyle w:val="ListBullet"/>
        <w:spacing w:after="40"/>
      </w:pPr>
      <w:r>
        <w:t>Separate asynchronous workloads from interactive requests.</w:t>
      </w:r>
    </w:p>
    <w:p>
      <w:pPr>
        <w:pStyle w:val="ListBullet"/>
        <w:spacing w:after="40"/>
      </w:pPr>
      <w:r>
        <w:t>Scale storage and indexes before introducing unnecessary service fragmentation.</w:t>
      </w:r>
    </w:p>
    <w:p>
      <w:pPr>
        <w:pStyle w:val="ListBullet"/>
        <w:spacing w:after="40"/>
      </w:pPr>
      <w:r>
        <w:t>Partition by tenant/case only where justified by security or scale.</w:t>
      </w:r>
    </w:p>
    <w:p>
      <w:pPr>
        <w:pStyle w:val="ListBullet"/>
        <w:spacing w:after="40"/>
      </w:pPr>
      <w:r>
        <w:t>Preserve canonical integrity when adding replicas, caches, and projections.</w:t>
      </w:r>
    </w:p>
    <w:p>
      <w:pPr>
        <w:pStyle w:val="Heading1"/>
      </w:pPr>
      <w:r>
        <w:t>28. Reference Implementation Profiles</w:t>
      </w:r>
    </w:p>
    <w:p>
      <w:pPr>
        <w:spacing w:after="100" w:line="259" w:lineRule="auto"/>
      </w:pPr>
      <w:r>
        <w:rPr>
          <w:b w:val="0"/>
          <w:i w:val="0"/>
        </w:rPr>
        <w:t>The following profiles are non-normative examples. Conformance is determined by capabilities and controls, not by using these technologies.</w:t>
      </w:r>
    </w:p>
    <w:p>
      <w:pPr>
        <w:pStyle w:val="Heading2"/>
      </w:pPr>
      <w:r>
        <w:t>28.1 Profile R1 - Compact open-source deployment</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Mar>
              <w:top w:w="90" w:type="dxa"/>
              <w:start w:w="110" w:type="dxa"/>
              <w:bottom w:w="90" w:type="dxa"/>
              <w:end w:w="110" w:type="dxa"/>
            </w:tcMar>
          </w:tcPr>
          <w:p>
            <w:r>
              <w:rPr>
                <w:b/>
                <w:color w:val="FFFFFF"/>
                <w:sz w:val="17"/>
              </w:rPr>
              <w:t>Layer</w:t>
            </w:r>
          </w:p>
        </w:tc>
        <w:tc>
          <w:tcPr>
            <w:tcW w:type="dxa" w:w="7200"/>
            <w:shd w:fill="1F4E79"/>
            <w:vAlign w:val="center"/>
            <w:tcMar>
              <w:top w:w="90" w:type="dxa"/>
              <w:start w:w="110" w:type="dxa"/>
              <w:bottom w:w="90" w:type="dxa"/>
              <w:end w:w="110" w:type="dxa"/>
            </w:tcMar>
          </w:tcPr>
          <w:p>
            <w:r>
              <w:rPr>
                <w:b/>
                <w:color w:val="FFFFFF"/>
                <w:sz w:val="17"/>
              </w:rPr>
              <w:t>Reference technology</w:t>
            </w:r>
          </w:p>
        </w:tc>
      </w:tr>
      <w:tr>
        <w:tc>
          <w:tcPr>
            <w:tcW w:type="dxa" w:w="2880"/>
            <w:vAlign w:val="center"/>
            <w:tcMar>
              <w:top w:w="90" w:type="dxa"/>
              <w:start w:w="110" w:type="dxa"/>
              <w:bottom w:w="90" w:type="dxa"/>
              <w:end w:w="110" w:type="dxa"/>
            </w:tcMar>
          </w:tcPr>
          <w:p>
            <w:pPr>
              <w:spacing w:after="0"/>
            </w:pPr>
            <w:r>
              <w:rPr>
                <w:sz w:val="17"/>
              </w:rPr>
              <w:t>Web/API</w:t>
            </w:r>
          </w:p>
        </w:tc>
        <w:tc>
          <w:tcPr>
            <w:tcW w:type="dxa" w:w="7200"/>
            <w:vAlign w:val="center"/>
            <w:tcMar>
              <w:top w:w="90" w:type="dxa"/>
              <w:start w:w="110" w:type="dxa"/>
              <w:bottom w:w="90" w:type="dxa"/>
              <w:end w:w="110" w:type="dxa"/>
            </w:tcMar>
          </w:tcPr>
          <w:p>
            <w:pPr>
              <w:spacing w:after="0"/>
            </w:pPr>
            <w:r>
              <w:rPr>
                <w:sz w:val="17"/>
              </w:rPr>
              <w:t>Django + Django REST Framework or equivalent</w:t>
            </w:r>
          </w:p>
        </w:tc>
      </w:tr>
      <w:tr>
        <w:tc>
          <w:tcPr>
            <w:tcW w:type="dxa" w:w="2880"/>
            <w:vAlign w:val="center"/>
            <w:tcMar>
              <w:top w:w="90" w:type="dxa"/>
              <w:start w:w="110" w:type="dxa"/>
              <w:bottom w:w="90" w:type="dxa"/>
              <w:end w:w="110" w:type="dxa"/>
            </w:tcMar>
          </w:tcPr>
          <w:p>
            <w:pPr>
              <w:spacing w:after="0"/>
            </w:pPr>
            <w:r>
              <w:rPr>
                <w:sz w:val="17"/>
              </w:rPr>
              <w:t>Canonical database</w:t>
            </w:r>
          </w:p>
        </w:tc>
        <w:tc>
          <w:tcPr>
            <w:tcW w:type="dxa" w:w="7200"/>
            <w:vAlign w:val="center"/>
            <w:tcMar>
              <w:top w:w="90" w:type="dxa"/>
              <w:start w:w="110" w:type="dxa"/>
              <w:bottom w:w="90" w:type="dxa"/>
              <w:end w:w="110" w:type="dxa"/>
            </w:tcMar>
          </w:tcPr>
          <w:p>
            <w:pPr>
              <w:spacing w:after="0"/>
            </w:pPr>
            <w:r>
              <w:rPr>
                <w:sz w:val="17"/>
              </w:rPr>
              <w:t>PostgreSQL</w:t>
            </w:r>
          </w:p>
        </w:tc>
      </w:tr>
      <w:tr>
        <w:tc>
          <w:tcPr>
            <w:tcW w:type="dxa" w:w="2880"/>
            <w:vAlign w:val="center"/>
            <w:tcMar>
              <w:top w:w="90" w:type="dxa"/>
              <w:start w:w="110" w:type="dxa"/>
              <w:bottom w:w="90" w:type="dxa"/>
              <w:end w:w="110" w:type="dxa"/>
            </w:tcMar>
          </w:tcPr>
          <w:p>
            <w:pPr>
              <w:spacing w:after="0"/>
            </w:pPr>
            <w:r>
              <w:rPr>
                <w:sz w:val="17"/>
              </w:rPr>
              <w:t>Spatial</w:t>
            </w:r>
          </w:p>
        </w:tc>
        <w:tc>
          <w:tcPr>
            <w:tcW w:type="dxa" w:w="7200"/>
            <w:vAlign w:val="center"/>
            <w:tcMar>
              <w:top w:w="90" w:type="dxa"/>
              <w:start w:w="110" w:type="dxa"/>
              <w:bottom w:w="90" w:type="dxa"/>
              <w:end w:w="110" w:type="dxa"/>
            </w:tcMar>
          </w:tcPr>
          <w:p>
            <w:pPr>
              <w:spacing w:after="0"/>
            </w:pPr>
            <w:r>
              <w:rPr>
                <w:sz w:val="17"/>
              </w:rPr>
              <w:t>PostGIS where geographic analysis is needed</w:t>
            </w:r>
          </w:p>
        </w:tc>
      </w:tr>
      <w:tr>
        <w:tc>
          <w:tcPr>
            <w:tcW w:type="dxa" w:w="2880"/>
            <w:vAlign w:val="center"/>
            <w:tcMar>
              <w:top w:w="90" w:type="dxa"/>
              <w:start w:w="110" w:type="dxa"/>
              <w:bottom w:w="90" w:type="dxa"/>
              <w:end w:w="110" w:type="dxa"/>
            </w:tcMar>
          </w:tcPr>
          <w:p>
            <w:pPr>
              <w:spacing w:after="0"/>
            </w:pPr>
            <w:r>
              <w:rPr>
                <w:sz w:val="17"/>
              </w:rPr>
              <w:t>Evidence storage</w:t>
            </w:r>
          </w:p>
        </w:tc>
        <w:tc>
          <w:tcPr>
            <w:tcW w:type="dxa" w:w="7200"/>
            <w:vAlign w:val="center"/>
            <w:tcMar>
              <w:top w:w="90" w:type="dxa"/>
              <w:start w:w="110" w:type="dxa"/>
              <w:bottom w:w="90" w:type="dxa"/>
              <w:end w:w="110" w:type="dxa"/>
            </w:tcMar>
          </w:tcPr>
          <w:p>
            <w:pPr>
              <w:spacing w:after="0"/>
            </w:pPr>
            <w:r>
              <w:rPr>
                <w:sz w:val="17"/>
              </w:rPr>
              <w:t>Encrypted filesystem or S3-compatible object storage</w:t>
            </w:r>
          </w:p>
        </w:tc>
      </w:tr>
      <w:tr>
        <w:tc>
          <w:tcPr>
            <w:tcW w:type="dxa" w:w="2880"/>
            <w:vAlign w:val="center"/>
            <w:tcMar>
              <w:top w:w="90" w:type="dxa"/>
              <w:start w:w="110" w:type="dxa"/>
              <w:bottom w:w="90" w:type="dxa"/>
              <w:end w:w="110" w:type="dxa"/>
            </w:tcMar>
          </w:tcPr>
          <w:p>
            <w:pPr>
              <w:spacing w:after="0"/>
            </w:pPr>
            <w:r>
              <w:rPr>
                <w:sz w:val="17"/>
              </w:rPr>
              <w:t>Search</w:t>
            </w:r>
          </w:p>
        </w:tc>
        <w:tc>
          <w:tcPr>
            <w:tcW w:type="dxa" w:w="7200"/>
            <w:vAlign w:val="center"/>
            <w:tcMar>
              <w:top w:w="90" w:type="dxa"/>
              <w:start w:w="110" w:type="dxa"/>
              <w:bottom w:w="90" w:type="dxa"/>
              <w:end w:w="110" w:type="dxa"/>
            </w:tcMar>
          </w:tcPr>
          <w:p>
            <w:pPr>
              <w:spacing w:after="0"/>
            </w:pPr>
            <w:r>
              <w:rPr>
                <w:sz w:val="17"/>
              </w:rPr>
              <w:t>PostgreSQL FTS initially; OpenSearch when corpus/search needs grow</w:t>
            </w:r>
          </w:p>
        </w:tc>
      </w:tr>
      <w:tr>
        <w:tc>
          <w:tcPr>
            <w:tcW w:type="dxa" w:w="2880"/>
            <w:vAlign w:val="center"/>
            <w:tcMar>
              <w:top w:w="90" w:type="dxa"/>
              <w:start w:w="110" w:type="dxa"/>
              <w:bottom w:w="90" w:type="dxa"/>
              <w:end w:w="110" w:type="dxa"/>
            </w:tcMar>
          </w:tcPr>
          <w:p>
            <w:pPr>
              <w:spacing w:after="0"/>
            </w:pPr>
            <w:r>
              <w:rPr>
                <w:sz w:val="17"/>
              </w:rPr>
              <w:t>Graph</w:t>
            </w:r>
          </w:p>
        </w:tc>
        <w:tc>
          <w:tcPr>
            <w:tcW w:type="dxa" w:w="7200"/>
            <w:vAlign w:val="center"/>
            <w:tcMar>
              <w:top w:w="90" w:type="dxa"/>
              <w:start w:w="110" w:type="dxa"/>
              <w:bottom w:w="90" w:type="dxa"/>
              <w:end w:w="110" w:type="dxa"/>
            </w:tcMar>
          </w:tcPr>
          <w:p>
            <w:pPr>
              <w:spacing w:after="0"/>
            </w:pPr>
            <w:r>
              <w:rPr>
                <w:sz w:val="17"/>
              </w:rPr>
              <w:t>Relational graph queries initially; Neo4j/Memgraph optional projection</w:t>
            </w:r>
          </w:p>
        </w:tc>
      </w:tr>
      <w:tr>
        <w:tc>
          <w:tcPr>
            <w:tcW w:type="dxa" w:w="2880"/>
            <w:vAlign w:val="center"/>
            <w:tcMar>
              <w:top w:w="90" w:type="dxa"/>
              <w:start w:w="110" w:type="dxa"/>
              <w:bottom w:w="90" w:type="dxa"/>
              <w:end w:w="110" w:type="dxa"/>
            </w:tcMar>
          </w:tcPr>
          <w:p>
            <w:pPr>
              <w:spacing w:after="0"/>
            </w:pPr>
            <w:r>
              <w:rPr>
                <w:sz w:val="17"/>
              </w:rPr>
              <w:t>Async jobs</w:t>
            </w:r>
          </w:p>
        </w:tc>
        <w:tc>
          <w:tcPr>
            <w:tcW w:type="dxa" w:w="7200"/>
            <w:vAlign w:val="center"/>
            <w:tcMar>
              <w:top w:w="90" w:type="dxa"/>
              <w:start w:w="110" w:type="dxa"/>
              <w:bottom w:w="90" w:type="dxa"/>
              <w:end w:w="110" w:type="dxa"/>
            </w:tcMar>
          </w:tcPr>
          <w:p>
            <w:pPr>
              <w:spacing w:after="0"/>
            </w:pPr>
            <w:r>
              <w:rPr>
                <w:sz w:val="17"/>
              </w:rPr>
              <w:t>Celery/RQ + Redis or equivalent</w:t>
            </w:r>
          </w:p>
        </w:tc>
      </w:tr>
      <w:tr>
        <w:tc>
          <w:tcPr>
            <w:tcW w:type="dxa" w:w="2880"/>
            <w:vAlign w:val="center"/>
            <w:tcMar>
              <w:top w:w="90" w:type="dxa"/>
              <w:start w:w="110" w:type="dxa"/>
              <w:bottom w:w="90" w:type="dxa"/>
              <w:end w:w="110" w:type="dxa"/>
            </w:tcMar>
          </w:tcPr>
          <w:p>
            <w:pPr>
              <w:spacing w:after="0"/>
            </w:pPr>
            <w:r>
              <w:rPr>
                <w:sz w:val="17"/>
              </w:rPr>
              <w:t>IAM</w:t>
            </w:r>
          </w:p>
        </w:tc>
        <w:tc>
          <w:tcPr>
            <w:tcW w:type="dxa" w:w="7200"/>
            <w:vAlign w:val="center"/>
            <w:tcMar>
              <w:top w:w="90" w:type="dxa"/>
              <w:start w:w="110" w:type="dxa"/>
              <w:bottom w:w="90" w:type="dxa"/>
              <w:end w:w="110" w:type="dxa"/>
            </w:tcMar>
          </w:tcPr>
          <w:p>
            <w:pPr>
              <w:spacing w:after="0"/>
            </w:pPr>
            <w:r>
              <w:rPr>
                <w:sz w:val="17"/>
              </w:rPr>
              <w:t>Keycloak / OIDC provider</w:t>
            </w:r>
          </w:p>
        </w:tc>
      </w:tr>
      <w:tr>
        <w:tc>
          <w:tcPr>
            <w:tcW w:type="dxa" w:w="2880"/>
            <w:vAlign w:val="center"/>
            <w:tcMar>
              <w:top w:w="90" w:type="dxa"/>
              <w:start w:w="110" w:type="dxa"/>
              <w:bottom w:w="90" w:type="dxa"/>
              <w:end w:w="110" w:type="dxa"/>
            </w:tcMar>
          </w:tcPr>
          <w:p>
            <w:pPr>
              <w:spacing w:after="0"/>
            </w:pPr>
            <w:r>
              <w:rPr>
                <w:sz w:val="17"/>
              </w:rPr>
              <w:t>Reverse proxy</w:t>
            </w:r>
          </w:p>
        </w:tc>
        <w:tc>
          <w:tcPr>
            <w:tcW w:type="dxa" w:w="7200"/>
            <w:vAlign w:val="center"/>
            <w:tcMar>
              <w:top w:w="90" w:type="dxa"/>
              <w:start w:w="110" w:type="dxa"/>
              <w:bottom w:w="90" w:type="dxa"/>
              <w:end w:w="110" w:type="dxa"/>
            </w:tcMar>
          </w:tcPr>
          <w:p>
            <w:pPr>
              <w:spacing w:after="0"/>
            </w:pPr>
            <w:r>
              <w:rPr>
                <w:sz w:val="17"/>
              </w:rPr>
              <w:t>Nginx / Caddy</w:t>
            </w:r>
          </w:p>
        </w:tc>
      </w:tr>
      <w:tr>
        <w:tc>
          <w:tcPr>
            <w:tcW w:type="dxa" w:w="2880"/>
            <w:vAlign w:val="center"/>
            <w:tcMar>
              <w:top w:w="90" w:type="dxa"/>
              <w:start w:w="110" w:type="dxa"/>
              <w:bottom w:w="90" w:type="dxa"/>
              <w:end w:w="110" w:type="dxa"/>
            </w:tcMar>
          </w:tcPr>
          <w:p>
            <w:pPr>
              <w:spacing w:after="0"/>
            </w:pPr>
            <w:r>
              <w:rPr>
                <w:sz w:val="17"/>
              </w:rPr>
              <w:t>Observability</w:t>
            </w:r>
          </w:p>
        </w:tc>
        <w:tc>
          <w:tcPr>
            <w:tcW w:type="dxa" w:w="7200"/>
            <w:vAlign w:val="center"/>
            <w:tcMar>
              <w:top w:w="90" w:type="dxa"/>
              <w:start w:w="110" w:type="dxa"/>
              <w:bottom w:w="90" w:type="dxa"/>
              <w:end w:w="110" w:type="dxa"/>
            </w:tcMar>
          </w:tcPr>
          <w:p>
            <w:pPr>
              <w:spacing w:after="0"/>
            </w:pPr>
            <w:r>
              <w:rPr>
                <w:sz w:val="17"/>
              </w:rPr>
              <w:t>OpenTelemetry + Prometheus/Grafana or equivalent</w:t>
            </w:r>
          </w:p>
        </w:tc>
      </w:tr>
      <w:tr>
        <w:tc>
          <w:tcPr>
            <w:tcW w:type="dxa" w:w="2880"/>
            <w:vAlign w:val="center"/>
            <w:tcMar>
              <w:top w:w="90" w:type="dxa"/>
              <w:start w:w="110" w:type="dxa"/>
              <w:bottom w:w="90" w:type="dxa"/>
              <w:end w:w="110" w:type="dxa"/>
            </w:tcMar>
          </w:tcPr>
          <w:p>
            <w:pPr>
              <w:spacing w:after="0"/>
            </w:pPr>
            <w:r>
              <w:rPr>
                <w:sz w:val="17"/>
              </w:rPr>
              <w:t>Deployment</w:t>
            </w:r>
          </w:p>
        </w:tc>
        <w:tc>
          <w:tcPr>
            <w:tcW w:type="dxa" w:w="7200"/>
            <w:vAlign w:val="center"/>
            <w:tcMar>
              <w:top w:w="90" w:type="dxa"/>
              <w:start w:w="110" w:type="dxa"/>
              <w:bottom w:w="90" w:type="dxa"/>
              <w:end w:w="110" w:type="dxa"/>
            </w:tcMar>
          </w:tcPr>
          <w:p>
            <w:pPr>
              <w:spacing w:after="0"/>
            </w:pPr>
            <w:r>
              <w:rPr>
                <w:sz w:val="17"/>
              </w:rPr>
              <w:t>Containers or VMs on Linux</w:t>
            </w:r>
          </w:p>
        </w:tc>
      </w:tr>
    </w:tbl>
    <w:p>
      <w:pPr>
        <w:spacing w:after="20"/>
      </w:pPr>
    </w:p>
    <w:p>
      <w:pPr>
        <w:pStyle w:val="Heading2"/>
      </w:pPr>
      <w:r>
        <w:t>28.2 Profile R2 - Segmented production deployment</w:t>
      </w:r>
    </w:p>
    <w:p>
      <w:pPr>
        <w:pStyle w:val="CodeBlock"/>
        <w:shd w:fill="F7F8FA"/>
      </w:pPr>
      <w:r>
        <w:t>[OIDC/IAM]       [SIEM/Monitoring]</w:t>
        <w:br/>
        <w:t xml:space="preserve">     |                  ^</w:t>
        <w:br/>
        <w:t xml:space="preserve">     v                  |</w:t>
        <w:br/>
        <w:t>[Reverse Proxy] -&gt; [Application/API] -&gt; [Workers]</w:t>
        <w:br/>
        <w:t xml:space="preserve">                         |   |   |</w:t>
        <w:br/>
        <w:t xml:space="preserve">                         |   |   +--&gt; Search Index</w:t>
        <w:br/>
        <w:t xml:space="preserve">                         |   +------&gt; Graph Projection</w:t>
        <w:br/>
        <w:t xml:space="preserve">                         +----------&gt; PostgreSQL</w:t>
        <w:br/>
        <w:t xml:space="preserve">                         +----------&gt; Evidence Object Store</w:t>
        <w:br/>
        <w:t xml:space="preserve">                                      |</w:t>
        <w:br/>
        <w:t xml:space="preserve">                                  Backup Vault</w:t>
      </w:r>
    </w:p>
    <w:p>
      <w:pPr>
        <w:pStyle w:val="Heading2"/>
      </w:pPr>
      <w:r>
        <w:t>28.3 Technology selection criteria</w:t>
      </w:r>
    </w:p>
    <w:p>
      <w:pPr>
        <w:pStyle w:val="ListBullet"/>
        <w:spacing w:after="40"/>
      </w:pPr>
      <w:r>
        <w:t>Self-hostability and exportability</w:t>
      </w:r>
    </w:p>
    <w:p>
      <w:pPr>
        <w:pStyle w:val="ListBullet"/>
        <w:spacing w:after="40"/>
      </w:pPr>
      <w:r>
        <w:t>Security maintenance cadence</w:t>
      </w:r>
    </w:p>
    <w:p>
      <w:pPr>
        <w:pStyle w:val="ListBullet"/>
        <w:spacing w:after="40"/>
      </w:pPr>
      <w:r>
        <w:t>Mature access controls</w:t>
      </w:r>
    </w:p>
    <w:p>
      <w:pPr>
        <w:pStyle w:val="ListBullet"/>
        <w:spacing w:after="40"/>
      </w:pPr>
      <w:r>
        <w:t>Backup/restore tooling</w:t>
      </w:r>
    </w:p>
    <w:p>
      <w:pPr>
        <w:pStyle w:val="ListBullet"/>
        <w:spacing w:after="40"/>
      </w:pPr>
      <w:r>
        <w:t>Data portability</w:t>
      </w:r>
    </w:p>
    <w:p>
      <w:pPr>
        <w:pStyle w:val="ListBullet"/>
        <w:spacing w:after="40"/>
      </w:pPr>
      <w:r>
        <w:t>Operational skill availability</w:t>
      </w:r>
    </w:p>
    <w:p>
      <w:pPr>
        <w:pStyle w:val="ListBullet"/>
        <w:spacing w:after="40"/>
      </w:pPr>
      <w:r>
        <w:t>Resource footprint</w:t>
      </w:r>
    </w:p>
    <w:p>
      <w:pPr>
        <w:pStyle w:val="ListBullet"/>
        <w:spacing w:after="40"/>
      </w:pPr>
      <w:r>
        <w:t>Ability to preserve provenance and audit</w:t>
      </w:r>
    </w:p>
    <w:p>
      <w:pPr>
        <w:pStyle w:val="ListBullet"/>
        <w:spacing w:after="40"/>
      </w:pPr>
      <w:r>
        <w:t>Avoidance of mandatory third-party exposure of sensitive data</w:t>
      </w:r>
    </w:p>
    <w:p>
      <w:pPr>
        <w:pStyle w:val="Heading1"/>
      </w:pPr>
      <w:r>
        <w:t>29. Architecture Decision Records</w:t>
      </w:r>
    </w:p>
    <w:p>
      <w:pPr>
        <w:spacing w:after="100" w:line="259" w:lineRule="auto"/>
      </w:pPr>
      <w:r>
        <w:rPr>
          <w:b w:val="0"/>
          <w:i w:val="0"/>
        </w:rPr>
        <w:t>Material architecture choices SHALL be documented so future maintainers understand why a decision was made, what risks were accepted, and when reconsideration is required.</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Mar>
              <w:top w:w="90" w:type="dxa"/>
              <w:start w:w="110" w:type="dxa"/>
              <w:bottom w:w="90" w:type="dxa"/>
              <w:end w:w="110" w:type="dxa"/>
            </w:tcMar>
          </w:tcPr>
          <w:p>
            <w:r>
              <w:rPr>
                <w:b/>
                <w:color w:val="FFFFFF"/>
                <w:sz w:val="17"/>
              </w:rPr>
              <w:t>ADR field</w:t>
            </w:r>
          </w:p>
        </w:tc>
        <w:tc>
          <w:tcPr>
            <w:tcW w:type="dxa" w:w="7488"/>
            <w:shd w:fill="1F4E79"/>
            <w:vAlign w:val="center"/>
            <w:tcMar>
              <w:top w:w="90" w:type="dxa"/>
              <w:start w:w="110" w:type="dxa"/>
              <w:bottom w:w="90" w:type="dxa"/>
              <w:end w:w="110" w:type="dxa"/>
            </w:tcMar>
          </w:tcPr>
          <w:p>
            <w:r>
              <w:rPr>
                <w:b/>
                <w:color w:val="FFFFFF"/>
                <w:sz w:val="17"/>
              </w:rPr>
              <w:t>Requirement</w:t>
            </w:r>
          </w:p>
        </w:tc>
      </w:tr>
      <w:tr>
        <w:tc>
          <w:tcPr>
            <w:tcW w:type="dxa" w:w="2592"/>
            <w:vAlign w:val="center"/>
            <w:tcMar>
              <w:top w:w="90" w:type="dxa"/>
              <w:start w:w="110" w:type="dxa"/>
              <w:bottom w:w="90" w:type="dxa"/>
              <w:end w:w="110" w:type="dxa"/>
            </w:tcMar>
          </w:tcPr>
          <w:p>
            <w:pPr>
              <w:spacing w:after="0"/>
            </w:pPr>
            <w:r>
              <w:rPr>
                <w:sz w:val="17"/>
              </w:rPr>
              <w:t>Decision ID</w:t>
            </w:r>
          </w:p>
        </w:tc>
        <w:tc>
          <w:tcPr>
            <w:tcW w:type="dxa" w:w="7488"/>
            <w:vAlign w:val="center"/>
            <w:tcMar>
              <w:top w:w="90" w:type="dxa"/>
              <w:start w:w="110" w:type="dxa"/>
              <w:bottom w:w="90" w:type="dxa"/>
              <w:end w:w="110" w:type="dxa"/>
            </w:tcMar>
          </w:tcPr>
          <w:p>
            <w:pPr>
              <w:spacing w:after="0"/>
            </w:pPr>
            <w:r>
              <w:rPr>
                <w:sz w:val="17"/>
              </w:rPr>
              <w:t>Stable identifier</w:t>
            </w:r>
          </w:p>
        </w:tc>
      </w:tr>
      <w:tr>
        <w:tc>
          <w:tcPr>
            <w:tcW w:type="dxa" w:w="2592"/>
            <w:vAlign w:val="center"/>
            <w:tcMar>
              <w:top w:w="90" w:type="dxa"/>
              <w:start w:w="110" w:type="dxa"/>
              <w:bottom w:w="90" w:type="dxa"/>
              <w:end w:w="110" w:type="dxa"/>
            </w:tcMar>
          </w:tcPr>
          <w:p>
            <w:pPr>
              <w:spacing w:after="0"/>
            </w:pPr>
            <w:r>
              <w:rPr>
                <w:sz w:val="17"/>
              </w:rPr>
              <w:t>Context</w:t>
            </w:r>
          </w:p>
        </w:tc>
        <w:tc>
          <w:tcPr>
            <w:tcW w:type="dxa" w:w="7488"/>
            <w:vAlign w:val="center"/>
            <w:tcMar>
              <w:top w:w="90" w:type="dxa"/>
              <w:start w:w="110" w:type="dxa"/>
              <w:bottom w:w="90" w:type="dxa"/>
              <w:end w:w="110" w:type="dxa"/>
            </w:tcMar>
          </w:tcPr>
          <w:p>
            <w:pPr>
              <w:spacing w:after="0"/>
            </w:pPr>
            <w:r>
              <w:rPr>
                <w:sz w:val="17"/>
              </w:rPr>
              <w:t>Problem and constraints</w:t>
            </w:r>
          </w:p>
        </w:tc>
      </w:tr>
      <w:tr>
        <w:tc>
          <w:tcPr>
            <w:tcW w:type="dxa" w:w="2592"/>
            <w:vAlign w:val="center"/>
            <w:tcMar>
              <w:top w:w="90" w:type="dxa"/>
              <w:start w:w="110" w:type="dxa"/>
              <w:bottom w:w="90" w:type="dxa"/>
              <w:end w:w="110" w:type="dxa"/>
            </w:tcMar>
          </w:tcPr>
          <w:p>
            <w:pPr>
              <w:spacing w:after="0"/>
            </w:pPr>
            <w:r>
              <w:rPr>
                <w:sz w:val="17"/>
              </w:rPr>
              <w:t>Decision</w:t>
            </w:r>
          </w:p>
        </w:tc>
        <w:tc>
          <w:tcPr>
            <w:tcW w:type="dxa" w:w="7488"/>
            <w:vAlign w:val="center"/>
            <w:tcMar>
              <w:top w:w="90" w:type="dxa"/>
              <w:start w:w="110" w:type="dxa"/>
              <w:bottom w:w="90" w:type="dxa"/>
              <w:end w:w="110" w:type="dxa"/>
            </w:tcMar>
          </w:tcPr>
          <w:p>
            <w:pPr>
              <w:spacing w:after="0"/>
            </w:pPr>
            <w:r>
              <w:rPr>
                <w:sz w:val="17"/>
              </w:rPr>
              <w:t>Chosen approach</w:t>
            </w:r>
          </w:p>
        </w:tc>
      </w:tr>
      <w:tr>
        <w:tc>
          <w:tcPr>
            <w:tcW w:type="dxa" w:w="2592"/>
            <w:vAlign w:val="center"/>
            <w:tcMar>
              <w:top w:w="90" w:type="dxa"/>
              <w:start w:w="110" w:type="dxa"/>
              <w:bottom w:w="90" w:type="dxa"/>
              <w:end w:w="110" w:type="dxa"/>
            </w:tcMar>
          </w:tcPr>
          <w:p>
            <w:pPr>
              <w:spacing w:after="0"/>
            </w:pPr>
            <w:r>
              <w:rPr>
                <w:sz w:val="17"/>
              </w:rPr>
              <w:t>Alternatives</w:t>
            </w:r>
          </w:p>
        </w:tc>
        <w:tc>
          <w:tcPr>
            <w:tcW w:type="dxa" w:w="7488"/>
            <w:vAlign w:val="center"/>
            <w:tcMar>
              <w:top w:w="90" w:type="dxa"/>
              <w:start w:w="110" w:type="dxa"/>
              <w:bottom w:w="90" w:type="dxa"/>
              <w:end w:w="110" w:type="dxa"/>
            </w:tcMar>
          </w:tcPr>
          <w:p>
            <w:pPr>
              <w:spacing w:after="0"/>
            </w:pPr>
            <w:r>
              <w:rPr>
                <w:sz w:val="17"/>
              </w:rPr>
              <w:t>Material options considered</w:t>
            </w:r>
          </w:p>
        </w:tc>
      </w:tr>
      <w:tr>
        <w:tc>
          <w:tcPr>
            <w:tcW w:type="dxa" w:w="2592"/>
            <w:vAlign w:val="center"/>
            <w:tcMar>
              <w:top w:w="90" w:type="dxa"/>
              <w:start w:w="110" w:type="dxa"/>
              <w:bottom w:w="90" w:type="dxa"/>
              <w:end w:w="110" w:type="dxa"/>
            </w:tcMar>
          </w:tcPr>
          <w:p>
            <w:pPr>
              <w:spacing w:after="0"/>
            </w:pPr>
            <w:r>
              <w:rPr>
                <w:sz w:val="17"/>
              </w:rPr>
              <w:t>Security/privacy impact</w:t>
            </w:r>
          </w:p>
        </w:tc>
        <w:tc>
          <w:tcPr>
            <w:tcW w:type="dxa" w:w="7488"/>
            <w:vAlign w:val="center"/>
            <w:tcMar>
              <w:top w:w="90" w:type="dxa"/>
              <w:start w:w="110" w:type="dxa"/>
              <w:bottom w:w="90" w:type="dxa"/>
              <w:end w:w="110" w:type="dxa"/>
            </w:tcMar>
          </w:tcPr>
          <w:p>
            <w:pPr>
              <w:spacing w:after="0"/>
            </w:pPr>
            <w:r>
              <w:rPr>
                <w:sz w:val="17"/>
              </w:rPr>
              <w:t>Threat and data-protection consequences</w:t>
            </w:r>
          </w:p>
        </w:tc>
      </w:tr>
      <w:tr>
        <w:tc>
          <w:tcPr>
            <w:tcW w:type="dxa" w:w="2592"/>
            <w:vAlign w:val="center"/>
            <w:tcMar>
              <w:top w:w="90" w:type="dxa"/>
              <w:start w:w="110" w:type="dxa"/>
              <w:bottom w:w="90" w:type="dxa"/>
              <w:end w:w="110" w:type="dxa"/>
            </w:tcMar>
          </w:tcPr>
          <w:p>
            <w:pPr>
              <w:spacing w:after="0"/>
            </w:pPr>
            <w:r>
              <w:rPr>
                <w:sz w:val="17"/>
              </w:rPr>
              <w:t>Operational impact</w:t>
            </w:r>
          </w:p>
        </w:tc>
        <w:tc>
          <w:tcPr>
            <w:tcW w:type="dxa" w:w="7488"/>
            <w:vAlign w:val="center"/>
            <w:tcMar>
              <w:top w:w="90" w:type="dxa"/>
              <w:start w:w="110" w:type="dxa"/>
              <w:bottom w:w="90" w:type="dxa"/>
              <w:end w:w="110" w:type="dxa"/>
            </w:tcMar>
          </w:tcPr>
          <w:p>
            <w:pPr>
              <w:spacing w:after="0"/>
            </w:pPr>
            <w:r>
              <w:rPr>
                <w:sz w:val="17"/>
              </w:rPr>
              <w:t>Skills, cost, maintenance</w:t>
            </w:r>
          </w:p>
        </w:tc>
      </w:tr>
      <w:tr>
        <w:tc>
          <w:tcPr>
            <w:tcW w:type="dxa" w:w="2592"/>
            <w:vAlign w:val="center"/>
            <w:tcMar>
              <w:top w:w="90" w:type="dxa"/>
              <w:start w:w="110" w:type="dxa"/>
              <w:bottom w:w="90" w:type="dxa"/>
              <w:end w:w="110" w:type="dxa"/>
            </w:tcMar>
          </w:tcPr>
          <w:p>
            <w:pPr>
              <w:spacing w:after="0"/>
            </w:pPr>
            <w:r>
              <w:rPr>
                <w:sz w:val="17"/>
              </w:rPr>
              <w:t>Status</w:t>
            </w:r>
          </w:p>
        </w:tc>
        <w:tc>
          <w:tcPr>
            <w:tcW w:type="dxa" w:w="7488"/>
            <w:vAlign w:val="center"/>
            <w:tcMar>
              <w:top w:w="90" w:type="dxa"/>
              <w:start w:w="110" w:type="dxa"/>
              <w:bottom w:w="90" w:type="dxa"/>
              <w:end w:w="110" w:type="dxa"/>
            </w:tcMar>
          </w:tcPr>
          <w:p>
            <w:pPr>
              <w:spacing w:after="0"/>
            </w:pPr>
            <w:r>
              <w:rPr>
                <w:sz w:val="17"/>
              </w:rPr>
              <w:t>Proposed / Accepted / Superseded</w:t>
            </w:r>
          </w:p>
        </w:tc>
      </w:tr>
      <w:tr>
        <w:tc>
          <w:tcPr>
            <w:tcW w:type="dxa" w:w="2592"/>
            <w:vAlign w:val="center"/>
            <w:tcMar>
              <w:top w:w="90" w:type="dxa"/>
              <w:start w:w="110" w:type="dxa"/>
              <w:bottom w:w="90" w:type="dxa"/>
              <w:end w:w="110" w:type="dxa"/>
            </w:tcMar>
          </w:tcPr>
          <w:p>
            <w:pPr>
              <w:spacing w:after="0"/>
            </w:pPr>
            <w:r>
              <w:rPr>
                <w:sz w:val="17"/>
              </w:rPr>
              <w:t>Review trigger</w:t>
            </w:r>
          </w:p>
        </w:tc>
        <w:tc>
          <w:tcPr>
            <w:tcW w:type="dxa" w:w="7488"/>
            <w:vAlign w:val="center"/>
            <w:tcMar>
              <w:top w:w="90" w:type="dxa"/>
              <w:start w:w="110" w:type="dxa"/>
              <w:bottom w:w="90" w:type="dxa"/>
              <w:end w:w="110" w:type="dxa"/>
            </w:tcMar>
          </w:tcPr>
          <w:p>
            <w:pPr>
              <w:spacing w:after="0"/>
            </w:pPr>
            <w:r>
              <w:rPr>
                <w:sz w:val="17"/>
              </w:rPr>
              <w:t>Date, scale threshold, threat change, dependency change</w:t>
            </w:r>
          </w:p>
        </w:tc>
      </w:tr>
    </w:tbl>
    <w:p>
      <w:pPr>
        <w:spacing w:after="20"/>
      </w:pPr>
    </w:p>
    <w:p>
      <w:pPr>
        <w:pStyle w:val="Heading1"/>
      </w:pPr>
      <w:r>
        <w:t>30. Conformance and Verification</w:t>
      </w:r>
    </w:p>
    <w:p>
      <w:pPr>
        <w:pStyle w:val="Heading2"/>
      </w:pPr>
      <w:r>
        <w:t>30.1 Technology conformance levels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4E79"/>
            <w:vAlign w:val="center"/>
            <w:tcMar>
              <w:top w:w="90" w:type="dxa"/>
              <w:start w:w="110" w:type="dxa"/>
              <w:bottom w:w="90" w:type="dxa"/>
              <w:end w:w="110" w:type="dxa"/>
            </w:tcMar>
          </w:tcPr>
          <w:p>
            <w:r>
              <w:rPr>
                <w:b/>
                <w:color w:val="FFFFFF"/>
                <w:sz w:val="17"/>
              </w:rPr>
              <w:t>Level</w:t>
            </w:r>
          </w:p>
        </w:tc>
        <w:tc>
          <w:tcPr>
            <w:tcW w:type="dxa" w:w="3168"/>
            <w:shd w:fill="1F4E79"/>
            <w:vAlign w:val="center"/>
            <w:tcMar>
              <w:top w:w="90" w:type="dxa"/>
              <w:start w:w="110" w:type="dxa"/>
              <w:bottom w:w="90" w:type="dxa"/>
              <w:end w:w="110" w:type="dxa"/>
            </w:tcMar>
          </w:tcPr>
          <w:p>
            <w:r>
              <w:rPr>
                <w:b/>
                <w:color w:val="FFFFFF"/>
                <w:sz w:val="17"/>
              </w:rPr>
              <w:t>Description</w:t>
            </w:r>
          </w:p>
        </w:tc>
        <w:tc>
          <w:tcPr>
            <w:tcW w:type="dxa" w:w="4896"/>
            <w:shd w:fill="1F4E79"/>
            <w:vAlign w:val="center"/>
            <w:tcMar>
              <w:top w:w="90" w:type="dxa"/>
              <w:start w:w="110" w:type="dxa"/>
              <w:bottom w:w="90" w:type="dxa"/>
              <w:end w:w="110" w:type="dxa"/>
            </w:tcMar>
          </w:tcPr>
          <w:p>
            <w:r>
              <w:rPr>
                <w:b/>
                <w:color w:val="FFFFFF"/>
                <w:sz w:val="17"/>
              </w:rPr>
              <w:t>Minimum expectation</w:t>
            </w:r>
          </w:p>
        </w:tc>
      </w:tr>
      <w:tr>
        <w:tc>
          <w:tcPr>
            <w:tcW w:type="dxa" w:w="2016"/>
            <w:vAlign w:val="center"/>
            <w:tcMar>
              <w:top w:w="90" w:type="dxa"/>
              <w:start w:w="110" w:type="dxa"/>
              <w:bottom w:w="90" w:type="dxa"/>
              <w:end w:w="110" w:type="dxa"/>
            </w:tcMar>
          </w:tcPr>
          <w:p>
            <w:pPr>
              <w:spacing w:after="0"/>
            </w:pPr>
            <w:r>
              <w:rPr>
                <w:sz w:val="17"/>
              </w:rPr>
              <w:t>T1 - Foundational</w:t>
            </w:r>
          </w:p>
        </w:tc>
        <w:tc>
          <w:tcPr>
            <w:tcW w:type="dxa" w:w="3168"/>
            <w:vAlign w:val="center"/>
            <w:tcMar>
              <w:top w:w="90" w:type="dxa"/>
              <w:start w:w="110" w:type="dxa"/>
              <w:bottom w:w="90" w:type="dxa"/>
              <w:end w:w="110" w:type="dxa"/>
            </w:tcMar>
          </w:tcPr>
          <w:p>
            <w:pPr>
              <w:spacing w:after="0"/>
            </w:pPr>
            <w:r>
              <w:rPr>
                <w:sz w:val="17"/>
              </w:rPr>
              <w:t>Small deployment with core records and controls</w:t>
            </w:r>
          </w:p>
        </w:tc>
        <w:tc>
          <w:tcPr>
            <w:tcW w:type="dxa" w:w="4896"/>
            <w:vAlign w:val="center"/>
            <w:tcMar>
              <w:top w:w="90" w:type="dxa"/>
              <w:start w:w="110" w:type="dxa"/>
              <w:bottom w:w="90" w:type="dxa"/>
              <w:end w:w="110" w:type="dxa"/>
            </w:tcMar>
          </w:tcPr>
          <w:p>
            <w:pPr>
              <w:spacing w:after="0"/>
            </w:pPr>
            <w:r>
              <w:rPr>
                <w:sz w:val="17"/>
              </w:rPr>
              <w:t>Case, evidence/provenance, entity/relationship, authorization, audit, backup, controlled export</w:t>
            </w:r>
          </w:p>
        </w:tc>
      </w:tr>
      <w:tr>
        <w:tc>
          <w:tcPr>
            <w:tcW w:type="dxa" w:w="2016"/>
            <w:vAlign w:val="center"/>
            <w:tcMar>
              <w:top w:w="90" w:type="dxa"/>
              <w:start w:w="110" w:type="dxa"/>
              <w:bottom w:w="90" w:type="dxa"/>
              <w:end w:w="110" w:type="dxa"/>
            </w:tcMar>
          </w:tcPr>
          <w:p>
            <w:pPr>
              <w:spacing w:after="0"/>
            </w:pPr>
            <w:r>
              <w:rPr>
                <w:sz w:val="17"/>
              </w:rPr>
              <w:t>T2 - Operational</w:t>
            </w:r>
          </w:p>
        </w:tc>
        <w:tc>
          <w:tcPr>
            <w:tcW w:type="dxa" w:w="3168"/>
            <w:vAlign w:val="center"/>
            <w:tcMar>
              <w:top w:w="90" w:type="dxa"/>
              <w:start w:w="110" w:type="dxa"/>
              <w:bottom w:w="90" w:type="dxa"/>
              <w:end w:w="110" w:type="dxa"/>
            </w:tcMar>
          </w:tcPr>
          <w:p>
            <w:pPr>
              <w:spacing w:after="0"/>
            </w:pPr>
            <w:r>
              <w:rPr>
                <w:sz w:val="17"/>
              </w:rPr>
              <w:t>Structured analytics and review</w:t>
            </w:r>
          </w:p>
        </w:tc>
        <w:tc>
          <w:tcPr>
            <w:tcW w:type="dxa" w:w="4896"/>
            <w:vAlign w:val="center"/>
            <w:tcMar>
              <w:top w:w="90" w:type="dxa"/>
              <w:start w:w="110" w:type="dxa"/>
              <w:bottom w:w="90" w:type="dxa"/>
              <w:end w:w="110" w:type="dxa"/>
            </w:tcMar>
          </w:tcPr>
          <w:p>
            <w:pPr>
              <w:spacing w:after="0"/>
            </w:pPr>
            <w:r>
              <w:rPr>
                <w:sz w:val="17"/>
              </w:rPr>
              <w:t>Search, timeline/value flow, workflow gates, stronger IAM, tested restore, product approval</w:t>
            </w:r>
          </w:p>
        </w:tc>
      </w:tr>
      <w:tr>
        <w:tc>
          <w:tcPr>
            <w:tcW w:type="dxa" w:w="2016"/>
            <w:vAlign w:val="center"/>
            <w:tcMar>
              <w:top w:w="90" w:type="dxa"/>
              <w:start w:w="110" w:type="dxa"/>
              <w:bottom w:w="90" w:type="dxa"/>
              <w:end w:w="110" w:type="dxa"/>
            </w:tcMar>
          </w:tcPr>
          <w:p>
            <w:pPr>
              <w:spacing w:after="0"/>
            </w:pPr>
            <w:r>
              <w:rPr>
                <w:sz w:val="17"/>
              </w:rPr>
              <w:t>T3 - Analytical</w:t>
            </w:r>
          </w:p>
        </w:tc>
        <w:tc>
          <w:tcPr>
            <w:tcW w:type="dxa" w:w="3168"/>
            <w:vAlign w:val="center"/>
            <w:tcMar>
              <w:top w:w="90" w:type="dxa"/>
              <w:start w:w="110" w:type="dxa"/>
              <w:bottom w:w="90" w:type="dxa"/>
              <w:end w:w="110" w:type="dxa"/>
            </w:tcMar>
          </w:tcPr>
          <w:p>
            <w:pPr>
              <w:spacing w:after="0"/>
            </w:pPr>
            <w:r>
              <w:rPr>
                <w:sz w:val="17"/>
              </w:rPr>
              <w:t>Advanced graph/typology/automation</w:t>
            </w:r>
          </w:p>
        </w:tc>
        <w:tc>
          <w:tcPr>
            <w:tcW w:type="dxa" w:w="4896"/>
            <w:vAlign w:val="center"/>
            <w:tcMar>
              <w:top w:w="90" w:type="dxa"/>
              <w:start w:w="110" w:type="dxa"/>
              <w:bottom w:w="90" w:type="dxa"/>
              <w:end w:w="110" w:type="dxa"/>
            </w:tcMar>
          </w:tcPr>
          <w:p>
            <w:pPr>
              <w:spacing w:after="0"/>
            </w:pPr>
            <w:r>
              <w:rPr>
                <w:sz w:val="17"/>
              </w:rPr>
              <w:t>Graph analytics, entity-resolution workflow, typology services, controlled AI/automation</w:t>
            </w:r>
          </w:p>
        </w:tc>
      </w:tr>
      <w:tr>
        <w:tc>
          <w:tcPr>
            <w:tcW w:type="dxa" w:w="2016"/>
            <w:vAlign w:val="center"/>
            <w:tcMar>
              <w:top w:w="90" w:type="dxa"/>
              <w:start w:w="110" w:type="dxa"/>
              <w:bottom w:w="90" w:type="dxa"/>
              <w:end w:w="110" w:type="dxa"/>
            </w:tcMar>
          </w:tcPr>
          <w:p>
            <w:pPr>
              <w:spacing w:after="0"/>
            </w:pPr>
            <w:r>
              <w:rPr>
                <w:sz w:val="17"/>
              </w:rPr>
              <w:t>T4 - Federated/High Assurance</w:t>
            </w:r>
          </w:p>
        </w:tc>
        <w:tc>
          <w:tcPr>
            <w:tcW w:type="dxa" w:w="3168"/>
            <w:vAlign w:val="center"/>
            <w:tcMar>
              <w:top w:w="90" w:type="dxa"/>
              <w:start w:w="110" w:type="dxa"/>
              <w:bottom w:w="90" w:type="dxa"/>
              <w:end w:w="110" w:type="dxa"/>
            </w:tcMar>
          </w:tcPr>
          <w:p>
            <w:pPr>
              <w:spacing w:after="0"/>
            </w:pPr>
            <w:r>
              <w:rPr>
                <w:sz w:val="17"/>
              </w:rPr>
              <w:t>Multi-organisation or high-risk operation</w:t>
            </w:r>
          </w:p>
        </w:tc>
        <w:tc>
          <w:tcPr>
            <w:tcW w:type="dxa" w:w="4896"/>
            <w:vAlign w:val="center"/>
            <w:tcMar>
              <w:top w:w="90" w:type="dxa"/>
              <w:start w:w="110" w:type="dxa"/>
              <w:bottom w:w="90" w:type="dxa"/>
              <w:end w:w="110" w:type="dxa"/>
            </w:tcMar>
          </w:tcPr>
          <w:p>
            <w:pPr>
              <w:spacing w:after="0"/>
            </w:pPr>
            <w:r>
              <w:rPr>
                <w:sz w:val="17"/>
              </w:rPr>
              <w:t>Federation controls, stronger isolation, independent audit archive, supply-chain provenance, enhanced DR</w:t>
            </w:r>
          </w:p>
        </w:tc>
      </w:tr>
    </w:tbl>
    <w:p>
      <w:pPr>
        <w:spacing w:after="20"/>
      </w:pPr>
    </w:p>
    <w:p>
      <w:pPr>
        <w:pStyle w:val="Heading2"/>
      </w:pPr>
      <w:r>
        <w:t>30.2 Mandatory verification questions</w:t>
      </w:r>
    </w:p>
    <w:p>
      <w:pPr>
        <w:pStyle w:val="ListBullet"/>
        <w:spacing w:after="40"/>
      </w:pPr>
      <w:r>
        <w:t>Can every externally disseminated analytical conclusion be traced to an approved assessment and underlying evidence?</w:t>
      </w:r>
    </w:p>
    <w:p>
      <w:pPr>
        <w:pStyle w:val="ListBullet"/>
        <w:spacing w:after="40"/>
      </w:pPr>
      <w:r>
        <w:t>Can the system distinguish direct evidence from reconstructed or hypothetical value flow everywhere it appears?</w:t>
      </w:r>
    </w:p>
    <w:p>
      <w:pPr>
        <w:pStyle w:val="ListBullet"/>
        <w:spacing w:after="40"/>
      </w:pPr>
      <w:r>
        <w:t>Can entity merges be reviewed and reversed?</w:t>
      </w:r>
    </w:p>
    <w:p>
      <w:pPr>
        <w:pStyle w:val="ListBullet"/>
        <w:spacing w:after="40"/>
      </w:pPr>
      <w:r>
        <w:t>Can a user search or export data outside their authorized case/purpose?</w:t>
      </w:r>
    </w:p>
    <w:p>
      <w:pPr>
        <w:pStyle w:val="ListBullet"/>
        <w:spacing w:after="40"/>
      </w:pPr>
      <w:r>
        <w:t>Can protected-source identity be separated from ordinary analytical records?</w:t>
      </w:r>
    </w:p>
    <w:p>
      <w:pPr>
        <w:pStyle w:val="ListBullet"/>
        <w:spacing w:after="40"/>
      </w:pPr>
      <w:r>
        <w:t>Can canonical records be restored independently of graph/search projections?</w:t>
      </w:r>
    </w:p>
    <w:p>
      <w:pPr>
        <w:pStyle w:val="ListBullet"/>
        <w:spacing w:after="40"/>
      </w:pPr>
      <w:r>
        <w:t>Are high-impact actions attributable to named actors with timestamps and versions?</w:t>
      </w:r>
    </w:p>
    <w:p>
      <w:pPr>
        <w:pStyle w:val="ListBullet"/>
        <w:spacing w:after="40"/>
      </w:pPr>
      <w:r>
        <w:t>Can the organisation demonstrate successful restore tests, not merely backup jobs?</w:t>
      </w:r>
    </w:p>
    <w:p>
      <w:pPr>
        <w:pStyle w:val="ListBullet"/>
        <w:spacing w:after="40"/>
      </w:pPr>
      <w:r>
        <w:t>Can sensitive data be exported without an auditable approval event?</w:t>
      </w:r>
    </w:p>
    <w:p>
      <w:pPr>
        <w:pStyle w:val="ListBullet"/>
        <w:spacing w:after="40"/>
      </w:pPr>
      <w:r>
        <w:t>Does any AI/automation path silently transform suggestion into fact or allegation?</w:t>
      </w:r>
    </w:p>
    <w:p>
      <w:pPr>
        <w:pStyle w:val="Heading2"/>
      </w:pPr>
      <w:r>
        <w:t>30.3 Architecture evidence pack</w:t>
      </w:r>
    </w:p>
    <w:p>
      <w:pPr>
        <w:pStyle w:val="ListBullet"/>
        <w:spacing w:after="40"/>
      </w:pPr>
      <w:r>
        <w:t>Current logical architecture diagram</w:t>
      </w:r>
    </w:p>
    <w:p>
      <w:pPr>
        <w:pStyle w:val="ListBullet"/>
        <w:spacing w:after="40"/>
      </w:pPr>
      <w:r>
        <w:t>Data-flow and trust-boundary diagram</w:t>
      </w:r>
    </w:p>
    <w:p>
      <w:pPr>
        <w:pStyle w:val="ListBullet"/>
        <w:spacing w:after="40"/>
      </w:pPr>
      <w:r>
        <w:t>Service/component inventory</w:t>
      </w:r>
    </w:p>
    <w:p>
      <w:pPr>
        <w:pStyle w:val="ListBullet"/>
        <w:spacing w:after="40"/>
      </w:pPr>
      <w:r>
        <w:t>Data-store inventory and classification</w:t>
      </w:r>
    </w:p>
    <w:p>
      <w:pPr>
        <w:pStyle w:val="ListBullet"/>
        <w:spacing w:after="40"/>
      </w:pPr>
      <w:r>
        <w:t>IAM/role matrix</w:t>
      </w:r>
    </w:p>
    <w:p>
      <w:pPr>
        <w:pStyle w:val="ListBullet"/>
        <w:spacing w:after="40"/>
      </w:pPr>
      <w:r>
        <w:t>Network exposure inventory</w:t>
      </w:r>
    </w:p>
    <w:p>
      <w:pPr>
        <w:pStyle w:val="ListBullet"/>
        <w:spacing w:after="40"/>
      </w:pPr>
      <w:r>
        <w:t>Backup/restore evidence</w:t>
      </w:r>
    </w:p>
    <w:p>
      <w:pPr>
        <w:pStyle w:val="ListBullet"/>
        <w:spacing w:after="40"/>
      </w:pPr>
      <w:r>
        <w:t>Audit event catalogue</w:t>
      </w:r>
    </w:p>
    <w:p>
      <w:pPr>
        <w:pStyle w:val="ListBullet"/>
        <w:spacing w:after="40"/>
      </w:pPr>
      <w:r>
        <w:t>Security hardening baseline</w:t>
      </w:r>
    </w:p>
    <w:p>
      <w:pPr>
        <w:pStyle w:val="ListBullet"/>
        <w:spacing w:after="40"/>
      </w:pPr>
      <w:r>
        <w:t>Incident response integration</w:t>
      </w:r>
    </w:p>
    <w:p>
      <w:pPr>
        <w:pStyle w:val="ListBullet"/>
        <w:spacing w:after="40"/>
      </w:pPr>
      <w:r>
        <w:t>Connector/integration register</w:t>
      </w:r>
    </w:p>
    <w:p>
      <w:pPr>
        <w:pStyle w:val="ListBullet"/>
        <w:spacing w:after="40"/>
      </w:pPr>
      <w:r>
        <w:t>ADR register</w:t>
      </w:r>
    </w:p>
    <w:p>
      <w:pPr>
        <w:pStyle w:val="ListBullet"/>
        <w:spacing w:after="40"/>
      </w:pPr>
      <w:r>
        <w:t>Conformance test results</w:t>
      </w:r>
    </w:p>
    <w:p>
      <w:pPr>
        <w:pStyle w:val="Heading1"/>
      </w:pPr>
      <w:r>
        <w:t>Annex A. Normative Component Catalogue</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1F4E79"/>
            <w:vAlign w:val="center"/>
            <w:tcMar>
              <w:top w:w="90" w:type="dxa"/>
              <w:start w:w="110" w:type="dxa"/>
              <w:bottom w:w="90" w:type="dxa"/>
              <w:end w:w="110" w:type="dxa"/>
            </w:tcMar>
          </w:tcPr>
          <w:p>
            <w:r>
              <w:rPr>
                <w:b/>
                <w:color w:val="FFFFFF"/>
                <w:sz w:val="17"/>
              </w:rPr>
              <w:t>ID</w:t>
            </w:r>
          </w:p>
        </w:tc>
        <w:tc>
          <w:tcPr>
            <w:tcW w:type="dxa" w:w="2592"/>
            <w:shd w:fill="1F4E79"/>
            <w:vAlign w:val="center"/>
            <w:tcMar>
              <w:top w:w="90" w:type="dxa"/>
              <w:start w:w="110" w:type="dxa"/>
              <w:bottom w:w="90" w:type="dxa"/>
              <w:end w:w="110" w:type="dxa"/>
            </w:tcMar>
          </w:tcPr>
          <w:p>
            <w:r>
              <w:rPr>
                <w:b/>
                <w:color w:val="FFFFFF"/>
                <w:sz w:val="17"/>
              </w:rPr>
              <w:t>Component</w:t>
            </w:r>
          </w:p>
        </w:tc>
        <w:tc>
          <w:tcPr>
            <w:tcW w:type="dxa" w:w="6336"/>
            <w:shd w:fill="1F4E79"/>
            <w:vAlign w:val="center"/>
            <w:tcMar>
              <w:top w:w="90" w:type="dxa"/>
              <w:start w:w="110" w:type="dxa"/>
              <w:bottom w:w="90" w:type="dxa"/>
              <w:end w:w="110" w:type="dxa"/>
            </w:tcMar>
          </w:tcPr>
          <w:p>
            <w:r>
              <w:rPr>
                <w:b/>
                <w:color w:val="FFFFFF"/>
                <w:sz w:val="17"/>
              </w:rPr>
              <w:t>Normative responsibility</w:t>
            </w:r>
          </w:p>
        </w:tc>
      </w:tr>
      <w:tr>
        <w:tc>
          <w:tcPr>
            <w:tcW w:type="dxa" w:w="1152"/>
            <w:vAlign w:val="center"/>
            <w:tcMar>
              <w:top w:w="90" w:type="dxa"/>
              <w:start w:w="110" w:type="dxa"/>
              <w:bottom w:w="90" w:type="dxa"/>
              <w:end w:w="110" w:type="dxa"/>
            </w:tcMar>
          </w:tcPr>
          <w:p>
            <w:pPr>
              <w:spacing w:after="0"/>
            </w:pPr>
            <w:r>
              <w:rPr>
                <w:sz w:val="17"/>
              </w:rPr>
              <w:t>TA-C01</w:t>
            </w:r>
          </w:p>
        </w:tc>
        <w:tc>
          <w:tcPr>
            <w:tcW w:type="dxa" w:w="2592"/>
            <w:vAlign w:val="center"/>
            <w:tcMar>
              <w:top w:w="90" w:type="dxa"/>
              <w:start w:w="110" w:type="dxa"/>
              <w:bottom w:w="90" w:type="dxa"/>
              <w:end w:w="110" w:type="dxa"/>
            </w:tcMar>
          </w:tcPr>
          <w:p>
            <w:pPr>
              <w:spacing w:after="0"/>
            </w:pPr>
            <w:r>
              <w:rPr>
                <w:sz w:val="17"/>
              </w:rPr>
              <w:t>Case Service</w:t>
            </w:r>
          </w:p>
        </w:tc>
        <w:tc>
          <w:tcPr>
            <w:tcW w:type="dxa" w:w="6336"/>
            <w:vAlign w:val="center"/>
            <w:tcMar>
              <w:top w:w="90" w:type="dxa"/>
              <w:start w:w="110" w:type="dxa"/>
              <w:bottom w:w="90" w:type="dxa"/>
              <w:end w:w="110" w:type="dxa"/>
            </w:tcMar>
          </w:tcPr>
          <w:p>
            <w:pPr>
              <w:spacing w:after="0"/>
            </w:pPr>
            <w:r>
              <w:rPr>
                <w:sz w:val="17"/>
              </w:rPr>
              <w:t>Canonical case metadata, ownership, scope, states</w:t>
            </w:r>
          </w:p>
        </w:tc>
      </w:tr>
      <w:tr>
        <w:tc>
          <w:tcPr>
            <w:tcW w:type="dxa" w:w="1152"/>
            <w:vAlign w:val="center"/>
            <w:tcMar>
              <w:top w:w="90" w:type="dxa"/>
              <w:start w:w="110" w:type="dxa"/>
              <w:bottom w:w="90" w:type="dxa"/>
              <w:end w:w="110" w:type="dxa"/>
            </w:tcMar>
          </w:tcPr>
          <w:p>
            <w:pPr>
              <w:spacing w:after="0"/>
            </w:pPr>
            <w:r>
              <w:rPr>
                <w:sz w:val="17"/>
              </w:rPr>
              <w:t>TA-C02</w:t>
            </w:r>
          </w:p>
        </w:tc>
        <w:tc>
          <w:tcPr>
            <w:tcW w:type="dxa" w:w="2592"/>
            <w:vAlign w:val="center"/>
            <w:tcMar>
              <w:top w:w="90" w:type="dxa"/>
              <w:start w:w="110" w:type="dxa"/>
              <w:bottom w:w="90" w:type="dxa"/>
              <w:end w:w="110" w:type="dxa"/>
            </w:tcMar>
          </w:tcPr>
          <w:p>
            <w:pPr>
              <w:spacing w:after="0"/>
            </w:pPr>
            <w:r>
              <w:rPr>
                <w:sz w:val="17"/>
              </w:rPr>
              <w:t>Evidence Service</w:t>
            </w:r>
          </w:p>
        </w:tc>
        <w:tc>
          <w:tcPr>
            <w:tcW w:type="dxa" w:w="6336"/>
            <w:vAlign w:val="center"/>
            <w:tcMar>
              <w:top w:w="90" w:type="dxa"/>
              <w:start w:w="110" w:type="dxa"/>
              <w:bottom w:w="90" w:type="dxa"/>
              <w:end w:w="110" w:type="dxa"/>
            </w:tcMar>
          </w:tcPr>
          <w:p>
            <w:pPr>
              <w:spacing w:after="0"/>
            </w:pPr>
            <w:r>
              <w:rPr>
                <w:sz w:val="17"/>
              </w:rPr>
              <w:t>Evidence registration, hashes, extracts, secure retrieval</w:t>
            </w:r>
          </w:p>
        </w:tc>
      </w:tr>
      <w:tr>
        <w:tc>
          <w:tcPr>
            <w:tcW w:type="dxa" w:w="1152"/>
            <w:vAlign w:val="center"/>
            <w:tcMar>
              <w:top w:w="90" w:type="dxa"/>
              <w:start w:w="110" w:type="dxa"/>
              <w:bottom w:w="90" w:type="dxa"/>
              <w:end w:w="110" w:type="dxa"/>
            </w:tcMar>
          </w:tcPr>
          <w:p>
            <w:pPr>
              <w:spacing w:after="0"/>
            </w:pPr>
            <w:r>
              <w:rPr>
                <w:sz w:val="17"/>
              </w:rPr>
              <w:t>TA-C03</w:t>
            </w:r>
          </w:p>
        </w:tc>
        <w:tc>
          <w:tcPr>
            <w:tcW w:type="dxa" w:w="2592"/>
            <w:vAlign w:val="center"/>
            <w:tcMar>
              <w:top w:w="90" w:type="dxa"/>
              <w:start w:w="110" w:type="dxa"/>
              <w:bottom w:w="90" w:type="dxa"/>
              <w:end w:w="110" w:type="dxa"/>
            </w:tcMar>
          </w:tcPr>
          <w:p>
            <w:pPr>
              <w:spacing w:after="0"/>
            </w:pPr>
            <w:r>
              <w:rPr>
                <w:sz w:val="17"/>
              </w:rPr>
              <w:t>Entity Service</w:t>
            </w:r>
          </w:p>
        </w:tc>
        <w:tc>
          <w:tcPr>
            <w:tcW w:type="dxa" w:w="6336"/>
            <w:vAlign w:val="center"/>
            <w:tcMar>
              <w:top w:w="90" w:type="dxa"/>
              <w:start w:w="110" w:type="dxa"/>
              <w:bottom w:w="90" w:type="dxa"/>
              <w:end w:w="110" w:type="dxa"/>
            </w:tcMar>
          </w:tcPr>
          <w:p>
            <w:pPr>
              <w:spacing w:after="0"/>
            </w:pPr>
            <w:r>
              <w:rPr>
                <w:sz w:val="17"/>
              </w:rPr>
              <w:t>Entities, aliases, external IDs, resolution decisions</w:t>
            </w:r>
          </w:p>
        </w:tc>
      </w:tr>
      <w:tr>
        <w:tc>
          <w:tcPr>
            <w:tcW w:type="dxa" w:w="1152"/>
            <w:vAlign w:val="center"/>
            <w:tcMar>
              <w:top w:w="90" w:type="dxa"/>
              <w:start w:w="110" w:type="dxa"/>
              <w:bottom w:w="90" w:type="dxa"/>
              <w:end w:w="110" w:type="dxa"/>
            </w:tcMar>
          </w:tcPr>
          <w:p>
            <w:pPr>
              <w:spacing w:after="0"/>
            </w:pPr>
            <w:r>
              <w:rPr>
                <w:sz w:val="17"/>
              </w:rPr>
              <w:t>TA-C04</w:t>
            </w:r>
          </w:p>
        </w:tc>
        <w:tc>
          <w:tcPr>
            <w:tcW w:type="dxa" w:w="2592"/>
            <w:vAlign w:val="center"/>
            <w:tcMar>
              <w:top w:w="90" w:type="dxa"/>
              <w:start w:w="110" w:type="dxa"/>
              <w:bottom w:w="90" w:type="dxa"/>
              <w:end w:w="110" w:type="dxa"/>
            </w:tcMar>
          </w:tcPr>
          <w:p>
            <w:pPr>
              <w:spacing w:after="0"/>
            </w:pPr>
            <w:r>
              <w:rPr>
                <w:sz w:val="17"/>
              </w:rPr>
              <w:t>Relationship Service</w:t>
            </w:r>
          </w:p>
        </w:tc>
        <w:tc>
          <w:tcPr>
            <w:tcW w:type="dxa" w:w="6336"/>
            <w:vAlign w:val="center"/>
            <w:tcMar>
              <w:top w:w="90" w:type="dxa"/>
              <w:start w:w="110" w:type="dxa"/>
              <w:bottom w:w="90" w:type="dxa"/>
              <w:end w:w="110" w:type="dxa"/>
            </w:tcMar>
          </w:tcPr>
          <w:p>
            <w:pPr>
              <w:spacing w:after="0"/>
            </w:pPr>
            <w:r>
              <w:rPr>
                <w:sz w:val="17"/>
              </w:rPr>
              <w:t>Versioned provenance-linked relationships</w:t>
            </w:r>
          </w:p>
        </w:tc>
      </w:tr>
      <w:tr>
        <w:tc>
          <w:tcPr>
            <w:tcW w:type="dxa" w:w="1152"/>
            <w:vAlign w:val="center"/>
            <w:tcMar>
              <w:top w:w="90" w:type="dxa"/>
              <w:start w:w="110" w:type="dxa"/>
              <w:bottom w:w="90" w:type="dxa"/>
              <w:end w:w="110" w:type="dxa"/>
            </w:tcMar>
          </w:tcPr>
          <w:p>
            <w:pPr>
              <w:spacing w:after="0"/>
            </w:pPr>
            <w:r>
              <w:rPr>
                <w:sz w:val="17"/>
              </w:rPr>
              <w:t>TA-C05</w:t>
            </w:r>
          </w:p>
        </w:tc>
        <w:tc>
          <w:tcPr>
            <w:tcW w:type="dxa" w:w="2592"/>
            <w:vAlign w:val="center"/>
            <w:tcMar>
              <w:top w:w="90" w:type="dxa"/>
              <w:start w:w="110" w:type="dxa"/>
              <w:bottom w:w="90" w:type="dxa"/>
              <w:end w:w="110" w:type="dxa"/>
            </w:tcMar>
          </w:tcPr>
          <w:p>
            <w:pPr>
              <w:spacing w:after="0"/>
            </w:pPr>
            <w:r>
              <w:rPr>
                <w:sz w:val="17"/>
              </w:rPr>
              <w:t>Asset/Event Service</w:t>
            </w:r>
          </w:p>
        </w:tc>
        <w:tc>
          <w:tcPr>
            <w:tcW w:type="dxa" w:w="6336"/>
            <w:vAlign w:val="center"/>
            <w:tcMar>
              <w:top w:w="90" w:type="dxa"/>
              <w:start w:w="110" w:type="dxa"/>
              <w:bottom w:w="90" w:type="dxa"/>
              <w:end w:w="110" w:type="dxa"/>
            </w:tcMar>
          </w:tcPr>
          <w:p>
            <w:pPr>
              <w:spacing w:after="0"/>
            </w:pPr>
            <w:r>
              <w:rPr>
                <w:sz w:val="17"/>
              </w:rPr>
              <w:t>Assets, events, temporal state</w:t>
            </w:r>
          </w:p>
        </w:tc>
      </w:tr>
      <w:tr>
        <w:tc>
          <w:tcPr>
            <w:tcW w:type="dxa" w:w="1152"/>
            <w:vAlign w:val="center"/>
            <w:tcMar>
              <w:top w:w="90" w:type="dxa"/>
              <w:start w:w="110" w:type="dxa"/>
              <w:bottom w:w="90" w:type="dxa"/>
              <w:end w:w="110" w:type="dxa"/>
            </w:tcMar>
          </w:tcPr>
          <w:p>
            <w:pPr>
              <w:spacing w:after="0"/>
            </w:pPr>
            <w:r>
              <w:rPr>
                <w:sz w:val="17"/>
              </w:rPr>
              <w:t>TA-C06</w:t>
            </w:r>
          </w:p>
        </w:tc>
        <w:tc>
          <w:tcPr>
            <w:tcW w:type="dxa" w:w="2592"/>
            <w:vAlign w:val="center"/>
            <w:tcMar>
              <w:top w:w="90" w:type="dxa"/>
              <w:start w:w="110" w:type="dxa"/>
              <w:bottom w:w="90" w:type="dxa"/>
              <w:end w:w="110" w:type="dxa"/>
            </w:tcMar>
          </w:tcPr>
          <w:p>
            <w:pPr>
              <w:spacing w:after="0"/>
            </w:pPr>
            <w:r>
              <w:rPr>
                <w:sz w:val="17"/>
              </w:rPr>
              <w:t>Value-Flow Service</w:t>
            </w:r>
          </w:p>
        </w:tc>
        <w:tc>
          <w:tcPr>
            <w:tcW w:type="dxa" w:w="6336"/>
            <w:vAlign w:val="center"/>
            <w:tcMar>
              <w:top w:w="90" w:type="dxa"/>
              <w:start w:w="110" w:type="dxa"/>
              <w:bottom w:w="90" w:type="dxa"/>
              <w:end w:w="110" w:type="dxa"/>
            </w:tcMar>
          </w:tcPr>
          <w:p>
            <w:pPr>
              <w:spacing w:after="0"/>
            </w:pPr>
            <w:r>
              <w:rPr>
                <w:sz w:val="17"/>
              </w:rPr>
              <w:t>Typed value flows and legs</w:t>
            </w:r>
          </w:p>
        </w:tc>
      </w:tr>
      <w:tr>
        <w:tc>
          <w:tcPr>
            <w:tcW w:type="dxa" w:w="1152"/>
            <w:vAlign w:val="center"/>
            <w:tcMar>
              <w:top w:w="90" w:type="dxa"/>
              <w:start w:w="110" w:type="dxa"/>
              <w:bottom w:w="90" w:type="dxa"/>
              <w:end w:w="110" w:type="dxa"/>
            </w:tcMar>
          </w:tcPr>
          <w:p>
            <w:pPr>
              <w:spacing w:after="0"/>
            </w:pPr>
            <w:r>
              <w:rPr>
                <w:sz w:val="17"/>
              </w:rPr>
              <w:t>TA-C07</w:t>
            </w:r>
          </w:p>
        </w:tc>
        <w:tc>
          <w:tcPr>
            <w:tcW w:type="dxa" w:w="2592"/>
            <w:vAlign w:val="center"/>
            <w:tcMar>
              <w:top w:w="90" w:type="dxa"/>
              <w:start w:w="110" w:type="dxa"/>
              <w:bottom w:w="90" w:type="dxa"/>
              <w:end w:w="110" w:type="dxa"/>
            </w:tcMar>
          </w:tcPr>
          <w:p>
            <w:pPr>
              <w:spacing w:after="0"/>
            </w:pPr>
            <w:r>
              <w:rPr>
                <w:sz w:val="17"/>
              </w:rPr>
              <w:t>Graph Projection</w:t>
            </w:r>
          </w:p>
        </w:tc>
        <w:tc>
          <w:tcPr>
            <w:tcW w:type="dxa" w:w="6336"/>
            <w:vAlign w:val="center"/>
            <w:tcMar>
              <w:top w:w="90" w:type="dxa"/>
              <w:start w:w="110" w:type="dxa"/>
              <w:bottom w:w="90" w:type="dxa"/>
              <w:end w:w="110" w:type="dxa"/>
            </w:tcMar>
          </w:tcPr>
          <w:p>
            <w:pPr>
              <w:spacing w:after="0"/>
            </w:pPr>
            <w:r>
              <w:rPr>
                <w:sz w:val="17"/>
              </w:rPr>
              <w:t>Rebuildable relationship analytics</w:t>
            </w:r>
          </w:p>
        </w:tc>
      </w:tr>
      <w:tr>
        <w:tc>
          <w:tcPr>
            <w:tcW w:type="dxa" w:w="1152"/>
            <w:vAlign w:val="center"/>
            <w:tcMar>
              <w:top w:w="90" w:type="dxa"/>
              <w:start w:w="110" w:type="dxa"/>
              <w:bottom w:w="90" w:type="dxa"/>
              <w:end w:w="110" w:type="dxa"/>
            </w:tcMar>
          </w:tcPr>
          <w:p>
            <w:pPr>
              <w:spacing w:after="0"/>
            </w:pPr>
            <w:r>
              <w:rPr>
                <w:sz w:val="17"/>
              </w:rPr>
              <w:t>TA-C08</w:t>
            </w:r>
          </w:p>
        </w:tc>
        <w:tc>
          <w:tcPr>
            <w:tcW w:type="dxa" w:w="2592"/>
            <w:vAlign w:val="center"/>
            <w:tcMar>
              <w:top w:w="90" w:type="dxa"/>
              <w:start w:w="110" w:type="dxa"/>
              <w:bottom w:w="90" w:type="dxa"/>
              <w:end w:w="110" w:type="dxa"/>
            </w:tcMar>
          </w:tcPr>
          <w:p>
            <w:pPr>
              <w:spacing w:after="0"/>
            </w:pPr>
            <w:r>
              <w:rPr>
                <w:sz w:val="17"/>
              </w:rPr>
              <w:t>Search Service</w:t>
            </w:r>
          </w:p>
        </w:tc>
        <w:tc>
          <w:tcPr>
            <w:tcW w:type="dxa" w:w="6336"/>
            <w:vAlign w:val="center"/>
            <w:tcMar>
              <w:top w:w="90" w:type="dxa"/>
              <w:start w:w="110" w:type="dxa"/>
              <w:bottom w:w="90" w:type="dxa"/>
              <w:end w:w="110" w:type="dxa"/>
            </w:tcMar>
          </w:tcPr>
          <w:p>
            <w:pPr>
              <w:spacing w:after="0"/>
            </w:pPr>
            <w:r>
              <w:rPr>
                <w:sz w:val="17"/>
              </w:rPr>
              <w:t>Authorized retrieval and indexing</w:t>
            </w:r>
          </w:p>
        </w:tc>
      </w:tr>
      <w:tr>
        <w:tc>
          <w:tcPr>
            <w:tcW w:type="dxa" w:w="1152"/>
            <w:vAlign w:val="center"/>
            <w:tcMar>
              <w:top w:w="90" w:type="dxa"/>
              <w:start w:w="110" w:type="dxa"/>
              <w:bottom w:w="90" w:type="dxa"/>
              <w:end w:w="110" w:type="dxa"/>
            </w:tcMar>
          </w:tcPr>
          <w:p>
            <w:pPr>
              <w:spacing w:after="0"/>
            </w:pPr>
            <w:r>
              <w:rPr>
                <w:sz w:val="17"/>
              </w:rPr>
              <w:t>TA-C09</w:t>
            </w:r>
          </w:p>
        </w:tc>
        <w:tc>
          <w:tcPr>
            <w:tcW w:type="dxa" w:w="2592"/>
            <w:vAlign w:val="center"/>
            <w:tcMar>
              <w:top w:w="90" w:type="dxa"/>
              <w:start w:w="110" w:type="dxa"/>
              <w:bottom w:w="90" w:type="dxa"/>
              <w:end w:w="110" w:type="dxa"/>
            </w:tcMar>
          </w:tcPr>
          <w:p>
            <w:pPr>
              <w:spacing w:after="0"/>
            </w:pPr>
            <w:r>
              <w:rPr>
                <w:sz w:val="17"/>
              </w:rPr>
              <w:t>Typology Service</w:t>
            </w:r>
          </w:p>
        </w:tc>
        <w:tc>
          <w:tcPr>
            <w:tcW w:type="dxa" w:w="6336"/>
            <w:vAlign w:val="center"/>
            <w:tcMar>
              <w:top w:w="90" w:type="dxa"/>
              <w:start w:w="110" w:type="dxa"/>
              <w:bottom w:w="90" w:type="dxa"/>
              <w:end w:w="110" w:type="dxa"/>
            </w:tcMar>
          </w:tcPr>
          <w:p>
            <w:pPr>
              <w:spacing w:after="0"/>
            </w:pPr>
            <w:r>
              <w:rPr>
                <w:sz w:val="17"/>
              </w:rPr>
              <w:t>Versioned typology/indicator support</w:t>
            </w:r>
          </w:p>
        </w:tc>
      </w:tr>
      <w:tr>
        <w:tc>
          <w:tcPr>
            <w:tcW w:type="dxa" w:w="1152"/>
            <w:vAlign w:val="center"/>
            <w:tcMar>
              <w:top w:w="90" w:type="dxa"/>
              <w:start w:w="110" w:type="dxa"/>
              <w:bottom w:w="90" w:type="dxa"/>
              <w:end w:w="110" w:type="dxa"/>
            </w:tcMar>
          </w:tcPr>
          <w:p>
            <w:pPr>
              <w:spacing w:after="0"/>
            </w:pPr>
            <w:r>
              <w:rPr>
                <w:sz w:val="17"/>
              </w:rPr>
              <w:t>TA-C10</w:t>
            </w:r>
          </w:p>
        </w:tc>
        <w:tc>
          <w:tcPr>
            <w:tcW w:type="dxa" w:w="2592"/>
            <w:vAlign w:val="center"/>
            <w:tcMar>
              <w:top w:w="90" w:type="dxa"/>
              <w:start w:w="110" w:type="dxa"/>
              <w:bottom w:w="90" w:type="dxa"/>
              <w:end w:w="110" w:type="dxa"/>
            </w:tcMar>
          </w:tcPr>
          <w:p>
            <w:pPr>
              <w:spacing w:after="0"/>
            </w:pPr>
            <w:r>
              <w:rPr>
                <w:sz w:val="17"/>
              </w:rPr>
              <w:t>Hypothesis/Assessment Service</w:t>
            </w:r>
          </w:p>
        </w:tc>
        <w:tc>
          <w:tcPr>
            <w:tcW w:type="dxa" w:w="6336"/>
            <w:vAlign w:val="center"/>
            <w:tcMar>
              <w:top w:w="90" w:type="dxa"/>
              <w:start w:w="110" w:type="dxa"/>
              <w:bottom w:w="90" w:type="dxa"/>
              <w:end w:w="110" w:type="dxa"/>
            </w:tcMar>
          </w:tcPr>
          <w:p>
            <w:pPr>
              <w:spacing w:after="0"/>
            </w:pPr>
            <w:r>
              <w:rPr>
                <w:sz w:val="17"/>
              </w:rPr>
              <w:t>Competing hypotheses, gaps, confidence, assessments</w:t>
            </w:r>
          </w:p>
        </w:tc>
      </w:tr>
      <w:tr>
        <w:tc>
          <w:tcPr>
            <w:tcW w:type="dxa" w:w="1152"/>
            <w:vAlign w:val="center"/>
            <w:tcMar>
              <w:top w:w="90" w:type="dxa"/>
              <w:start w:w="110" w:type="dxa"/>
              <w:bottom w:w="90" w:type="dxa"/>
              <w:end w:w="110" w:type="dxa"/>
            </w:tcMar>
          </w:tcPr>
          <w:p>
            <w:pPr>
              <w:spacing w:after="0"/>
            </w:pPr>
            <w:r>
              <w:rPr>
                <w:sz w:val="17"/>
              </w:rPr>
              <w:t>TA-C11</w:t>
            </w:r>
          </w:p>
        </w:tc>
        <w:tc>
          <w:tcPr>
            <w:tcW w:type="dxa" w:w="2592"/>
            <w:vAlign w:val="center"/>
            <w:tcMar>
              <w:top w:w="90" w:type="dxa"/>
              <w:start w:w="110" w:type="dxa"/>
              <w:bottom w:w="90" w:type="dxa"/>
              <w:end w:w="110" w:type="dxa"/>
            </w:tcMar>
          </w:tcPr>
          <w:p>
            <w:pPr>
              <w:spacing w:after="0"/>
            </w:pPr>
            <w:r>
              <w:rPr>
                <w:sz w:val="17"/>
              </w:rPr>
              <w:t>Review/Approval Service</w:t>
            </w:r>
          </w:p>
        </w:tc>
        <w:tc>
          <w:tcPr>
            <w:tcW w:type="dxa" w:w="6336"/>
            <w:vAlign w:val="center"/>
            <w:tcMar>
              <w:top w:w="90" w:type="dxa"/>
              <w:start w:w="110" w:type="dxa"/>
              <w:bottom w:w="90" w:type="dxa"/>
              <w:end w:w="110" w:type="dxa"/>
            </w:tcMar>
          </w:tcPr>
          <w:p>
            <w:pPr>
              <w:spacing w:after="0"/>
            </w:pPr>
            <w:r>
              <w:rPr>
                <w:sz w:val="17"/>
              </w:rPr>
              <w:t>Peer review and approval state</w:t>
            </w:r>
          </w:p>
        </w:tc>
      </w:tr>
      <w:tr>
        <w:tc>
          <w:tcPr>
            <w:tcW w:type="dxa" w:w="1152"/>
            <w:vAlign w:val="center"/>
            <w:tcMar>
              <w:top w:w="90" w:type="dxa"/>
              <w:start w:w="110" w:type="dxa"/>
              <w:bottom w:w="90" w:type="dxa"/>
              <w:end w:w="110" w:type="dxa"/>
            </w:tcMar>
          </w:tcPr>
          <w:p>
            <w:pPr>
              <w:spacing w:after="0"/>
            </w:pPr>
            <w:r>
              <w:rPr>
                <w:sz w:val="17"/>
              </w:rPr>
              <w:t>TA-C12</w:t>
            </w:r>
          </w:p>
        </w:tc>
        <w:tc>
          <w:tcPr>
            <w:tcW w:type="dxa" w:w="2592"/>
            <w:vAlign w:val="center"/>
            <w:tcMar>
              <w:top w:w="90" w:type="dxa"/>
              <w:start w:w="110" w:type="dxa"/>
              <w:bottom w:w="90" w:type="dxa"/>
              <w:end w:w="110" w:type="dxa"/>
            </w:tcMar>
          </w:tcPr>
          <w:p>
            <w:pPr>
              <w:spacing w:after="0"/>
            </w:pPr>
            <w:r>
              <w:rPr>
                <w:sz w:val="17"/>
              </w:rPr>
              <w:t>Product/Dissemination Service</w:t>
            </w:r>
          </w:p>
        </w:tc>
        <w:tc>
          <w:tcPr>
            <w:tcW w:type="dxa" w:w="6336"/>
            <w:vAlign w:val="center"/>
            <w:tcMar>
              <w:top w:w="90" w:type="dxa"/>
              <w:start w:w="110" w:type="dxa"/>
              <w:bottom w:w="90" w:type="dxa"/>
              <w:end w:w="110" w:type="dxa"/>
            </w:tcMar>
          </w:tcPr>
          <w:p>
            <w:pPr>
              <w:spacing w:after="0"/>
            </w:pPr>
            <w:r>
              <w:rPr>
                <w:sz w:val="17"/>
              </w:rPr>
              <w:t>Generation, minimisation, export log</w:t>
            </w:r>
          </w:p>
        </w:tc>
      </w:tr>
      <w:tr>
        <w:tc>
          <w:tcPr>
            <w:tcW w:type="dxa" w:w="1152"/>
            <w:vAlign w:val="center"/>
            <w:tcMar>
              <w:top w:w="90" w:type="dxa"/>
              <w:start w:w="110" w:type="dxa"/>
              <w:bottom w:w="90" w:type="dxa"/>
              <w:end w:w="110" w:type="dxa"/>
            </w:tcMar>
          </w:tcPr>
          <w:p>
            <w:pPr>
              <w:spacing w:after="0"/>
            </w:pPr>
            <w:r>
              <w:rPr>
                <w:sz w:val="17"/>
              </w:rPr>
              <w:t>TA-C13</w:t>
            </w:r>
          </w:p>
        </w:tc>
        <w:tc>
          <w:tcPr>
            <w:tcW w:type="dxa" w:w="2592"/>
            <w:vAlign w:val="center"/>
            <w:tcMar>
              <w:top w:w="90" w:type="dxa"/>
              <w:start w:w="110" w:type="dxa"/>
              <w:bottom w:w="90" w:type="dxa"/>
              <w:end w:w="110" w:type="dxa"/>
            </w:tcMar>
          </w:tcPr>
          <w:p>
            <w:pPr>
              <w:spacing w:after="0"/>
            </w:pPr>
            <w:r>
              <w:rPr>
                <w:sz w:val="17"/>
              </w:rPr>
              <w:t>IAM/Policy Enforcement</w:t>
            </w:r>
          </w:p>
        </w:tc>
        <w:tc>
          <w:tcPr>
            <w:tcW w:type="dxa" w:w="6336"/>
            <w:vAlign w:val="center"/>
            <w:tcMar>
              <w:top w:w="90" w:type="dxa"/>
              <w:start w:w="110" w:type="dxa"/>
              <w:bottom w:w="90" w:type="dxa"/>
              <w:end w:w="110" w:type="dxa"/>
            </w:tcMar>
          </w:tcPr>
          <w:p>
            <w:pPr>
              <w:spacing w:after="0"/>
            </w:pPr>
            <w:r>
              <w:rPr>
                <w:sz w:val="17"/>
              </w:rPr>
              <w:t>Authentication and authorization</w:t>
            </w:r>
          </w:p>
        </w:tc>
      </w:tr>
      <w:tr>
        <w:tc>
          <w:tcPr>
            <w:tcW w:type="dxa" w:w="1152"/>
            <w:vAlign w:val="center"/>
            <w:tcMar>
              <w:top w:w="90" w:type="dxa"/>
              <w:start w:w="110" w:type="dxa"/>
              <w:bottom w:w="90" w:type="dxa"/>
              <w:end w:w="110" w:type="dxa"/>
            </w:tcMar>
          </w:tcPr>
          <w:p>
            <w:pPr>
              <w:spacing w:after="0"/>
            </w:pPr>
            <w:r>
              <w:rPr>
                <w:sz w:val="17"/>
              </w:rPr>
              <w:t>TA-C14</w:t>
            </w:r>
          </w:p>
        </w:tc>
        <w:tc>
          <w:tcPr>
            <w:tcW w:type="dxa" w:w="2592"/>
            <w:vAlign w:val="center"/>
            <w:tcMar>
              <w:top w:w="90" w:type="dxa"/>
              <w:start w:w="110" w:type="dxa"/>
              <w:bottom w:w="90" w:type="dxa"/>
              <w:end w:w="110" w:type="dxa"/>
            </w:tcMar>
          </w:tcPr>
          <w:p>
            <w:pPr>
              <w:spacing w:after="0"/>
            </w:pPr>
            <w:r>
              <w:rPr>
                <w:sz w:val="17"/>
              </w:rPr>
              <w:t>Audit Service</w:t>
            </w:r>
          </w:p>
        </w:tc>
        <w:tc>
          <w:tcPr>
            <w:tcW w:type="dxa" w:w="6336"/>
            <w:vAlign w:val="center"/>
            <w:tcMar>
              <w:top w:w="90" w:type="dxa"/>
              <w:start w:w="110" w:type="dxa"/>
              <w:bottom w:w="90" w:type="dxa"/>
              <w:end w:w="110" w:type="dxa"/>
            </w:tcMar>
          </w:tcPr>
          <w:p>
            <w:pPr>
              <w:spacing w:after="0"/>
            </w:pPr>
            <w:r>
              <w:rPr>
                <w:sz w:val="17"/>
              </w:rPr>
              <w:t>Append-oriented audit events</w:t>
            </w:r>
          </w:p>
        </w:tc>
      </w:tr>
      <w:tr>
        <w:tc>
          <w:tcPr>
            <w:tcW w:type="dxa" w:w="1152"/>
            <w:vAlign w:val="center"/>
            <w:tcMar>
              <w:top w:w="90" w:type="dxa"/>
              <w:start w:w="110" w:type="dxa"/>
              <w:bottom w:w="90" w:type="dxa"/>
              <w:end w:w="110" w:type="dxa"/>
            </w:tcMar>
          </w:tcPr>
          <w:p>
            <w:pPr>
              <w:spacing w:after="0"/>
            </w:pPr>
            <w:r>
              <w:rPr>
                <w:sz w:val="17"/>
              </w:rPr>
              <w:t>TA-C15</w:t>
            </w:r>
          </w:p>
        </w:tc>
        <w:tc>
          <w:tcPr>
            <w:tcW w:type="dxa" w:w="2592"/>
            <w:vAlign w:val="center"/>
            <w:tcMar>
              <w:top w:w="90" w:type="dxa"/>
              <w:start w:w="110" w:type="dxa"/>
              <w:bottom w:w="90" w:type="dxa"/>
              <w:end w:w="110" w:type="dxa"/>
            </w:tcMar>
          </w:tcPr>
          <w:p>
            <w:pPr>
              <w:spacing w:after="0"/>
            </w:pPr>
            <w:r>
              <w:rPr>
                <w:sz w:val="17"/>
              </w:rPr>
              <w:t>Object/Evidence Store</w:t>
            </w:r>
          </w:p>
        </w:tc>
        <w:tc>
          <w:tcPr>
            <w:tcW w:type="dxa" w:w="6336"/>
            <w:vAlign w:val="center"/>
            <w:tcMar>
              <w:top w:w="90" w:type="dxa"/>
              <w:start w:w="110" w:type="dxa"/>
              <w:bottom w:w="90" w:type="dxa"/>
              <w:end w:w="110" w:type="dxa"/>
            </w:tcMar>
          </w:tcPr>
          <w:p>
            <w:pPr>
              <w:spacing w:after="0"/>
            </w:pPr>
            <w:r>
              <w:rPr>
                <w:sz w:val="17"/>
              </w:rPr>
              <w:t>Original and derivative binary content</w:t>
            </w:r>
          </w:p>
        </w:tc>
      </w:tr>
      <w:tr>
        <w:tc>
          <w:tcPr>
            <w:tcW w:type="dxa" w:w="1152"/>
            <w:vAlign w:val="center"/>
            <w:tcMar>
              <w:top w:w="90" w:type="dxa"/>
              <w:start w:w="110" w:type="dxa"/>
              <w:bottom w:w="90" w:type="dxa"/>
              <w:end w:w="110" w:type="dxa"/>
            </w:tcMar>
          </w:tcPr>
          <w:p>
            <w:pPr>
              <w:spacing w:after="0"/>
            </w:pPr>
            <w:r>
              <w:rPr>
                <w:sz w:val="17"/>
              </w:rPr>
              <w:t>TA-C16</w:t>
            </w:r>
          </w:p>
        </w:tc>
        <w:tc>
          <w:tcPr>
            <w:tcW w:type="dxa" w:w="2592"/>
            <w:vAlign w:val="center"/>
            <w:tcMar>
              <w:top w:w="90" w:type="dxa"/>
              <w:start w:w="110" w:type="dxa"/>
              <w:bottom w:w="90" w:type="dxa"/>
              <w:end w:w="110" w:type="dxa"/>
            </w:tcMar>
          </w:tcPr>
          <w:p>
            <w:pPr>
              <w:spacing w:after="0"/>
            </w:pPr>
            <w:r>
              <w:rPr>
                <w:sz w:val="17"/>
              </w:rPr>
              <w:t>Integration Gateway</w:t>
            </w:r>
          </w:p>
        </w:tc>
        <w:tc>
          <w:tcPr>
            <w:tcW w:type="dxa" w:w="6336"/>
            <w:vAlign w:val="center"/>
            <w:tcMar>
              <w:top w:w="90" w:type="dxa"/>
              <w:start w:w="110" w:type="dxa"/>
              <w:bottom w:w="90" w:type="dxa"/>
              <w:end w:w="110" w:type="dxa"/>
            </w:tcMar>
          </w:tcPr>
          <w:p>
            <w:pPr>
              <w:spacing w:after="0"/>
            </w:pPr>
            <w:r>
              <w:rPr>
                <w:sz w:val="17"/>
              </w:rPr>
              <w:t>Imports, connectors, external APIs</w:t>
            </w:r>
          </w:p>
        </w:tc>
      </w:tr>
      <w:tr>
        <w:tc>
          <w:tcPr>
            <w:tcW w:type="dxa" w:w="1152"/>
            <w:vAlign w:val="center"/>
            <w:tcMar>
              <w:top w:w="90" w:type="dxa"/>
              <w:start w:w="110" w:type="dxa"/>
              <w:bottom w:w="90" w:type="dxa"/>
              <w:end w:w="110" w:type="dxa"/>
            </w:tcMar>
          </w:tcPr>
          <w:p>
            <w:pPr>
              <w:spacing w:after="0"/>
            </w:pPr>
            <w:r>
              <w:rPr>
                <w:sz w:val="17"/>
              </w:rPr>
              <w:t>TA-C17</w:t>
            </w:r>
          </w:p>
        </w:tc>
        <w:tc>
          <w:tcPr>
            <w:tcW w:type="dxa" w:w="2592"/>
            <w:vAlign w:val="center"/>
            <w:tcMar>
              <w:top w:w="90" w:type="dxa"/>
              <w:start w:w="110" w:type="dxa"/>
              <w:bottom w:w="90" w:type="dxa"/>
              <w:end w:w="110" w:type="dxa"/>
            </w:tcMar>
          </w:tcPr>
          <w:p>
            <w:pPr>
              <w:spacing w:after="0"/>
            </w:pPr>
            <w:r>
              <w:rPr>
                <w:sz w:val="17"/>
              </w:rPr>
              <w:t>Job/Queue Service</w:t>
            </w:r>
          </w:p>
        </w:tc>
        <w:tc>
          <w:tcPr>
            <w:tcW w:type="dxa" w:w="6336"/>
            <w:vAlign w:val="center"/>
            <w:tcMar>
              <w:top w:w="90" w:type="dxa"/>
              <w:start w:w="110" w:type="dxa"/>
              <w:bottom w:w="90" w:type="dxa"/>
              <w:end w:w="110" w:type="dxa"/>
            </w:tcMar>
          </w:tcPr>
          <w:p>
            <w:pPr>
              <w:spacing w:after="0"/>
            </w:pPr>
            <w:r>
              <w:rPr>
                <w:sz w:val="17"/>
              </w:rPr>
              <w:t>Asynchronous processing</w:t>
            </w:r>
          </w:p>
        </w:tc>
      </w:tr>
      <w:tr>
        <w:tc>
          <w:tcPr>
            <w:tcW w:type="dxa" w:w="1152"/>
            <w:vAlign w:val="center"/>
            <w:tcMar>
              <w:top w:w="90" w:type="dxa"/>
              <w:start w:w="110" w:type="dxa"/>
              <w:bottom w:w="90" w:type="dxa"/>
              <w:end w:w="110" w:type="dxa"/>
            </w:tcMar>
          </w:tcPr>
          <w:p>
            <w:pPr>
              <w:spacing w:after="0"/>
            </w:pPr>
            <w:r>
              <w:rPr>
                <w:sz w:val="17"/>
              </w:rPr>
              <w:t>TA-C18</w:t>
            </w:r>
          </w:p>
        </w:tc>
        <w:tc>
          <w:tcPr>
            <w:tcW w:type="dxa" w:w="2592"/>
            <w:vAlign w:val="center"/>
            <w:tcMar>
              <w:top w:w="90" w:type="dxa"/>
              <w:start w:w="110" w:type="dxa"/>
              <w:bottom w:w="90" w:type="dxa"/>
              <w:end w:w="110" w:type="dxa"/>
            </w:tcMar>
          </w:tcPr>
          <w:p>
            <w:pPr>
              <w:spacing w:after="0"/>
            </w:pPr>
            <w:r>
              <w:rPr>
                <w:sz w:val="17"/>
              </w:rPr>
              <w:t>Observability Stack</w:t>
            </w:r>
          </w:p>
        </w:tc>
        <w:tc>
          <w:tcPr>
            <w:tcW w:type="dxa" w:w="6336"/>
            <w:vAlign w:val="center"/>
            <w:tcMar>
              <w:top w:w="90" w:type="dxa"/>
              <w:start w:w="110" w:type="dxa"/>
              <w:bottom w:w="90" w:type="dxa"/>
              <w:end w:w="110" w:type="dxa"/>
            </w:tcMar>
          </w:tcPr>
          <w:p>
            <w:pPr>
              <w:spacing w:after="0"/>
            </w:pPr>
            <w:r>
              <w:rPr>
                <w:sz w:val="17"/>
              </w:rPr>
              <w:t>Metrics/logs/traces with privacy constraints</w:t>
            </w:r>
          </w:p>
        </w:tc>
      </w:tr>
    </w:tbl>
    <w:p>
      <w:pPr>
        <w:spacing w:after="20"/>
      </w:pPr>
    </w:p>
    <w:p>
      <w:pPr>
        <w:pStyle w:val="Heading1"/>
      </w:pPr>
      <w:r>
        <w:t>Annex B. Minimum Network Exposure Baseline</w:t>
      </w:r>
    </w:p>
    <w:p>
      <w:pPr>
        <w:pStyle w:val="ListBullet"/>
        <w:spacing w:after="40"/>
      </w:pPr>
      <w:r>
        <w:t>Database, graph, search, object storage, queue, and administrative ports SHOULD NOT be directly exposed to the public Internet.</w:t>
      </w:r>
    </w:p>
    <w:p>
      <w:pPr>
        <w:pStyle w:val="ListBullet"/>
        <w:spacing w:after="40"/>
      </w:pPr>
      <w:r>
        <w:t>User-facing access SHOULD terminate at an authenticated application/reverse-proxy boundary.</w:t>
      </w:r>
    </w:p>
    <w:p>
      <w:pPr>
        <w:pStyle w:val="ListBullet"/>
        <w:spacing w:after="40"/>
      </w:pPr>
      <w:r>
        <w:t>Administrative access SHOULD use a restricted management path such as VPN, zero-trust access proxy, bastion, or equivalent.</w:t>
      </w:r>
    </w:p>
    <w:p>
      <w:pPr>
        <w:pStyle w:val="ListBullet"/>
        <w:spacing w:after="40"/>
      </w:pPr>
      <w:r>
        <w:t>Outbound egress SHOULD be limited where high-risk threat models justify it.</w:t>
      </w:r>
    </w:p>
    <w:p>
      <w:pPr>
        <w:pStyle w:val="ListBullet"/>
        <w:spacing w:after="40"/>
      </w:pPr>
      <w:r>
        <w:t>Connector services needing external access SHOULD be isolated from evidence stores where practical.</w:t>
      </w:r>
    </w:p>
    <w:p>
      <w:pPr>
        <w:pStyle w:val="Heading1"/>
      </w:pPr>
      <w:r>
        <w:t>Annex C. Architecture Review Checklist</w:t>
      </w:r>
    </w:p>
    <w:p>
      <w:pPr>
        <w:pStyle w:val="ListBullet"/>
        <w:spacing w:after="40"/>
      </w:pPr>
      <w:r>
        <w:t>☐ Canonical vs derived stores identified</w:t>
      </w:r>
    </w:p>
    <w:p>
      <w:pPr>
        <w:pStyle w:val="ListBullet"/>
        <w:spacing w:after="40"/>
      </w:pPr>
      <w:r>
        <w:t>☐ Trust boundaries documented</w:t>
      </w:r>
    </w:p>
    <w:p>
      <w:pPr>
        <w:pStyle w:val="ListBullet"/>
        <w:spacing w:after="40"/>
      </w:pPr>
      <w:r>
        <w:t>☐ All external interfaces inventoried</w:t>
      </w:r>
    </w:p>
    <w:p>
      <w:pPr>
        <w:pStyle w:val="ListBullet"/>
        <w:spacing w:after="40"/>
      </w:pPr>
      <w:r>
        <w:t>☐ IAM and role matrix approved</w:t>
      </w:r>
    </w:p>
    <w:p>
      <w:pPr>
        <w:pStyle w:val="ListBullet"/>
        <w:spacing w:after="40"/>
      </w:pPr>
      <w:r>
        <w:t>☐ Protected-source isolation designed</w:t>
      </w:r>
    </w:p>
    <w:p>
      <w:pPr>
        <w:pStyle w:val="ListBullet"/>
        <w:spacing w:after="40"/>
      </w:pPr>
      <w:r>
        <w:t>☐ Evidence hashing/preservation path tested</w:t>
      </w:r>
    </w:p>
    <w:p>
      <w:pPr>
        <w:pStyle w:val="ListBullet"/>
        <w:spacing w:after="40"/>
      </w:pPr>
      <w:r>
        <w:t>☐ Entity merge/split path tested</w:t>
      </w:r>
    </w:p>
    <w:p>
      <w:pPr>
        <w:pStyle w:val="ListBullet"/>
        <w:spacing w:after="40"/>
      </w:pPr>
      <w:r>
        <w:t>☐ Value-flow classes visible in UI/export</w:t>
      </w:r>
    </w:p>
    <w:p>
      <w:pPr>
        <w:pStyle w:val="ListBullet"/>
        <w:spacing w:after="40"/>
      </w:pPr>
      <w:r>
        <w:t>☐ Search authorization tested</w:t>
      </w:r>
    </w:p>
    <w:p>
      <w:pPr>
        <w:pStyle w:val="ListBullet"/>
        <w:spacing w:after="40"/>
      </w:pPr>
      <w:r>
        <w:t>☐ Bulk export controls tested</w:t>
      </w:r>
    </w:p>
    <w:p>
      <w:pPr>
        <w:pStyle w:val="ListBullet"/>
        <w:spacing w:after="40"/>
      </w:pPr>
      <w:r>
        <w:t>☐ Backup restore tested</w:t>
      </w:r>
    </w:p>
    <w:p>
      <w:pPr>
        <w:pStyle w:val="ListBullet"/>
        <w:spacing w:after="40"/>
      </w:pPr>
      <w:r>
        <w:t>☐ Audit tamper resistance reviewed</w:t>
      </w:r>
    </w:p>
    <w:p>
      <w:pPr>
        <w:pStyle w:val="ListBullet"/>
        <w:spacing w:after="40"/>
      </w:pPr>
      <w:r>
        <w:t>☐ AI data-routing reviewed</w:t>
      </w:r>
    </w:p>
    <w:p>
      <w:pPr>
        <w:pStyle w:val="ListBullet"/>
        <w:spacing w:after="40"/>
      </w:pPr>
      <w:r>
        <w:t>☐ Software supply-chain controls documented</w:t>
      </w:r>
    </w:p>
    <w:p>
      <w:pPr>
        <w:pStyle w:val="ListBullet"/>
        <w:spacing w:after="40"/>
      </w:pPr>
      <w:r>
        <w:t>☐ Disaster recovery exercise completed or scheduled</w:t>
      </w:r>
    </w:p>
    <w:p>
      <w:r>
        <w:br w:type="page"/>
      </w:r>
    </w:p>
    <w:p>
      <w:pPr>
        <w:pStyle w:val="Heading1"/>
      </w:pPr>
      <w:r>
        <w:t>Annex D. Reference Standards and External Lineage</w:t>
      </w:r>
    </w:p>
    <w:p>
      <w:pPr>
        <w:spacing w:after="100" w:line="259" w:lineRule="auto"/>
      </w:pPr>
      <w:r>
        <w:rPr>
          <w:b w:val="0"/>
          <w:i w:val="0"/>
        </w:rPr>
        <w:t>The CS-AML Technology Architecture is implementation-neutral. The following external references are informative anchors for specific technical control domains and do not supersede the CS-AML normative requirements:</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Mar>
              <w:top w:w="90" w:type="dxa"/>
              <w:start w:w="110" w:type="dxa"/>
              <w:bottom w:w="90" w:type="dxa"/>
              <w:end w:w="110" w:type="dxa"/>
            </w:tcMar>
          </w:tcPr>
          <w:p>
            <w:r>
              <w:rPr>
                <w:b/>
                <w:color w:val="FFFFFF"/>
                <w:sz w:val="17"/>
              </w:rPr>
              <w:t>Reference</w:t>
            </w:r>
          </w:p>
        </w:tc>
        <w:tc>
          <w:tcPr>
            <w:tcW w:type="dxa" w:w="7200"/>
            <w:shd w:fill="1F4E79"/>
            <w:vAlign w:val="center"/>
            <w:tcMar>
              <w:top w:w="90" w:type="dxa"/>
              <w:start w:w="110" w:type="dxa"/>
              <w:bottom w:w="90" w:type="dxa"/>
              <w:end w:w="110" w:type="dxa"/>
            </w:tcMar>
          </w:tcPr>
          <w:p>
            <w:r>
              <w:rPr>
                <w:b/>
                <w:color w:val="FFFFFF"/>
                <w:sz w:val="17"/>
              </w:rPr>
              <w:t>Use in CS-AML architecture</w:t>
            </w:r>
          </w:p>
        </w:tc>
      </w:tr>
      <w:tr>
        <w:tc>
          <w:tcPr>
            <w:tcW w:type="dxa" w:w="2880"/>
            <w:vAlign w:val="center"/>
            <w:tcMar>
              <w:top w:w="90" w:type="dxa"/>
              <w:start w:w="110" w:type="dxa"/>
              <w:bottom w:w="90" w:type="dxa"/>
              <w:end w:w="110" w:type="dxa"/>
            </w:tcMar>
          </w:tcPr>
          <w:p>
            <w:pPr>
              <w:spacing w:after="0"/>
            </w:pPr>
            <w:r>
              <w:rPr>
                <w:sz w:val="17"/>
              </w:rPr>
              <w:t>NIST SP 800-207</w:t>
            </w:r>
          </w:p>
        </w:tc>
        <w:tc>
          <w:tcPr>
            <w:tcW w:type="dxa" w:w="7200"/>
            <w:vAlign w:val="center"/>
            <w:tcMar>
              <w:top w:w="90" w:type="dxa"/>
              <w:start w:w="110" w:type="dxa"/>
              <w:bottom w:w="90" w:type="dxa"/>
              <w:end w:w="110" w:type="dxa"/>
            </w:tcMar>
          </w:tcPr>
          <w:p>
            <w:pPr>
              <w:spacing w:after="0"/>
            </w:pPr>
            <w:r>
              <w:rPr>
                <w:sz w:val="17"/>
              </w:rPr>
              <w:t>Zero Trust Architecture; resource-focused access and removal of implicit trust based on network location.</w:t>
            </w:r>
          </w:p>
        </w:tc>
      </w:tr>
      <w:tr>
        <w:tc>
          <w:tcPr>
            <w:tcW w:type="dxa" w:w="2880"/>
            <w:vAlign w:val="center"/>
            <w:tcMar>
              <w:top w:w="90" w:type="dxa"/>
              <w:start w:w="110" w:type="dxa"/>
              <w:bottom w:w="90" w:type="dxa"/>
              <w:end w:w="110" w:type="dxa"/>
            </w:tcMar>
          </w:tcPr>
          <w:p>
            <w:pPr>
              <w:spacing w:after="0"/>
            </w:pPr>
            <w:r>
              <w:rPr>
                <w:sz w:val="17"/>
              </w:rPr>
              <w:t>NIST SP 800-207A</w:t>
            </w:r>
          </w:p>
        </w:tc>
        <w:tc>
          <w:tcPr>
            <w:tcW w:type="dxa" w:w="7200"/>
            <w:vAlign w:val="center"/>
            <w:tcMar>
              <w:top w:w="90" w:type="dxa"/>
              <w:start w:w="110" w:type="dxa"/>
              <w:bottom w:w="90" w:type="dxa"/>
              <w:end w:w="110" w:type="dxa"/>
            </w:tcMar>
          </w:tcPr>
          <w:p>
            <w:pPr>
              <w:spacing w:after="0"/>
            </w:pPr>
            <w:r>
              <w:rPr>
                <w:sz w:val="17"/>
              </w:rPr>
              <w:t>Cloud-native zero-trust access principles using user and service identities.</w:t>
            </w:r>
          </w:p>
        </w:tc>
      </w:tr>
      <w:tr>
        <w:tc>
          <w:tcPr>
            <w:tcW w:type="dxa" w:w="2880"/>
            <w:vAlign w:val="center"/>
            <w:tcMar>
              <w:top w:w="90" w:type="dxa"/>
              <w:start w:w="110" w:type="dxa"/>
              <w:bottom w:w="90" w:type="dxa"/>
              <w:end w:w="110" w:type="dxa"/>
            </w:tcMar>
          </w:tcPr>
          <w:p>
            <w:pPr>
              <w:spacing w:after="0"/>
            </w:pPr>
            <w:r>
              <w:rPr>
                <w:sz w:val="17"/>
              </w:rPr>
              <w:t>OWASP ASVS 5.0.0</w:t>
            </w:r>
          </w:p>
        </w:tc>
        <w:tc>
          <w:tcPr>
            <w:tcW w:type="dxa" w:w="7200"/>
            <w:vAlign w:val="center"/>
            <w:tcMar>
              <w:top w:w="90" w:type="dxa"/>
              <w:start w:w="110" w:type="dxa"/>
              <w:bottom w:w="90" w:type="dxa"/>
              <w:end w:w="110" w:type="dxa"/>
            </w:tcMar>
          </w:tcPr>
          <w:p>
            <w:pPr>
              <w:spacing w:after="0"/>
            </w:pPr>
            <w:r>
              <w:rPr>
                <w:sz w:val="17"/>
              </w:rPr>
              <w:t>Application-security verification requirements for web applications and supporting controls.</w:t>
            </w:r>
          </w:p>
        </w:tc>
      </w:tr>
      <w:tr>
        <w:tc>
          <w:tcPr>
            <w:tcW w:type="dxa" w:w="2880"/>
            <w:vAlign w:val="center"/>
            <w:tcMar>
              <w:top w:w="90" w:type="dxa"/>
              <w:start w:w="110" w:type="dxa"/>
              <w:bottom w:w="90" w:type="dxa"/>
              <w:end w:w="110" w:type="dxa"/>
            </w:tcMar>
          </w:tcPr>
          <w:p>
            <w:pPr>
              <w:spacing w:after="0"/>
            </w:pPr>
            <w:r>
              <w:rPr>
                <w:sz w:val="17"/>
              </w:rPr>
              <w:t>OpenTelemetry</w:t>
            </w:r>
          </w:p>
        </w:tc>
        <w:tc>
          <w:tcPr>
            <w:tcW w:type="dxa" w:w="7200"/>
            <w:vAlign w:val="center"/>
            <w:tcMar>
              <w:top w:w="90" w:type="dxa"/>
              <w:start w:w="110" w:type="dxa"/>
              <w:bottom w:w="90" w:type="dxa"/>
              <w:end w:w="110" w:type="dxa"/>
            </w:tcMar>
          </w:tcPr>
          <w:p>
            <w:pPr>
              <w:spacing w:after="0"/>
            </w:pPr>
            <w:r>
              <w:rPr>
                <w:sz w:val="17"/>
              </w:rPr>
              <w:t>Vendor-neutral telemetry framework for traces, metrics, and logs.</w:t>
            </w:r>
          </w:p>
        </w:tc>
      </w:tr>
      <w:tr>
        <w:tc>
          <w:tcPr>
            <w:tcW w:type="dxa" w:w="2880"/>
            <w:vAlign w:val="center"/>
            <w:tcMar>
              <w:top w:w="90" w:type="dxa"/>
              <w:start w:w="110" w:type="dxa"/>
              <w:bottom w:w="90" w:type="dxa"/>
              <w:end w:w="110" w:type="dxa"/>
            </w:tcMar>
          </w:tcPr>
          <w:p>
            <w:pPr>
              <w:spacing w:after="0"/>
            </w:pPr>
            <w:r>
              <w:rPr>
                <w:sz w:val="17"/>
              </w:rPr>
              <w:t>SLSA v1.2</w:t>
            </w:r>
          </w:p>
        </w:tc>
        <w:tc>
          <w:tcPr>
            <w:tcW w:type="dxa" w:w="7200"/>
            <w:vAlign w:val="center"/>
            <w:tcMar>
              <w:top w:w="90" w:type="dxa"/>
              <w:start w:w="110" w:type="dxa"/>
              <w:bottom w:w="90" w:type="dxa"/>
              <w:end w:w="110" w:type="dxa"/>
            </w:tcMar>
          </w:tcPr>
          <w:p>
            <w:pPr>
              <w:spacing w:after="0"/>
            </w:pPr>
            <w:r>
              <w:rPr>
                <w:sz w:val="17"/>
              </w:rPr>
              <w:t>Software supply-chain security levels, provenance, and source/build integrity concepts.</w:t>
            </w:r>
          </w:p>
        </w:tc>
      </w:tr>
    </w:tbl>
    <w:p>
      <w:pPr>
        <w:spacing w:after="20"/>
      </w:pPr>
    </w:p>
    <w:p>
      <w:pPr>
        <w:pStyle w:val="Heading1"/>
      </w:pPr>
      <w:r>
        <w:t>Annex E. Example End-to-End Technical Trace</w:t>
      </w:r>
    </w:p>
    <w:p>
      <w:pPr>
        <w:pStyle w:val="CodeBlock"/>
        <w:shd w:fill="F7F8FA"/>
      </w:pPr>
      <w:r>
        <w:t>1. Analyst registers source URL/document</w:t>
        <w:br/>
        <w:t>2. Evidence Service stores original + hash + acquisition metadata</w:t>
        <w:br/>
        <w:t>3. Extract created for relevant paragraph/page</w:t>
        <w:br/>
        <w:t>4. Claim created and linked to extract</w:t>
        <w:br/>
        <w:t>5. Fact verified from corroborating evidence</w:t>
        <w:br/>
        <w:t>6. Entity created / resolved to canonical identity</w:t>
        <w:br/>
        <w:t>7. Relationship created with evidence + confidence + valid time</w:t>
        <w:br/>
        <w:t>8. Graph projection updates asynchronously</w:t>
        <w:br/>
        <w:t>9. Value-flow reconstruction links contract, company, and asset</w:t>
        <w:br/>
        <w:t>10. Typology Service suggests possible nominee/layering pattern</w:t>
        <w:br/>
        <w:t>11. Analyst records competing hypothesis and intelligence gaps</w:t>
        <w:br/>
        <w:t>12. Assessment drafted with evidence citations and confidence</w:t>
        <w:br/>
        <w:t>13. Reviewer challenges assumptions; analyst revises</w:t>
        <w:br/>
        <w:t>14. Approver authorizes redacted intelligence product</w:t>
        <w:br/>
        <w:t>15. Dissemination Service records recipient, purpose, version, timestamp</w:t>
        <w:br/>
        <w:t>16. Audit Service preserves the decision and export history</w:t>
      </w:r>
    </w:p>
    <w:p>
      <w:pPr>
        <w:pStyle w:val="Heading1"/>
      </w:pPr>
      <w:r>
        <w:t>Document Status and Change Control</w:t>
      </w:r>
    </w:p>
    <w:p>
      <w:pPr>
        <w:spacing w:after="100" w:line="259" w:lineRule="auto"/>
      </w:pPr>
      <w:r>
        <w:rPr>
          <w:b w:val="0"/>
          <w:i w:val="0"/>
        </w:rPr>
        <w:t>Version 0.1 is a normative baseline intended for controlled implementation and field testing. Architecture changes that alter trust boundaries, canonical object semantics, dissemination controls, source protection, audit integrity, or the distinction between evidence and analytical inference SHOULD be treated as framework-level changes rather than ordinary implementation choices.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CS-AML Technology Architecture v0.1  |  Normative derivative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F8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5A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35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469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88" w:right="288"/>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