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b/>
          <w:color w:val="285C8E"/>
          <w:sz w:val="30"/>
        </w:rPr>
        <w:t>CS-AML</w:t>
      </w:r>
    </w:p>
    <w:p>
      <w:pPr>
        <w:pStyle w:val="Title"/>
      </w:pPr>
      <w:r>
        <w:t>UI Design System</w:t>
        <w:br/>
        <w:t>Specification v0.1</w:t>
      </w:r>
    </w:p>
    <w:p>
      <w:pPr>
        <w:pStyle w:val="Subtitle"/>
      </w:pPr>
      <w:r>
        <w:t>Normative visual and component baseline for the CS-AML MVP analyst interface</w:t>
      </w:r>
    </w:p>
    <w:p>
      <w:pPr>
        <w:spacing w:after="320"/>
      </w:pPr>
    </w:p>
    <w:tbl>
      <w:tblPr>
        <w:tblW w:type="auto" w:w="0"/>
        <w:jc w:val="center"/>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after="80"/>
            </w:pPr>
            <w:r>
              <w:rPr>
                <w:b/>
                <w:color w:val="285C8E"/>
                <w:sz w:val="21"/>
              </w:rPr>
              <w:t>Design-system axiom</w:t>
            </w:r>
          </w:p>
          <w:p>
            <w:pPr>
              <w:spacing w:after="0" w:line="264" w:lineRule="auto"/>
            </w:pPr>
            <w:r>
              <w:rPr>
                <w:color w:val="16212B"/>
                <w:sz w:val="20"/>
              </w:rPr>
              <w:t>The visual system SHALL communicate analytical state, provenance, uncertainty, permission, review status, and operational risk without implying guilt, suspicion, certainty, or importance merely through visual prominence.</w:t>
            </w:r>
          </w:p>
        </w:tc>
      </w:tr>
    </w:tbl>
    <w:p>
      <w:pPr>
        <w:spacing w:after="0"/>
      </w:pPr>
    </w:p>
    <w:p>
      <w:pPr>
        <w:spacing w:after="40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736"/>
            <w:shd w:fill="17324D"/>
            <w:tcMar>
              <w:top w:w="100" w:type="dxa"/>
              <w:start w:w="120" w:type="dxa"/>
              <w:bottom w:w="100" w:type="dxa"/>
              <w:end w:w="120" w:type="dxa"/>
            </w:tcMar>
            <w:vAlign w:val="center"/>
          </w:tcPr>
          <w:p>
            <w:pPr>
              <w:jc w:val="center"/>
            </w:pPr>
            <w:r>
              <w:rPr>
                <w:b/>
                <w:color w:val="FFFFFF"/>
                <w:sz w:val="19"/>
              </w:rPr>
              <w:t>Document control</w:t>
            </w:r>
          </w:p>
        </w:tc>
        <w:tc>
          <w:tcPr>
            <w:tcW w:type="dxa" w:w="6768"/>
            <w:shd w:fill="17324D"/>
            <w:tcMar>
              <w:top w:w="100" w:type="dxa"/>
              <w:start w:w="120" w:type="dxa"/>
              <w:bottom w:w="100" w:type="dxa"/>
              <w:end w:w="120" w:type="dxa"/>
            </w:tcMar>
            <w:vAlign w:val="center"/>
          </w:tcPr>
          <w:p>
            <w:pPr>
              <w:jc w:val="center"/>
            </w:pPr>
            <w:r>
              <w:rPr>
                <w:b/>
                <w:color w:val="FFFFFF"/>
                <w:sz w:val="19"/>
              </w:rPr>
              <w:t>Value</w:t>
            </w:r>
          </w:p>
        </w:tc>
      </w:tr>
      <w:tr>
        <w:tc>
          <w:tcPr>
            <w:tcW w:type="dxa" w:w="2736"/>
            <w:tcMar>
              <w:top w:w="100" w:type="dxa"/>
              <w:start w:w="120" w:type="dxa"/>
              <w:bottom w:w="100" w:type="dxa"/>
              <w:end w:w="120" w:type="dxa"/>
            </w:tcMar>
            <w:vAlign w:val="center"/>
          </w:tcPr>
          <w:p>
            <w:pPr>
              <w:spacing w:after="0" w:line="240" w:lineRule="auto"/>
            </w:pPr>
            <w:r>
              <w:rPr>
                <w:color w:val="16212B"/>
                <w:sz w:val="19"/>
              </w:rPr>
              <w:t>Document ID</w:t>
            </w:r>
          </w:p>
        </w:tc>
        <w:tc>
          <w:tcPr>
            <w:tcW w:type="dxa" w:w="6768"/>
            <w:tcMar>
              <w:top w:w="100" w:type="dxa"/>
              <w:start w:w="120" w:type="dxa"/>
              <w:bottom w:w="100" w:type="dxa"/>
              <w:end w:w="120" w:type="dxa"/>
            </w:tcMar>
            <w:vAlign w:val="center"/>
          </w:tcPr>
          <w:p>
            <w:pPr>
              <w:spacing w:after="0" w:line="240" w:lineRule="auto"/>
            </w:pPr>
            <w:r>
              <w:rPr>
                <w:color w:val="16212B"/>
                <w:sz w:val="19"/>
              </w:rPr>
              <w:t>CSAML-UI-DS-0.1</w:t>
            </w:r>
          </w:p>
        </w:tc>
      </w:tr>
      <w:tr>
        <w:tc>
          <w:tcPr>
            <w:tcW w:type="dxa" w:w="2736"/>
            <w:tcMar>
              <w:top w:w="100" w:type="dxa"/>
              <w:start w:w="120" w:type="dxa"/>
              <w:bottom w:w="100" w:type="dxa"/>
              <w:end w:w="120" w:type="dxa"/>
            </w:tcMar>
            <w:vAlign w:val="center"/>
          </w:tcPr>
          <w:p>
            <w:pPr>
              <w:spacing w:after="0" w:line="240" w:lineRule="auto"/>
            </w:pPr>
            <w:r>
              <w:rPr>
                <w:color w:val="16212B"/>
                <w:sz w:val="19"/>
              </w:rPr>
              <w:t>Status</w:t>
            </w:r>
          </w:p>
        </w:tc>
        <w:tc>
          <w:tcPr>
            <w:tcW w:type="dxa" w:w="6768"/>
            <w:tcMar>
              <w:top w:w="100" w:type="dxa"/>
              <w:start w:w="120" w:type="dxa"/>
              <w:bottom w:w="100" w:type="dxa"/>
              <w:end w:w="120" w:type="dxa"/>
            </w:tcMar>
            <w:vAlign w:val="center"/>
          </w:tcPr>
          <w:p>
            <w:pPr>
              <w:spacing w:after="0" w:line="240" w:lineRule="auto"/>
            </w:pPr>
            <w:r>
              <w:rPr>
                <w:color w:val="16212B"/>
                <w:sz w:val="19"/>
              </w:rPr>
              <w:t>Normative UI design-system baseline for MVP 0.1</w:t>
            </w:r>
          </w:p>
        </w:tc>
      </w:tr>
      <w:tr>
        <w:tc>
          <w:tcPr>
            <w:tcW w:type="dxa" w:w="2736"/>
            <w:tcMar>
              <w:top w:w="100" w:type="dxa"/>
              <w:start w:w="120" w:type="dxa"/>
              <w:bottom w:w="100" w:type="dxa"/>
              <w:end w:w="120" w:type="dxa"/>
            </w:tcMar>
            <w:vAlign w:val="center"/>
          </w:tcPr>
          <w:p>
            <w:pPr>
              <w:spacing w:after="0" w:line="240" w:lineRule="auto"/>
            </w:pPr>
            <w:r>
              <w:rPr>
                <w:color w:val="16212B"/>
                <w:sz w:val="19"/>
              </w:rPr>
              <w:t>Depends on</w:t>
            </w:r>
          </w:p>
        </w:tc>
        <w:tc>
          <w:tcPr>
            <w:tcW w:type="dxa" w:w="6768"/>
            <w:tcMar>
              <w:top w:w="100" w:type="dxa"/>
              <w:start w:w="120" w:type="dxa"/>
              <w:bottom w:w="100" w:type="dxa"/>
              <w:end w:w="120" w:type="dxa"/>
            </w:tcMar>
            <w:vAlign w:val="center"/>
          </w:tcPr>
          <w:p>
            <w:pPr>
              <w:spacing w:after="0" w:line="240" w:lineRule="auto"/>
            </w:pPr>
            <w:r>
              <w:rPr>
                <w:color w:val="16212B"/>
                <w:sz w:val="19"/>
              </w:rPr>
              <w:t>UX Specification; Information Architecture Specification; Screen Inventory; Wireframe Specification</w:t>
            </w:r>
          </w:p>
        </w:tc>
      </w:tr>
      <w:tr>
        <w:tc>
          <w:tcPr>
            <w:tcW w:type="dxa" w:w="2736"/>
            <w:tcMar>
              <w:top w:w="100" w:type="dxa"/>
              <w:start w:w="120" w:type="dxa"/>
              <w:bottom w:w="100" w:type="dxa"/>
              <w:end w:w="120" w:type="dxa"/>
            </w:tcMar>
            <w:vAlign w:val="center"/>
          </w:tcPr>
          <w:p>
            <w:pPr>
              <w:spacing w:after="0" w:line="240" w:lineRule="auto"/>
            </w:pPr>
            <w:r>
              <w:rPr>
                <w:color w:val="16212B"/>
                <w:sz w:val="19"/>
              </w:rPr>
              <w:t>Primary consumers</w:t>
            </w:r>
          </w:p>
        </w:tc>
        <w:tc>
          <w:tcPr>
            <w:tcW w:type="dxa" w:w="6768"/>
            <w:tcMar>
              <w:top w:w="100" w:type="dxa"/>
              <w:start w:w="120" w:type="dxa"/>
              <w:bottom w:w="100" w:type="dxa"/>
              <w:end w:w="120" w:type="dxa"/>
            </w:tcMar>
            <w:vAlign w:val="center"/>
          </w:tcPr>
          <w:p>
            <w:pPr>
              <w:spacing w:after="0" w:line="240" w:lineRule="auto"/>
            </w:pPr>
            <w:r>
              <w:rPr>
                <w:color w:val="16212B"/>
                <w:sz w:val="19"/>
              </w:rPr>
              <w:t>Product design, frontend engineering, QA, accessibility, product owner</w:t>
            </w:r>
          </w:p>
        </w:tc>
      </w:tr>
      <w:tr>
        <w:tc>
          <w:tcPr>
            <w:tcW w:type="dxa" w:w="2736"/>
            <w:tcMar>
              <w:top w:w="100" w:type="dxa"/>
              <w:start w:w="120" w:type="dxa"/>
              <w:bottom w:w="100" w:type="dxa"/>
              <w:end w:w="120" w:type="dxa"/>
            </w:tcMar>
            <w:vAlign w:val="center"/>
          </w:tcPr>
          <w:p>
            <w:pPr>
              <w:spacing w:after="0" w:line="240" w:lineRule="auto"/>
            </w:pPr>
            <w:r>
              <w:rPr>
                <w:color w:val="16212B"/>
                <w:sz w:val="19"/>
              </w:rPr>
              <w:t>Baseline theme</w:t>
            </w:r>
          </w:p>
        </w:tc>
        <w:tc>
          <w:tcPr>
            <w:tcW w:type="dxa" w:w="6768"/>
            <w:tcMar>
              <w:top w:w="100" w:type="dxa"/>
              <w:start w:w="120" w:type="dxa"/>
              <w:bottom w:w="100" w:type="dxa"/>
              <w:end w:w="120" w:type="dxa"/>
            </w:tcMar>
            <w:vAlign w:val="center"/>
          </w:tcPr>
          <w:p>
            <w:pPr>
              <w:spacing w:after="0" w:line="240" w:lineRule="auto"/>
            </w:pPr>
            <w:r>
              <w:rPr>
                <w:color w:val="16212B"/>
                <w:sz w:val="19"/>
              </w:rPr>
              <w:t>Light, calm, data-dense, evidence-first</w:t>
            </w:r>
          </w:p>
        </w:tc>
      </w:tr>
      <w:tr>
        <w:tc>
          <w:tcPr>
            <w:tcW w:type="dxa" w:w="2736"/>
            <w:tcMar>
              <w:top w:w="100" w:type="dxa"/>
              <w:start w:w="120" w:type="dxa"/>
              <w:bottom w:w="100" w:type="dxa"/>
              <w:end w:w="120" w:type="dxa"/>
            </w:tcMar>
            <w:vAlign w:val="center"/>
          </w:tcPr>
          <w:p>
            <w:pPr>
              <w:spacing w:after="0" w:line="240" w:lineRule="auto"/>
            </w:pPr>
            <w:r>
              <w:rPr>
                <w:color w:val="16212B"/>
                <w:sz w:val="19"/>
              </w:rPr>
              <w:t>MVP frontend reference</w:t>
            </w:r>
          </w:p>
        </w:tc>
        <w:tc>
          <w:tcPr>
            <w:tcW w:type="dxa" w:w="6768"/>
            <w:tcMar>
              <w:top w:w="100" w:type="dxa"/>
              <w:start w:w="120" w:type="dxa"/>
              <w:bottom w:w="100" w:type="dxa"/>
              <w:end w:w="120" w:type="dxa"/>
            </w:tcMar>
            <w:vAlign w:val="center"/>
          </w:tcPr>
          <w:p>
            <w:pPr>
              <w:spacing w:after="0" w:line="240" w:lineRule="auto"/>
            </w:pPr>
            <w:r>
              <w:rPr>
                <w:color w:val="16212B"/>
                <w:sz w:val="19"/>
              </w:rPr>
              <w:t>React + TypeScript + Tailwind CSS 4</w:t>
            </w:r>
          </w:p>
        </w:tc>
      </w:tr>
    </w:tbl>
    <w:p>
      <w:pPr>
        <w:spacing w:after="0"/>
      </w:pPr>
    </w:p>
    <w:p>
      <w:r>
        <w:br w:type="page"/>
      </w:r>
    </w:p>
    <w:p>
      <w:pPr>
        <w:pStyle w:val="Heading1"/>
      </w:pPr>
      <w:r>
        <w:t>1. Purpose, Scope, and Ownership</w:t>
      </w:r>
    </w:p>
    <w:p>
      <w:pPr>
        <w:spacing w:after="100" w:line="269" w:lineRule="auto"/>
      </w:pPr>
      <w:r>
        <w:rPr>
          <w:sz w:val="21"/>
        </w:rPr>
        <w:t>This specification defines the shared visual language and reusable UI component system for the CS-AML application. It standardises tokens, typography, spacing, color semantics, component anatomy, component states, data-density rules, analytical visual semantics, accessibility rules, and frontend implementation conventions.</w:t>
      </w:r>
    </w:p>
    <w:p>
      <w:pPr>
        <w:pStyle w:val="Heading2"/>
      </w:pPr>
      <w:r>
        <w:t>1.1 What this document owns</w:t>
      </w:r>
    </w:p>
    <w:p>
      <w:pPr>
        <w:pStyle w:val="ListBullet"/>
        <w:spacing w:after="40" w:line="259" w:lineRule="auto"/>
      </w:pPr>
      <w:r>
        <w:rPr>
          <w:sz w:val="20"/>
        </w:rPr>
        <w:t>Design tokens: color, typography, spacing, size, border, radius, elevation, motion, opacity, and focus.</w:t>
      </w:r>
    </w:p>
    <w:p>
      <w:pPr>
        <w:pStyle w:val="ListBullet"/>
        <w:spacing w:after="40" w:line="259" w:lineRule="auto"/>
      </w:pPr>
      <w:r>
        <w:rPr>
          <w:sz w:val="20"/>
        </w:rPr>
        <w:t>Reusable UI components and their visual/semantic states.</w:t>
      </w:r>
    </w:p>
    <w:p>
      <w:pPr>
        <w:pStyle w:val="ListBullet"/>
        <w:spacing w:after="40" w:line="259" w:lineRule="auto"/>
      </w:pPr>
      <w:r>
        <w:rPr>
          <w:sz w:val="20"/>
        </w:rPr>
        <w:t>Analytical visualization semantics for graph, timeline, value flow, confidence, provenance, and uncertainty.</w:t>
      </w:r>
    </w:p>
    <w:p>
      <w:pPr>
        <w:pStyle w:val="ListBullet"/>
        <w:spacing w:after="40" w:line="259" w:lineRule="auto"/>
      </w:pPr>
      <w:r>
        <w:rPr>
          <w:sz w:val="20"/>
        </w:rPr>
        <w:t>Accessibility constraints and component-level interaction affordances where visual styling is involved.</w:t>
      </w:r>
    </w:p>
    <w:p>
      <w:pPr>
        <w:pStyle w:val="ListBullet"/>
        <w:spacing w:after="40" w:line="259" w:lineRule="auto"/>
      </w:pPr>
      <w:r>
        <w:rPr>
          <w:sz w:val="20"/>
        </w:rPr>
        <w:t>Frontend design-system implementation and governance conventions.</w:t>
      </w:r>
    </w:p>
    <w:p>
      <w:pPr>
        <w:pStyle w:val="Heading2"/>
      </w:pPr>
      <w:r>
        <w:t>1.2 What this document does not own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17324D"/>
            <w:tcMar>
              <w:top w:w="100" w:type="dxa"/>
              <w:start w:w="120" w:type="dxa"/>
              <w:bottom w:w="100" w:type="dxa"/>
              <w:end w:w="120" w:type="dxa"/>
            </w:tcMar>
            <w:vAlign w:val="center"/>
          </w:tcPr>
          <w:p>
            <w:pPr>
              <w:jc w:val="center"/>
            </w:pPr>
            <w:r>
              <w:rPr>
                <w:b/>
                <w:color w:val="FFFFFF"/>
                <w:sz w:val="18"/>
              </w:rPr>
              <w:t>Concern</w:t>
            </w:r>
          </w:p>
        </w:tc>
        <w:tc>
          <w:tcPr>
            <w:tcW w:type="dxa" w:w="5040"/>
            <w:shd w:fill="17324D"/>
            <w:tcMar>
              <w:top w:w="100" w:type="dxa"/>
              <w:start w:w="120" w:type="dxa"/>
              <w:bottom w:w="100" w:type="dxa"/>
              <w:end w:w="120" w:type="dxa"/>
            </w:tcMar>
            <w:vAlign w:val="center"/>
          </w:tcPr>
          <w:p>
            <w:pPr>
              <w:jc w:val="center"/>
            </w:pPr>
            <w:r>
              <w:rPr>
                <w:b/>
                <w:color w:val="FFFFFF"/>
                <w:sz w:val="18"/>
              </w:rPr>
              <w:t>Owning specification</w:t>
            </w:r>
          </w:p>
        </w:tc>
      </w:tr>
      <w:tr>
        <w:tc>
          <w:tcPr>
            <w:tcW w:type="dxa" w:w="4464"/>
            <w:tcMar>
              <w:top w:w="100" w:type="dxa"/>
              <w:start w:w="120" w:type="dxa"/>
              <w:bottom w:w="100" w:type="dxa"/>
              <w:end w:w="120" w:type="dxa"/>
            </w:tcMar>
            <w:vAlign w:val="center"/>
          </w:tcPr>
          <w:p>
            <w:pPr>
              <w:spacing w:after="0" w:line="240" w:lineRule="auto"/>
            </w:pPr>
            <w:r>
              <w:rPr>
                <w:color w:val="16212B"/>
                <w:sz w:val="18"/>
              </w:rPr>
              <w:t>Task flows, interaction behaviour, feedback, safety</w:t>
            </w:r>
          </w:p>
        </w:tc>
        <w:tc>
          <w:tcPr>
            <w:tcW w:type="dxa" w:w="5040"/>
            <w:tcMar>
              <w:top w:w="100" w:type="dxa"/>
              <w:start w:w="120" w:type="dxa"/>
              <w:bottom w:w="100" w:type="dxa"/>
              <w:end w:w="120" w:type="dxa"/>
            </w:tcMar>
            <w:vAlign w:val="center"/>
          </w:tcPr>
          <w:p>
            <w:pPr>
              <w:spacing w:after="0" w:line="240" w:lineRule="auto"/>
            </w:pPr>
            <w:r>
              <w:rPr>
                <w:color w:val="16212B"/>
                <w:sz w:val="18"/>
              </w:rPr>
              <w:t>CS-AML UX Specification</w:t>
            </w:r>
          </w:p>
        </w:tc>
      </w:tr>
      <w:tr>
        <w:tc>
          <w:tcPr>
            <w:tcW w:type="dxa" w:w="4464"/>
            <w:tcMar>
              <w:top w:w="100" w:type="dxa"/>
              <w:start w:w="120" w:type="dxa"/>
              <w:bottom w:w="100" w:type="dxa"/>
              <w:end w:w="120" w:type="dxa"/>
            </w:tcMar>
            <w:vAlign w:val="center"/>
          </w:tcPr>
          <w:p>
            <w:pPr>
              <w:spacing w:after="0" w:line="240" w:lineRule="auto"/>
            </w:pPr>
            <w:r>
              <w:rPr>
                <w:color w:val="16212B"/>
                <w:sz w:val="18"/>
              </w:rPr>
              <w:t>Navigation, taxonomy, object hierarchy, findability</w:t>
            </w:r>
          </w:p>
        </w:tc>
        <w:tc>
          <w:tcPr>
            <w:tcW w:type="dxa" w:w="5040"/>
            <w:tcMar>
              <w:top w:w="100" w:type="dxa"/>
              <w:start w:w="120" w:type="dxa"/>
              <w:bottom w:w="100" w:type="dxa"/>
              <w:end w:w="120" w:type="dxa"/>
            </w:tcMar>
            <w:vAlign w:val="center"/>
          </w:tcPr>
          <w:p>
            <w:pPr>
              <w:spacing w:after="0" w:line="240" w:lineRule="auto"/>
            </w:pPr>
            <w:r>
              <w:rPr>
                <w:color w:val="16212B"/>
                <w:sz w:val="18"/>
              </w:rPr>
              <w:t>CS-AML Information Architecture Specification</w:t>
            </w:r>
          </w:p>
        </w:tc>
      </w:tr>
      <w:tr>
        <w:tc>
          <w:tcPr>
            <w:tcW w:type="dxa" w:w="4464"/>
            <w:tcMar>
              <w:top w:w="100" w:type="dxa"/>
              <w:start w:w="120" w:type="dxa"/>
              <w:bottom w:w="100" w:type="dxa"/>
              <w:end w:w="120" w:type="dxa"/>
            </w:tcMar>
            <w:vAlign w:val="center"/>
          </w:tcPr>
          <w:p>
            <w:pPr>
              <w:spacing w:after="0" w:line="240" w:lineRule="auto"/>
            </w:pPr>
            <w:r>
              <w:rPr>
                <w:color w:val="16212B"/>
                <w:sz w:val="18"/>
              </w:rPr>
              <w:t>Screen catalogue and canonical screen IDs</w:t>
            </w:r>
          </w:p>
        </w:tc>
        <w:tc>
          <w:tcPr>
            <w:tcW w:type="dxa" w:w="5040"/>
            <w:tcMar>
              <w:top w:w="100" w:type="dxa"/>
              <w:start w:w="120" w:type="dxa"/>
              <w:bottom w:w="100" w:type="dxa"/>
              <w:end w:w="120" w:type="dxa"/>
            </w:tcMar>
            <w:vAlign w:val="center"/>
          </w:tcPr>
          <w:p>
            <w:pPr>
              <w:spacing w:after="0" w:line="240" w:lineRule="auto"/>
            </w:pPr>
            <w:r>
              <w:rPr>
                <w:color w:val="16212B"/>
                <w:sz w:val="18"/>
              </w:rPr>
              <w:t>CS-AML Screen Inventory</w:t>
            </w:r>
          </w:p>
        </w:tc>
      </w:tr>
      <w:tr>
        <w:tc>
          <w:tcPr>
            <w:tcW w:type="dxa" w:w="4464"/>
            <w:tcMar>
              <w:top w:w="100" w:type="dxa"/>
              <w:start w:w="120" w:type="dxa"/>
              <w:bottom w:w="100" w:type="dxa"/>
              <w:end w:w="120" w:type="dxa"/>
            </w:tcMar>
            <w:vAlign w:val="center"/>
          </w:tcPr>
          <w:p>
            <w:pPr>
              <w:spacing w:after="0" w:line="240" w:lineRule="auto"/>
            </w:pPr>
            <w:r>
              <w:rPr>
                <w:color w:val="16212B"/>
                <w:sz w:val="18"/>
              </w:rPr>
              <w:t>Screen regions and low-fidelity composition</w:t>
            </w:r>
          </w:p>
        </w:tc>
        <w:tc>
          <w:tcPr>
            <w:tcW w:type="dxa" w:w="5040"/>
            <w:tcMar>
              <w:top w:w="100" w:type="dxa"/>
              <w:start w:w="120" w:type="dxa"/>
              <w:bottom w:w="100" w:type="dxa"/>
              <w:end w:w="120" w:type="dxa"/>
            </w:tcMar>
            <w:vAlign w:val="center"/>
          </w:tcPr>
          <w:p>
            <w:pPr>
              <w:spacing w:after="0" w:line="240" w:lineRule="auto"/>
            </w:pPr>
            <w:r>
              <w:rPr>
                <w:color w:val="16212B"/>
                <w:sz w:val="18"/>
              </w:rPr>
              <w:t>CS-AML Wireframe Specification</w:t>
            </w:r>
          </w:p>
        </w:tc>
      </w:tr>
      <w:tr>
        <w:tc>
          <w:tcPr>
            <w:tcW w:type="dxa" w:w="4464"/>
            <w:tcMar>
              <w:top w:w="100" w:type="dxa"/>
              <w:start w:w="120" w:type="dxa"/>
              <w:bottom w:w="100" w:type="dxa"/>
              <w:end w:w="120" w:type="dxa"/>
            </w:tcMar>
            <w:vAlign w:val="center"/>
          </w:tcPr>
          <w:p>
            <w:pPr>
              <w:spacing w:after="0" w:line="240" w:lineRule="auto"/>
            </w:pPr>
            <w:r>
              <w:rPr>
                <w:color w:val="16212B"/>
                <w:sz w:val="18"/>
              </w:rPr>
              <w:t>Functional behaviour and acceptance</w:t>
            </w:r>
          </w:p>
        </w:tc>
        <w:tc>
          <w:tcPr>
            <w:tcW w:type="dxa" w:w="5040"/>
            <w:tcMar>
              <w:top w:w="100" w:type="dxa"/>
              <w:start w:w="120" w:type="dxa"/>
              <w:bottom w:w="100" w:type="dxa"/>
              <w:end w:w="120" w:type="dxa"/>
            </w:tcMar>
            <w:vAlign w:val="center"/>
          </w:tcPr>
          <w:p>
            <w:pPr>
              <w:spacing w:after="0" w:line="240" w:lineRule="auto"/>
            </w:pPr>
            <w:r>
              <w:rPr>
                <w:color w:val="16212B"/>
                <w:sz w:val="18"/>
              </w:rPr>
              <w:t>PRD / SRS / MVP Engineering Breakdown</w:t>
            </w:r>
          </w:p>
        </w:tc>
      </w:tr>
    </w:tbl>
    <w:p>
      <w:pPr>
        <w:spacing w:after="0"/>
      </w:pPr>
    </w:p>
    <w:tbl>
      <w:tblPr>
        <w:tblW w:type="auto" w:w="0"/>
        <w:jc w:val="center"/>
        <w:tblLook w:firstColumn="1" w:firstRow="1" w:lastColumn="0" w:lastRow="0" w:noHBand="0" w:noVBand="1" w:val="04A0"/>
      </w:tblPr>
      <w:tblGrid>
        <w:gridCol w:w="9994"/>
      </w:tblGrid>
      <w:tr>
        <w:tc>
          <w:tcPr>
            <w:tcW w:type="dxa" w:w="9994"/>
            <w:shd w:fill="F1F3F5"/>
            <w:tcMar>
              <w:top w:w="140" w:type="dxa"/>
              <w:start w:w="160" w:type="dxa"/>
              <w:bottom w:w="140" w:type="dxa"/>
              <w:end w:w="160" w:type="dxa"/>
            </w:tcMar>
          </w:tcPr>
          <w:p>
            <w:pPr>
              <w:spacing w:after="80"/>
            </w:pPr>
            <w:r>
              <w:rPr>
                <w:b/>
                <w:color w:val="17324D"/>
                <w:sz w:val="21"/>
              </w:rPr>
              <w:t>Non-overlap rule</w:t>
            </w:r>
          </w:p>
          <w:p>
            <w:pPr>
              <w:spacing w:after="0" w:line="264" w:lineRule="auto"/>
            </w:pPr>
            <w:r>
              <w:rPr>
                <w:color w:val="16212B"/>
                <w:sz w:val="20"/>
              </w:rPr>
              <w:t>A design-system component MAY provide styles and states for navigation, forms, reviews, or graph views, but SHALL NOT redefine the information hierarchy, task flow, or business rule of those features.</w:t>
            </w:r>
          </w:p>
        </w:tc>
      </w:tr>
    </w:tbl>
    <w:p>
      <w:pPr>
        <w:spacing w:after="0"/>
      </w:pPr>
    </w:p>
    <w:p>
      <w:pPr>
        <w:pStyle w:val="Heading1"/>
      </w:pPr>
      <w:r>
        <w:t>2. Design Principles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80"/>
            <w:shd w:fill="17324D"/>
            <w:tcMar>
              <w:top w:w="100" w:type="dxa"/>
              <w:start w:w="120" w:type="dxa"/>
              <w:bottom w:w="100" w:type="dxa"/>
              <w:end w:w="120" w:type="dxa"/>
            </w:tcMar>
            <w:vAlign w:val="center"/>
          </w:tcPr>
          <w:p>
            <w:pPr>
              <w:jc w:val="center"/>
            </w:pPr>
            <w:r>
              <w:rPr>
                <w:b/>
                <w:color w:val="FFFFFF"/>
                <w:sz w:val="17"/>
              </w:rPr>
              <w:t>ID</w:t>
            </w:r>
          </w:p>
        </w:tc>
        <w:tc>
          <w:tcPr>
            <w:tcW w:type="dxa" w:w="2088"/>
            <w:shd w:fill="17324D"/>
            <w:tcMar>
              <w:top w:w="100" w:type="dxa"/>
              <w:start w:w="120" w:type="dxa"/>
              <w:bottom w:w="100" w:type="dxa"/>
              <w:end w:w="120" w:type="dxa"/>
            </w:tcMar>
            <w:vAlign w:val="center"/>
          </w:tcPr>
          <w:p>
            <w:pPr>
              <w:jc w:val="center"/>
            </w:pPr>
            <w:r>
              <w:rPr>
                <w:b/>
                <w:color w:val="FFFFFF"/>
                <w:sz w:val="17"/>
              </w:rPr>
              <w:t>Principle</w:t>
            </w:r>
          </w:p>
        </w:tc>
        <w:tc>
          <w:tcPr>
            <w:tcW w:type="dxa" w:w="6408"/>
            <w:shd w:fill="17324D"/>
            <w:tcMar>
              <w:top w:w="100" w:type="dxa"/>
              <w:start w:w="120" w:type="dxa"/>
              <w:bottom w:w="100" w:type="dxa"/>
              <w:end w:w="120" w:type="dxa"/>
            </w:tcMar>
            <w:vAlign w:val="center"/>
          </w:tcPr>
          <w:p>
            <w:pPr>
              <w:jc w:val="center"/>
            </w:pPr>
            <w:r>
              <w:rPr>
                <w:b/>
                <w:color w:val="FFFFFF"/>
                <w:sz w:val="17"/>
              </w:rPr>
              <w:t>Normative intent</w:t>
            </w:r>
          </w:p>
        </w:tc>
      </w:tr>
      <w:tr>
        <w:tc>
          <w:tcPr>
            <w:tcW w:type="dxa" w:w="1080"/>
            <w:tcMar>
              <w:top w:w="100" w:type="dxa"/>
              <w:start w:w="120" w:type="dxa"/>
              <w:bottom w:w="100" w:type="dxa"/>
              <w:end w:w="120" w:type="dxa"/>
            </w:tcMar>
            <w:vAlign w:val="center"/>
          </w:tcPr>
          <w:p>
            <w:pPr>
              <w:spacing w:after="0" w:line="240" w:lineRule="auto"/>
            </w:pPr>
            <w:r>
              <w:rPr>
                <w:color w:val="16212B"/>
                <w:sz w:val="17"/>
              </w:rPr>
              <w:t>DS-P01</w:t>
            </w:r>
          </w:p>
        </w:tc>
        <w:tc>
          <w:tcPr>
            <w:tcW w:type="dxa" w:w="2088"/>
            <w:tcMar>
              <w:top w:w="100" w:type="dxa"/>
              <w:start w:w="120" w:type="dxa"/>
              <w:bottom w:w="100" w:type="dxa"/>
              <w:end w:w="120" w:type="dxa"/>
            </w:tcMar>
            <w:vAlign w:val="center"/>
          </w:tcPr>
          <w:p>
            <w:pPr>
              <w:spacing w:after="0" w:line="240" w:lineRule="auto"/>
            </w:pPr>
            <w:r>
              <w:rPr>
                <w:color w:val="16212B"/>
                <w:sz w:val="17"/>
              </w:rPr>
              <w:t>Evidence first</w:t>
            </w:r>
          </w:p>
        </w:tc>
        <w:tc>
          <w:tcPr>
            <w:tcW w:type="dxa" w:w="6408"/>
            <w:tcMar>
              <w:top w:w="100" w:type="dxa"/>
              <w:start w:w="120" w:type="dxa"/>
              <w:bottom w:w="100" w:type="dxa"/>
              <w:end w:w="120" w:type="dxa"/>
            </w:tcMar>
            <w:vAlign w:val="center"/>
          </w:tcPr>
          <w:p>
            <w:pPr>
              <w:spacing w:after="0" w:line="240" w:lineRule="auto"/>
            </w:pPr>
            <w:r>
              <w:rPr>
                <w:color w:val="16212B"/>
                <w:sz w:val="17"/>
              </w:rPr>
              <w:t>The visual hierarchy SHALL make provenance and supporting evidence easy to inspect without making allegations visually dominant.</w:t>
            </w:r>
          </w:p>
        </w:tc>
      </w:tr>
      <w:tr>
        <w:tc>
          <w:tcPr>
            <w:tcW w:type="dxa" w:w="1080"/>
            <w:tcMar>
              <w:top w:w="100" w:type="dxa"/>
              <w:start w:w="120" w:type="dxa"/>
              <w:bottom w:w="100" w:type="dxa"/>
              <w:end w:w="120" w:type="dxa"/>
            </w:tcMar>
            <w:vAlign w:val="center"/>
          </w:tcPr>
          <w:p>
            <w:pPr>
              <w:spacing w:after="0" w:line="240" w:lineRule="auto"/>
            </w:pPr>
            <w:r>
              <w:rPr>
                <w:color w:val="16212B"/>
                <w:sz w:val="17"/>
              </w:rPr>
              <w:t>DS-P02</w:t>
            </w:r>
          </w:p>
        </w:tc>
        <w:tc>
          <w:tcPr>
            <w:tcW w:type="dxa" w:w="2088"/>
            <w:tcMar>
              <w:top w:w="100" w:type="dxa"/>
              <w:start w:w="120" w:type="dxa"/>
              <w:bottom w:w="100" w:type="dxa"/>
              <w:end w:w="120" w:type="dxa"/>
            </w:tcMar>
            <w:vAlign w:val="center"/>
          </w:tcPr>
          <w:p>
            <w:pPr>
              <w:spacing w:after="0" w:line="240" w:lineRule="auto"/>
            </w:pPr>
            <w:r>
              <w:rPr>
                <w:color w:val="16212B"/>
                <w:sz w:val="17"/>
              </w:rPr>
              <w:t>Uncertainty visible</w:t>
            </w:r>
          </w:p>
        </w:tc>
        <w:tc>
          <w:tcPr>
            <w:tcW w:type="dxa" w:w="6408"/>
            <w:tcMar>
              <w:top w:w="100" w:type="dxa"/>
              <w:start w:w="120" w:type="dxa"/>
              <w:bottom w:w="100" w:type="dxa"/>
              <w:end w:w="120" w:type="dxa"/>
            </w:tcMar>
            <w:vAlign w:val="center"/>
          </w:tcPr>
          <w:p>
            <w:pPr>
              <w:spacing w:after="0" w:line="240" w:lineRule="auto"/>
            </w:pPr>
            <w:r>
              <w:rPr>
                <w:color w:val="16212B"/>
                <w:sz w:val="17"/>
              </w:rPr>
              <w:t>Unknown, disputed, inferred, reconstructed, hypothetical, and verified states SHALL be perceptibly different.</w:t>
            </w:r>
          </w:p>
        </w:tc>
      </w:tr>
      <w:tr>
        <w:tc>
          <w:tcPr>
            <w:tcW w:type="dxa" w:w="1080"/>
            <w:tcMar>
              <w:top w:w="100" w:type="dxa"/>
              <w:start w:w="120" w:type="dxa"/>
              <w:bottom w:w="100" w:type="dxa"/>
              <w:end w:w="120" w:type="dxa"/>
            </w:tcMar>
            <w:vAlign w:val="center"/>
          </w:tcPr>
          <w:p>
            <w:pPr>
              <w:spacing w:after="0" w:line="240" w:lineRule="auto"/>
            </w:pPr>
            <w:r>
              <w:rPr>
                <w:color w:val="16212B"/>
                <w:sz w:val="17"/>
              </w:rPr>
              <w:t>DS-P03</w:t>
            </w:r>
          </w:p>
        </w:tc>
        <w:tc>
          <w:tcPr>
            <w:tcW w:type="dxa" w:w="2088"/>
            <w:tcMar>
              <w:top w:w="100" w:type="dxa"/>
              <w:start w:w="120" w:type="dxa"/>
              <w:bottom w:w="100" w:type="dxa"/>
              <w:end w:w="120" w:type="dxa"/>
            </w:tcMar>
            <w:vAlign w:val="center"/>
          </w:tcPr>
          <w:p>
            <w:pPr>
              <w:spacing w:after="0" w:line="240" w:lineRule="auto"/>
            </w:pPr>
            <w:r>
              <w:rPr>
                <w:color w:val="16212B"/>
                <w:sz w:val="17"/>
              </w:rPr>
              <w:t>Calm over alarm</w:t>
            </w:r>
          </w:p>
        </w:tc>
        <w:tc>
          <w:tcPr>
            <w:tcW w:type="dxa" w:w="6408"/>
            <w:tcMar>
              <w:top w:w="100" w:type="dxa"/>
              <w:start w:w="120" w:type="dxa"/>
              <w:bottom w:w="100" w:type="dxa"/>
              <w:end w:w="120" w:type="dxa"/>
            </w:tcMar>
            <w:vAlign w:val="center"/>
          </w:tcPr>
          <w:p>
            <w:pPr>
              <w:spacing w:after="0" w:line="240" w:lineRule="auto"/>
            </w:pPr>
            <w:r>
              <w:rPr>
                <w:color w:val="16212B"/>
                <w:sz w:val="17"/>
              </w:rPr>
              <w:t>The baseline UI SHALL avoid threat-dashboard aesthetics, excessive red, flashing indicators, or dramatic risk-score presentation.</w:t>
            </w:r>
          </w:p>
        </w:tc>
      </w:tr>
      <w:tr>
        <w:tc>
          <w:tcPr>
            <w:tcW w:type="dxa" w:w="1080"/>
            <w:tcMar>
              <w:top w:w="100" w:type="dxa"/>
              <w:start w:w="120" w:type="dxa"/>
              <w:bottom w:w="100" w:type="dxa"/>
              <w:end w:w="120" w:type="dxa"/>
            </w:tcMar>
            <w:vAlign w:val="center"/>
          </w:tcPr>
          <w:p>
            <w:pPr>
              <w:spacing w:after="0" w:line="240" w:lineRule="auto"/>
            </w:pPr>
            <w:r>
              <w:rPr>
                <w:color w:val="16212B"/>
                <w:sz w:val="17"/>
              </w:rPr>
              <w:t>DS-P04</w:t>
            </w:r>
          </w:p>
        </w:tc>
        <w:tc>
          <w:tcPr>
            <w:tcW w:type="dxa" w:w="2088"/>
            <w:tcMar>
              <w:top w:w="100" w:type="dxa"/>
              <w:start w:w="120" w:type="dxa"/>
              <w:bottom w:w="100" w:type="dxa"/>
              <w:end w:w="120" w:type="dxa"/>
            </w:tcMar>
            <w:vAlign w:val="center"/>
          </w:tcPr>
          <w:p>
            <w:pPr>
              <w:spacing w:after="0" w:line="240" w:lineRule="auto"/>
            </w:pPr>
            <w:r>
              <w:rPr>
                <w:color w:val="16212B"/>
                <w:sz w:val="17"/>
              </w:rPr>
              <w:t>No guilt by color</w:t>
            </w:r>
          </w:p>
        </w:tc>
        <w:tc>
          <w:tcPr>
            <w:tcW w:type="dxa" w:w="6408"/>
            <w:tcMar>
              <w:top w:w="100" w:type="dxa"/>
              <w:start w:w="120" w:type="dxa"/>
              <w:bottom w:w="100" w:type="dxa"/>
              <w:end w:w="120" w:type="dxa"/>
            </w:tcMar>
            <w:vAlign w:val="center"/>
          </w:tcPr>
          <w:p>
            <w:pPr>
              <w:spacing w:after="0" w:line="240" w:lineRule="auto"/>
            </w:pPr>
            <w:r>
              <w:rPr>
                <w:color w:val="16212B"/>
                <w:sz w:val="17"/>
              </w:rPr>
              <w:t>Entity type, centrality, case participation, or network prominence SHALL NOT be encoded as suspicion or guilt.</w:t>
            </w:r>
          </w:p>
        </w:tc>
      </w:tr>
      <w:tr>
        <w:tc>
          <w:tcPr>
            <w:tcW w:type="dxa" w:w="1080"/>
            <w:tcMar>
              <w:top w:w="100" w:type="dxa"/>
              <w:start w:w="120" w:type="dxa"/>
              <w:bottom w:w="100" w:type="dxa"/>
              <w:end w:w="120" w:type="dxa"/>
            </w:tcMar>
            <w:vAlign w:val="center"/>
          </w:tcPr>
          <w:p>
            <w:pPr>
              <w:spacing w:after="0" w:line="240" w:lineRule="auto"/>
            </w:pPr>
            <w:r>
              <w:rPr>
                <w:color w:val="16212B"/>
                <w:sz w:val="17"/>
              </w:rPr>
              <w:t>DS-P05</w:t>
            </w:r>
          </w:p>
        </w:tc>
        <w:tc>
          <w:tcPr>
            <w:tcW w:type="dxa" w:w="2088"/>
            <w:tcMar>
              <w:top w:w="100" w:type="dxa"/>
              <w:start w:w="120" w:type="dxa"/>
              <w:bottom w:w="100" w:type="dxa"/>
              <w:end w:w="120" w:type="dxa"/>
            </w:tcMar>
            <w:vAlign w:val="center"/>
          </w:tcPr>
          <w:p>
            <w:pPr>
              <w:spacing w:after="0" w:line="240" w:lineRule="auto"/>
            </w:pPr>
            <w:r>
              <w:rPr>
                <w:color w:val="16212B"/>
                <w:sz w:val="17"/>
              </w:rPr>
              <w:t>Accessible by default</w:t>
            </w:r>
          </w:p>
        </w:tc>
        <w:tc>
          <w:tcPr>
            <w:tcW w:type="dxa" w:w="6408"/>
            <w:tcMar>
              <w:top w:w="100" w:type="dxa"/>
              <w:start w:w="120" w:type="dxa"/>
              <w:bottom w:w="100" w:type="dxa"/>
              <w:end w:w="120" w:type="dxa"/>
            </w:tcMar>
            <w:vAlign w:val="center"/>
          </w:tcPr>
          <w:p>
            <w:pPr>
              <w:spacing w:after="0" w:line="240" w:lineRule="auto"/>
            </w:pPr>
            <w:r>
              <w:rPr>
                <w:color w:val="16212B"/>
                <w:sz w:val="17"/>
              </w:rPr>
              <w:t>Meaning SHALL NOT depend on color alone; keyboard focus, contrast, labels, and readable density are mandatory.</w:t>
            </w:r>
          </w:p>
        </w:tc>
      </w:tr>
      <w:tr>
        <w:tc>
          <w:tcPr>
            <w:tcW w:type="dxa" w:w="1080"/>
            <w:tcMar>
              <w:top w:w="100" w:type="dxa"/>
              <w:start w:w="120" w:type="dxa"/>
              <w:bottom w:w="100" w:type="dxa"/>
              <w:end w:w="120" w:type="dxa"/>
            </w:tcMar>
            <w:vAlign w:val="center"/>
          </w:tcPr>
          <w:p>
            <w:pPr>
              <w:spacing w:after="0" w:line="240" w:lineRule="auto"/>
            </w:pPr>
            <w:r>
              <w:rPr>
                <w:color w:val="16212B"/>
                <w:sz w:val="17"/>
              </w:rPr>
              <w:t>DS-P06</w:t>
            </w:r>
          </w:p>
        </w:tc>
        <w:tc>
          <w:tcPr>
            <w:tcW w:type="dxa" w:w="2088"/>
            <w:tcMar>
              <w:top w:w="100" w:type="dxa"/>
              <w:start w:w="120" w:type="dxa"/>
              <w:bottom w:w="100" w:type="dxa"/>
              <w:end w:w="120" w:type="dxa"/>
            </w:tcMar>
            <w:vAlign w:val="center"/>
          </w:tcPr>
          <w:p>
            <w:pPr>
              <w:spacing w:after="0" w:line="240" w:lineRule="auto"/>
            </w:pPr>
            <w:r>
              <w:rPr>
                <w:color w:val="16212B"/>
                <w:sz w:val="17"/>
              </w:rPr>
              <w:t>Dense but legible</w:t>
            </w:r>
          </w:p>
        </w:tc>
        <w:tc>
          <w:tcPr>
            <w:tcW w:type="dxa" w:w="6408"/>
            <w:tcMar>
              <w:top w:w="100" w:type="dxa"/>
              <w:start w:w="120" w:type="dxa"/>
              <w:bottom w:w="100" w:type="dxa"/>
              <w:end w:w="120" w:type="dxa"/>
            </w:tcMar>
            <w:vAlign w:val="center"/>
          </w:tcPr>
          <w:p>
            <w:pPr>
              <w:spacing w:after="0" w:line="240" w:lineRule="auto"/>
            </w:pPr>
            <w:r>
              <w:rPr>
                <w:color w:val="16212B"/>
                <w:sz w:val="17"/>
              </w:rPr>
              <w:t>The system SHOULD support professional investigative density while preserving grouping, scanability, and touch/click target adequacy.</w:t>
            </w:r>
          </w:p>
        </w:tc>
      </w:tr>
      <w:tr>
        <w:tc>
          <w:tcPr>
            <w:tcW w:type="dxa" w:w="1080"/>
            <w:tcMar>
              <w:top w:w="100" w:type="dxa"/>
              <w:start w:w="120" w:type="dxa"/>
              <w:bottom w:w="100" w:type="dxa"/>
              <w:end w:w="120" w:type="dxa"/>
            </w:tcMar>
            <w:vAlign w:val="center"/>
          </w:tcPr>
          <w:p>
            <w:pPr>
              <w:spacing w:after="0" w:line="240" w:lineRule="auto"/>
            </w:pPr>
            <w:r>
              <w:rPr>
                <w:color w:val="16212B"/>
                <w:sz w:val="17"/>
              </w:rPr>
              <w:t>DS-P07</w:t>
            </w:r>
          </w:p>
        </w:tc>
        <w:tc>
          <w:tcPr>
            <w:tcW w:type="dxa" w:w="2088"/>
            <w:tcMar>
              <w:top w:w="100" w:type="dxa"/>
              <w:start w:w="120" w:type="dxa"/>
              <w:bottom w:w="100" w:type="dxa"/>
              <w:end w:w="120" w:type="dxa"/>
            </w:tcMar>
            <w:vAlign w:val="center"/>
          </w:tcPr>
          <w:p>
            <w:pPr>
              <w:spacing w:after="0" w:line="240" w:lineRule="auto"/>
            </w:pPr>
            <w:r>
              <w:rPr>
                <w:color w:val="16212B"/>
                <w:sz w:val="17"/>
              </w:rPr>
              <w:t>Canonical consistency</w:t>
            </w:r>
          </w:p>
        </w:tc>
        <w:tc>
          <w:tcPr>
            <w:tcW w:type="dxa" w:w="6408"/>
            <w:tcMar>
              <w:top w:w="100" w:type="dxa"/>
              <w:start w:w="120" w:type="dxa"/>
              <w:bottom w:w="100" w:type="dxa"/>
              <w:end w:w="120" w:type="dxa"/>
            </w:tcMar>
            <w:vAlign w:val="center"/>
          </w:tcPr>
          <w:p>
            <w:pPr>
              <w:spacing w:after="0" w:line="240" w:lineRule="auto"/>
            </w:pPr>
            <w:r>
              <w:rPr>
                <w:color w:val="16212B"/>
                <w:sz w:val="17"/>
              </w:rPr>
              <w:t>The same status or analytical concept SHALL use the same token and component semantics across all screens.</w:t>
            </w:r>
          </w:p>
        </w:tc>
      </w:tr>
      <w:tr>
        <w:tc>
          <w:tcPr>
            <w:tcW w:type="dxa" w:w="1080"/>
            <w:tcMar>
              <w:top w:w="100" w:type="dxa"/>
              <w:start w:w="120" w:type="dxa"/>
              <w:bottom w:w="100" w:type="dxa"/>
              <w:end w:w="120" w:type="dxa"/>
            </w:tcMar>
            <w:vAlign w:val="center"/>
          </w:tcPr>
          <w:p>
            <w:pPr>
              <w:spacing w:after="0" w:line="240" w:lineRule="auto"/>
            </w:pPr>
            <w:r>
              <w:rPr>
                <w:color w:val="16212B"/>
                <w:sz w:val="17"/>
              </w:rPr>
              <w:t>DS-P08</w:t>
            </w:r>
          </w:p>
        </w:tc>
        <w:tc>
          <w:tcPr>
            <w:tcW w:type="dxa" w:w="2088"/>
            <w:tcMar>
              <w:top w:w="100" w:type="dxa"/>
              <w:start w:w="120" w:type="dxa"/>
              <w:bottom w:w="100" w:type="dxa"/>
              <w:end w:w="120" w:type="dxa"/>
            </w:tcMar>
            <w:vAlign w:val="center"/>
          </w:tcPr>
          <w:p>
            <w:pPr>
              <w:spacing w:after="0" w:line="240" w:lineRule="auto"/>
            </w:pPr>
            <w:r>
              <w:rPr>
                <w:color w:val="16212B"/>
                <w:sz w:val="17"/>
              </w:rPr>
              <w:t>Reversible state awareness</w:t>
            </w:r>
          </w:p>
        </w:tc>
        <w:tc>
          <w:tcPr>
            <w:tcW w:type="dxa" w:w="6408"/>
            <w:tcMar>
              <w:top w:w="100" w:type="dxa"/>
              <w:start w:w="120" w:type="dxa"/>
              <w:bottom w:w="100" w:type="dxa"/>
              <w:end w:w="120" w:type="dxa"/>
            </w:tcMar>
            <w:vAlign w:val="center"/>
          </w:tcPr>
          <w:p>
            <w:pPr>
              <w:spacing w:after="0" w:line="240" w:lineRule="auto"/>
            </w:pPr>
            <w:r>
              <w:rPr>
                <w:color w:val="16212B"/>
                <w:sz w:val="17"/>
              </w:rPr>
              <w:t>Merge, review, supersession, conflict, and destructive actions SHALL have visual cues that reveal reversibility or permanence.</w:t>
            </w:r>
          </w:p>
        </w:tc>
      </w:tr>
      <w:tr>
        <w:tc>
          <w:tcPr>
            <w:tcW w:type="dxa" w:w="1080"/>
            <w:tcMar>
              <w:top w:w="100" w:type="dxa"/>
              <w:start w:w="120" w:type="dxa"/>
              <w:bottom w:w="100" w:type="dxa"/>
              <w:end w:w="120" w:type="dxa"/>
            </w:tcMar>
            <w:vAlign w:val="center"/>
          </w:tcPr>
          <w:p>
            <w:pPr>
              <w:spacing w:after="0" w:line="240" w:lineRule="auto"/>
            </w:pPr>
            <w:r>
              <w:rPr>
                <w:color w:val="16212B"/>
                <w:sz w:val="17"/>
              </w:rPr>
              <w:t>DS-P09</w:t>
            </w:r>
          </w:p>
        </w:tc>
        <w:tc>
          <w:tcPr>
            <w:tcW w:type="dxa" w:w="2088"/>
            <w:tcMar>
              <w:top w:w="100" w:type="dxa"/>
              <w:start w:w="120" w:type="dxa"/>
              <w:bottom w:w="100" w:type="dxa"/>
              <w:end w:w="120" w:type="dxa"/>
            </w:tcMar>
            <w:vAlign w:val="center"/>
          </w:tcPr>
          <w:p>
            <w:pPr>
              <w:spacing w:after="0" w:line="240" w:lineRule="auto"/>
            </w:pPr>
            <w:r>
              <w:rPr>
                <w:color w:val="16212B"/>
                <w:sz w:val="17"/>
              </w:rPr>
              <w:t>Security is visible when useful</w:t>
            </w:r>
          </w:p>
        </w:tc>
        <w:tc>
          <w:tcPr>
            <w:tcW w:type="dxa" w:w="6408"/>
            <w:tcMar>
              <w:top w:w="100" w:type="dxa"/>
              <w:start w:w="120" w:type="dxa"/>
              <w:bottom w:w="100" w:type="dxa"/>
              <w:end w:w="120" w:type="dxa"/>
            </w:tcMar>
            <w:vAlign w:val="center"/>
          </w:tcPr>
          <w:p>
            <w:pPr>
              <w:spacing w:after="0" w:line="240" w:lineRule="auto"/>
            </w:pPr>
            <w:r>
              <w:rPr>
                <w:color w:val="16212B"/>
                <w:sz w:val="17"/>
              </w:rPr>
              <w:t>Classification, restricted handling, and protected-source states SHALL be visible to authorised users without unnecessarily exposing sensitive details.</w:t>
            </w:r>
          </w:p>
        </w:tc>
      </w:tr>
      <w:tr>
        <w:tc>
          <w:tcPr>
            <w:tcW w:type="dxa" w:w="1080"/>
            <w:tcMar>
              <w:top w:w="100" w:type="dxa"/>
              <w:start w:w="120" w:type="dxa"/>
              <w:bottom w:w="100" w:type="dxa"/>
              <w:end w:w="120" w:type="dxa"/>
            </w:tcMar>
            <w:vAlign w:val="center"/>
          </w:tcPr>
          <w:p>
            <w:pPr>
              <w:spacing w:after="0" w:line="240" w:lineRule="auto"/>
            </w:pPr>
            <w:r>
              <w:rPr>
                <w:color w:val="16212B"/>
                <w:sz w:val="17"/>
              </w:rPr>
              <w:t>DS-P10</w:t>
            </w:r>
          </w:p>
        </w:tc>
        <w:tc>
          <w:tcPr>
            <w:tcW w:type="dxa" w:w="2088"/>
            <w:tcMar>
              <w:top w:w="100" w:type="dxa"/>
              <w:start w:w="120" w:type="dxa"/>
              <w:bottom w:w="100" w:type="dxa"/>
              <w:end w:w="120" w:type="dxa"/>
            </w:tcMar>
            <w:vAlign w:val="center"/>
          </w:tcPr>
          <w:p>
            <w:pPr>
              <w:spacing w:after="0" w:line="240" w:lineRule="auto"/>
            </w:pPr>
            <w:r>
              <w:rPr>
                <w:color w:val="16212B"/>
                <w:sz w:val="17"/>
              </w:rPr>
              <w:t>Print/export parity</w:t>
            </w:r>
          </w:p>
        </w:tc>
        <w:tc>
          <w:tcPr>
            <w:tcW w:type="dxa" w:w="6408"/>
            <w:tcMar>
              <w:top w:w="100" w:type="dxa"/>
              <w:start w:w="120" w:type="dxa"/>
              <w:bottom w:w="100" w:type="dxa"/>
              <w:end w:w="120" w:type="dxa"/>
            </w:tcMar>
            <w:vAlign w:val="center"/>
          </w:tcPr>
          <w:p>
            <w:pPr>
              <w:spacing w:after="0" w:line="240" w:lineRule="auto"/>
            </w:pPr>
            <w:r>
              <w:rPr>
                <w:color w:val="16212B"/>
                <w:sz w:val="17"/>
              </w:rPr>
              <w:t>Critical semantic distinctions SHALL survive screenshots, grayscale print, PDF export, and copied report visuals.</w:t>
            </w:r>
          </w:p>
        </w:tc>
      </w:tr>
    </w:tbl>
    <w:p>
      <w:pPr>
        <w:spacing w:after="0"/>
      </w:pPr>
    </w:p>
    <w:p>
      <w:r>
        <w:br w:type="page"/>
      </w:r>
    </w:p>
    <w:p>
      <w:pPr>
        <w:pStyle w:val="Heading1"/>
      </w:pPr>
      <w:r>
        <w:t>3. Design Token Architecture</w:t>
      </w:r>
    </w:p>
    <w:p>
      <w:pPr>
        <w:spacing w:after="100" w:line="269" w:lineRule="auto"/>
      </w:pPr>
      <w:r>
        <w:rPr>
          <w:sz w:val="21"/>
        </w:rPr>
        <w:t>All visual values used by production components SHOULD be expressed through semantic design tokens rather than one-off literal styling. Component code SHALL prefer semantic tokens over raw palette values.</w:t>
      </w:r>
    </w:p>
    <w:p>
      <w:pPr>
        <w:pStyle w:val="Heading2"/>
      </w:pPr>
      <w:r>
        <w:t>3.1 Token layers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24D"/>
            <w:tcMar>
              <w:top w:w="100" w:type="dxa"/>
              <w:start w:w="120" w:type="dxa"/>
              <w:bottom w:w="100" w:type="dxa"/>
              <w:end w:w="120" w:type="dxa"/>
            </w:tcMar>
            <w:vAlign w:val="center"/>
          </w:tcPr>
          <w:p>
            <w:pPr>
              <w:jc w:val="center"/>
            </w:pPr>
            <w:r>
              <w:rPr>
                <w:b/>
                <w:color w:val="FFFFFF"/>
                <w:sz w:val="18"/>
              </w:rPr>
              <w:t>Layer</w:t>
            </w:r>
          </w:p>
        </w:tc>
        <w:tc>
          <w:tcPr>
            <w:tcW w:type="dxa" w:w="3168"/>
            <w:shd w:fill="17324D"/>
            <w:tcMar>
              <w:top w:w="100" w:type="dxa"/>
              <w:start w:w="120" w:type="dxa"/>
              <w:bottom w:w="100" w:type="dxa"/>
              <w:end w:w="120" w:type="dxa"/>
            </w:tcMar>
            <w:vAlign w:val="center"/>
          </w:tcPr>
          <w:p>
            <w:pPr>
              <w:jc w:val="center"/>
            </w:pPr>
            <w:r>
              <w:rPr>
                <w:b/>
                <w:color w:val="FFFFFF"/>
                <w:sz w:val="18"/>
              </w:rPr>
              <w:t>Purpose</w:t>
            </w:r>
          </w:p>
        </w:tc>
        <w:tc>
          <w:tcPr>
            <w:tcW w:type="dxa" w:w="4608"/>
            <w:shd w:fill="17324D"/>
            <w:tcMar>
              <w:top w:w="100" w:type="dxa"/>
              <w:start w:w="120" w:type="dxa"/>
              <w:bottom w:w="100" w:type="dxa"/>
              <w:end w:w="120" w:type="dxa"/>
            </w:tcMar>
            <w:vAlign w:val="center"/>
          </w:tcPr>
          <w:p>
            <w:pPr>
              <w:jc w:val="center"/>
            </w:pPr>
            <w:r>
              <w:rPr>
                <w:b/>
                <w:color w:val="FFFFFF"/>
                <w:sz w:val="18"/>
              </w:rPr>
              <w:t>Examples</w:t>
            </w:r>
          </w:p>
        </w:tc>
      </w:tr>
      <w:tr>
        <w:tc>
          <w:tcPr>
            <w:tcW w:type="dxa" w:w="1728"/>
            <w:tcMar>
              <w:top w:w="100" w:type="dxa"/>
              <w:start w:w="120" w:type="dxa"/>
              <w:bottom w:w="100" w:type="dxa"/>
              <w:end w:w="120" w:type="dxa"/>
            </w:tcMar>
            <w:vAlign w:val="center"/>
          </w:tcPr>
          <w:p>
            <w:pPr>
              <w:spacing w:after="0" w:line="240" w:lineRule="auto"/>
            </w:pPr>
            <w:r>
              <w:rPr>
                <w:color w:val="16212B"/>
                <w:sz w:val="18"/>
              </w:rPr>
              <w:t>Primitive</w:t>
            </w:r>
          </w:p>
        </w:tc>
        <w:tc>
          <w:tcPr>
            <w:tcW w:type="dxa" w:w="3168"/>
            <w:tcMar>
              <w:top w:w="100" w:type="dxa"/>
              <w:start w:w="120" w:type="dxa"/>
              <w:bottom w:w="100" w:type="dxa"/>
              <w:end w:w="120" w:type="dxa"/>
            </w:tcMar>
            <w:vAlign w:val="center"/>
          </w:tcPr>
          <w:p>
            <w:pPr>
              <w:spacing w:after="0" w:line="240" w:lineRule="auto"/>
            </w:pPr>
            <w:r>
              <w:rPr>
                <w:color w:val="16212B"/>
                <w:sz w:val="18"/>
              </w:rPr>
              <w:t>Raw visual values</w:t>
            </w:r>
          </w:p>
        </w:tc>
        <w:tc>
          <w:tcPr>
            <w:tcW w:type="dxa" w:w="4608"/>
            <w:tcMar>
              <w:top w:w="100" w:type="dxa"/>
              <w:start w:w="120" w:type="dxa"/>
              <w:bottom w:w="100" w:type="dxa"/>
              <w:end w:w="120" w:type="dxa"/>
            </w:tcMar>
            <w:vAlign w:val="center"/>
          </w:tcPr>
          <w:p>
            <w:pPr>
              <w:spacing w:after="0" w:line="240" w:lineRule="auto"/>
            </w:pPr>
            <w:r>
              <w:rPr>
                <w:color w:val="16212B"/>
                <w:sz w:val="18"/>
              </w:rPr>
              <w:t>blue.700, gray.100, space.4, radius.md</w:t>
            </w:r>
          </w:p>
        </w:tc>
      </w:tr>
      <w:tr>
        <w:tc>
          <w:tcPr>
            <w:tcW w:type="dxa" w:w="1728"/>
            <w:tcMar>
              <w:top w:w="100" w:type="dxa"/>
              <w:start w:w="120" w:type="dxa"/>
              <w:bottom w:w="100" w:type="dxa"/>
              <w:end w:w="120" w:type="dxa"/>
            </w:tcMar>
            <w:vAlign w:val="center"/>
          </w:tcPr>
          <w:p>
            <w:pPr>
              <w:spacing w:after="0" w:line="240" w:lineRule="auto"/>
            </w:pPr>
            <w:r>
              <w:rPr>
                <w:color w:val="16212B"/>
                <w:sz w:val="18"/>
              </w:rPr>
              <w:t>Semantic</w:t>
            </w:r>
          </w:p>
        </w:tc>
        <w:tc>
          <w:tcPr>
            <w:tcW w:type="dxa" w:w="3168"/>
            <w:tcMar>
              <w:top w:w="100" w:type="dxa"/>
              <w:start w:w="120" w:type="dxa"/>
              <w:bottom w:w="100" w:type="dxa"/>
              <w:end w:w="120" w:type="dxa"/>
            </w:tcMar>
            <w:vAlign w:val="center"/>
          </w:tcPr>
          <w:p>
            <w:pPr>
              <w:spacing w:after="0" w:line="240" w:lineRule="auto"/>
            </w:pPr>
            <w:r>
              <w:rPr>
                <w:color w:val="16212B"/>
                <w:sz w:val="18"/>
              </w:rPr>
              <w:t>Meaningful UI role</w:t>
            </w:r>
          </w:p>
        </w:tc>
        <w:tc>
          <w:tcPr>
            <w:tcW w:type="dxa" w:w="4608"/>
            <w:tcMar>
              <w:top w:w="100" w:type="dxa"/>
              <w:start w:w="120" w:type="dxa"/>
              <w:bottom w:w="100" w:type="dxa"/>
              <w:end w:w="120" w:type="dxa"/>
            </w:tcMar>
            <w:vAlign w:val="center"/>
          </w:tcPr>
          <w:p>
            <w:pPr>
              <w:spacing w:after="0" w:line="240" w:lineRule="auto"/>
            </w:pPr>
            <w:r>
              <w:rPr>
                <w:color w:val="16212B"/>
                <w:sz w:val="18"/>
              </w:rPr>
              <w:t>surface.canvas, text.muted, border.default, status.warning</w:t>
            </w:r>
          </w:p>
        </w:tc>
      </w:tr>
      <w:tr>
        <w:tc>
          <w:tcPr>
            <w:tcW w:type="dxa" w:w="1728"/>
            <w:tcMar>
              <w:top w:w="100" w:type="dxa"/>
              <w:start w:w="120" w:type="dxa"/>
              <w:bottom w:w="100" w:type="dxa"/>
              <w:end w:w="120" w:type="dxa"/>
            </w:tcMar>
            <w:vAlign w:val="center"/>
          </w:tcPr>
          <w:p>
            <w:pPr>
              <w:spacing w:after="0" w:line="240" w:lineRule="auto"/>
            </w:pPr>
            <w:r>
              <w:rPr>
                <w:color w:val="16212B"/>
                <w:sz w:val="18"/>
              </w:rPr>
              <w:t>Analytical</w:t>
            </w:r>
          </w:p>
        </w:tc>
        <w:tc>
          <w:tcPr>
            <w:tcW w:type="dxa" w:w="3168"/>
            <w:tcMar>
              <w:top w:w="100" w:type="dxa"/>
              <w:start w:w="120" w:type="dxa"/>
              <w:bottom w:w="100" w:type="dxa"/>
              <w:end w:w="120" w:type="dxa"/>
            </w:tcMar>
            <w:vAlign w:val="center"/>
          </w:tcPr>
          <w:p>
            <w:pPr>
              <w:spacing w:after="0" w:line="240" w:lineRule="auto"/>
            </w:pPr>
            <w:r>
              <w:rPr>
                <w:color w:val="16212B"/>
                <w:sz w:val="18"/>
              </w:rPr>
              <w:t>CS-AML analytical meaning</w:t>
            </w:r>
          </w:p>
        </w:tc>
        <w:tc>
          <w:tcPr>
            <w:tcW w:type="dxa" w:w="4608"/>
            <w:tcMar>
              <w:top w:w="100" w:type="dxa"/>
              <w:start w:w="120" w:type="dxa"/>
              <w:bottom w:w="100" w:type="dxa"/>
              <w:end w:w="120" w:type="dxa"/>
            </w:tcMar>
            <w:vAlign w:val="center"/>
          </w:tcPr>
          <w:p>
            <w:pPr>
              <w:spacing w:after="0" w:line="240" w:lineRule="auto"/>
            </w:pPr>
            <w:r>
              <w:rPr>
                <w:color w:val="16212B"/>
                <w:sz w:val="18"/>
              </w:rPr>
              <w:t>flow.documented, proposition.inferred, confidence.low</w:t>
            </w:r>
          </w:p>
        </w:tc>
      </w:tr>
      <w:tr>
        <w:tc>
          <w:tcPr>
            <w:tcW w:type="dxa" w:w="1728"/>
            <w:tcMar>
              <w:top w:w="100" w:type="dxa"/>
              <w:start w:w="120" w:type="dxa"/>
              <w:bottom w:w="100" w:type="dxa"/>
              <w:end w:w="120" w:type="dxa"/>
            </w:tcMar>
            <w:vAlign w:val="center"/>
          </w:tcPr>
          <w:p>
            <w:pPr>
              <w:spacing w:after="0" w:line="240" w:lineRule="auto"/>
            </w:pPr>
            <w:r>
              <w:rPr>
                <w:color w:val="16212B"/>
                <w:sz w:val="18"/>
              </w:rPr>
              <w:t>Component</w:t>
            </w:r>
          </w:p>
        </w:tc>
        <w:tc>
          <w:tcPr>
            <w:tcW w:type="dxa" w:w="3168"/>
            <w:tcMar>
              <w:top w:w="100" w:type="dxa"/>
              <w:start w:w="120" w:type="dxa"/>
              <w:bottom w:w="100" w:type="dxa"/>
              <w:end w:w="120" w:type="dxa"/>
            </w:tcMar>
            <w:vAlign w:val="center"/>
          </w:tcPr>
          <w:p>
            <w:pPr>
              <w:spacing w:after="0" w:line="240" w:lineRule="auto"/>
            </w:pPr>
            <w:r>
              <w:rPr>
                <w:color w:val="16212B"/>
                <w:sz w:val="18"/>
              </w:rPr>
              <w:t>Local component mapping</w:t>
            </w:r>
          </w:p>
        </w:tc>
        <w:tc>
          <w:tcPr>
            <w:tcW w:type="dxa" w:w="4608"/>
            <w:tcMar>
              <w:top w:w="100" w:type="dxa"/>
              <w:start w:w="120" w:type="dxa"/>
              <w:bottom w:w="100" w:type="dxa"/>
              <w:end w:w="120" w:type="dxa"/>
            </w:tcMar>
            <w:vAlign w:val="center"/>
          </w:tcPr>
          <w:p>
            <w:pPr>
              <w:spacing w:after="0" w:line="240" w:lineRule="auto"/>
            </w:pPr>
            <w:r>
              <w:rPr>
                <w:color w:val="16212B"/>
                <w:sz w:val="18"/>
              </w:rPr>
              <w:t>button.primary.bg, badge.disputed.bg, graph.edge.reconstructed</w:t>
            </w:r>
          </w:p>
        </w:tc>
      </w:tr>
    </w:tbl>
    <w:p>
      <w:pPr>
        <w:spacing w:after="0"/>
      </w:pPr>
    </w:p>
    <w:p>
      <w:pPr>
        <w:pStyle w:val="Heading2"/>
      </w:pPr>
      <w:r>
        <w:t>3.2 Naming rules</w:t>
      </w:r>
    </w:p>
    <w:p>
      <w:pPr>
        <w:pStyle w:val="ListBullet"/>
        <w:spacing w:after="40" w:line="259" w:lineRule="auto"/>
      </w:pPr>
      <w:r>
        <w:rPr>
          <w:sz w:val="20"/>
        </w:rPr>
        <w:t>Use lowercase dot notation in implementation tokens, e.g. `color.text.primary`.</w:t>
      </w:r>
    </w:p>
    <w:p>
      <w:pPr>
        <w:pStyle w:val="ListBullet"/>
        <w:spacing w:after="40" w:line="259" w:lineRule="auto"/>
      </w:pPr>
      <w:r>
        <w:rPr>
          <w:sz w:val="20"/>
        </w:rPr>
        <w:t>Do not encode a specific hue into semantic token names such as `status.error`; the hue may change without changing meaning.</w:t>
      </w:r>
    </w:p>
    <w:p>
      <w:pPr>
        <w:pStyle w:val="ListBullet"/>
        <w:spacing w:after="40" w:line="259" w:lineRule="auto"/>
      </w:pPr>
      <w:r>
        <w:rPr>
          <w:sz w:val="20"/>
        </w:rPr>
        <w:t>Analytical tokens SHALL use domain meaning, not emotional labels such as “dangerous entity”.</w:t>
      </w:r>
    </w:p>
    <w:p>
      <w:pPr>
        <w:pStyle w:val="ListBullet"/>
        <w:spacing w:after="40" w:line="259" w:lineRule="auto"/>
      </w:pPr>
      <w:r>
        <w:rPr>
          <w:sz w:val="20"/>
        </w:rPr>
        <w:t>Every token intended to communicate state SHALL define light-theme contrast requirements and a non-color companion cue where material.</w:t>
      </w:r>
    </w:p>
    <w:p>
      <w:pPr>
        <w:pStyle w:val="Heading2"/>
      </w:pPr>
      <w:r>
        <w:t>3.3 Core token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8"/>
              </w:rPr>
              <w:t>ID</w:t>
            </w:r>
          </w:p>
        </w:tc>
        <w:tc>
          <w:tcPr>
            <w:tcW w:type="dxa" w:w="8063"/>
            <w:shd w:fill="17324D"/>
            <w:tcMar>
              <w:top w:w="100" w:type="dxa"/>
              <w:start w:w="120" w:type="dxa"/>
              <w:bottom w:w="100" w:type="dxa"/>
              <w:end w:w="120" w:type="dxa"/>
            </w:tcMar>
            <w:vAlign w:val="center"/>
          </w:tcPr>
          <w:p>
            <w:pPr>
              <w:jc w:val="center"/>
            </w:pPr>
            <w:r>
              <w:rPr>
                <w:b/>
                <w:color w:val="FFFFFF"/>
                <w:sz w:val="18"/>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8"/>
              </w:rPr>
              <w:t>DS-001</w:t>
            </w:r>
          </w:p>
        </w:tc>
        <w:tc>
          <w:tcPr>
            <w:tcW w:type="dxa" w:w="8063"/>
            <w:tcMar>
              <w:top w:w="100" w:type="dxa"/>
              <w:start w:w="120" w:type="dxa"/>
              <w:bottom w:w="100" w:type="dxa"/>
              <w:end w:w="120" w:type="dxa"/>
            </w:tcMar>
            <w:vAlign w:val="center"/>
          </w:tcPr>
          <w:p>
            <w:pPr>
              <w:spacing w:after="0" w:line="240" w:lineRule="auto"/>
            </w:pPr>
            <w:r>
              <w:rPr>
                <w:color w:val="16212B"/>
                <w:sz w:val="18"/>
              </w:rPr>
              <w:t>Production UI SHALL source colors, spacing, typography, radius, elevation, and state styling from versioned design tokens.</w:t>
            </w:r>
          </w:p>
        </w:tc>
      </w:tr>
      <w:tr>
        <w:tc>
          <w:tcPr>
            <w:tcW w:type="dxa" w:w="1440"/>
            <w:tcMar>
              <w:top w:w="100" w:type="dxa"/>
              <w:start w:w="120" w:type="dxa"/>
              <w:bottom w:w="100" w:type="dxa"/>
              <w:end w:w="120" w:type="dxa"/>
            </w:tcMar>
            <w:vAlign w:val="center"/>
          </w:tcPr>
          <w:p>
            <w:pPr>
              <w:spacing w:after="0" w:line="240" w:lineRule="auto"/>
            </w:pPr>
            <w:r>
              <w:rPr>
                <w:color w:val="16212B"/>
                <w:sz w:val="18"/>
              </w:rPr>
              <w:t>DS-002</w:t>
            </w:r>
          </w:p>
        </w:tc>
        <w:tc>
          <w:tcPr>
            <w:tcW w:type="dxa" w:w="8063"/>
            <w:tcMar>
              <w:top w:w="100" w:type="dxa"/>
              <w:start w:w="120" w:type="dxa"/>
              <w:bottom w:w="100" w:type="dxa"/>
              <w:end w:w="120" w:type="dxa"/>
            </w:tcMar>
            <w:vAlign w:val="center"/>
          </w:tcPr>
          <w:p>
            <w:pPr>
              <w:spacing w:after="0" w:line="240" w:lineRule="auto"/>
            </w:pPr>
            <w:r>
              <w:rPr>
                <w:color w:val="16212B"/>
                <w:sz w:val="18"/>
              </w:rPr>
              <w:t>Semantic state tokens SHALL NOT be hard-coded independently in feature modules.</w:t>
            </w:r>
          </w:p>
        </w:tc>
      </w:tr>
      <w:tr>
        <w:tc>
          <w:tcPr>
            <w:tcW w:type="dxa" w:w="1440"/>
            <w:tcMar>
              <w:top w:w="100" w:type="dxa"/>
              <w:start w:w="120" w:type="dxa"/>
              <w:bottom w:w="100" w:type="dxa"/>
              <w:end w:w="120" w:type="dxa"/>
            </w:tcMar>
            <w:vAlign w:val="center"/>
          </w:tcPr>
          <w:p>
            <w:pPr>
              <w:spacing w:after="0" w:line="240" w:lineRule="auto"/>
            </w:pPr>
            <w:r>
              <w:rPr>
                <w:color w:val="16212B"/>
                <w:sz w:val="18"/>
              </w:rPr>
              <w:t>DS-003</w:t>
            </w:r>
          </w:p>
        </w:tc>
        <w:tc>
          <w:tcPr>
            <w:tcW w:type="dxa" w:w="8063"/>
            <w:tcMar>
              <w:top w:w="100" w:type="dxa"/>
              <w:start w:w="120" w:type="dxa"/>
              <w:bottom w:w="100" w:type="dxa"/>
              <w:end w:w="120" w:type="dxa"/>
            </w:tcMar>
            <w:vAlign w:val="center"/>
          </w:tcPr>
          <w:p>
            <w:pPr>
              <w:spacing w:after="0" w:line="240" w:lineRule="auto"/>
            </w:pPr>
            <w:r>
              <w:rPr>
                <w:color w:val="16212B"/>
                <w:sz w:val="18"/>
              </w:rPr>
              <w:t>Analytical state tokens SHALL map consistently across graph, timeline, tables, badges, forms, and export-ready views.</w:t>
            </w:r>
          </w:p>
        </w:tc>
      </w:tr>
      <w:tr>
        <w:tc>
          <w:tcPr>
            <w:tcW w:type="dxa" w:w="1440"/>
            <w:tcMar>
              <w:top w:w="100" w:type="dxa"/>
              <w:start w:w="120" w:type="dxa"/>
              <w:bottom w:w="100" w:type="dxa"/>
              <w:end w:w="120" w:type="dxa"/>
            </w:tcMar>
            <w:vAlign w:val="center"/>
          </w:tcPr>
          <w:p>
            <w:pPr>
              <w:spacing w:after="0" w:line="240" w:lineRule="auto"/>
            </w:pPr>
            <w:r>
              <w:rPr>
                <w:color w:val="16212B"/>
                <w:sz w:val="18"/>
              </w:rPr>
              <w:t>DS-004</w:t>
            </w:r>
          </w:p>
        </w:tc>
        <w:tc>
          <w:tcPr>
            <w:tcW w:type="dxa" w:w="8063"/>
            <w:tcMar>
              <w:top w:w="100" w:type="dxa"/>
              <w:start w:w="120" w:type="dxa"/>
              <w:bottom w:w="100" w:type="dxa"/>
              <w:end w:w="120" w:type="dxa"/>
            </w:tcMar>
            <w:vAlign w:val="center"/>
          </w:tcPr>
          <w:p>
            <w:pPr>
              <w:spacing w:after="0" w:line="240" w:lineRule="auto"/>
            </w:pPr>
            <w:r>
              <w:rPr>
                <w:color w:val="16212B"/>
                <w:sz w:val="18"/>
              </w:rPr>
              <w:t>Token changes that alter analytical meaning SHALL be reviewed by UX and domain owners, not frontend engineering alone.</w:t>
            </w:r>
          </w:p>
        </w:tc>
      </w:tr>
    </w:tbl>
    <w:p>
      <w:pPr>
        <w:spacing w:after="0"/>
      </w:pPr>
    </w:p>
    <w:p>
      <w:pPr>
        <w:pStyle w:val="Heading1"/>
      </w:pPr>
      <w:r>
        <w:t>4. Color System</w:t>
      </w:r>
    </w:p>
    <w:p>
      <w:pPr>
        <w:spacing w:after="100" w:line="269" w:lineRule="auto"/>
      </w:pPr>
      <w:r>
        <w:rPr>
          <w:sz w:val="21"/>
        </w:rPr>
        <w:t>The MVP baseline uses a restrained light theme. Color is used to establish hierarchy and state, not to create a “security operations” aesthetic. Red is reserved primarily for destructive/error conditions; it is not a generic suspicion color.</w:t>
      </w:r>
    </w:p>
    <w:p>
      <w:pPr>
        <w:pStyle w:val="Heading2"/>
      </w:pPr>
      <w:r>
        <w:t>4.1 Primitive palette baseline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324D"/>
            <w:tcMar>
              <w:top w:w="100" w:type="dxa"/>
              <w:start w:w="120" w:type="dxa"/>
              <w:bottom w:w="100" w:type="dxa"/>
              <w:end w:w="120" w:type="dxa"/>
            </w:tcMar>
          </w:tcPr>
          <w:p>
            <w:pPr>
              <w:jc w:val="center"/>
            </w:pPr>
            <w:r>
              <w:rPr>
                <w:b/>
                <w:color w:val="FFFFFF"/>
                <w:sz w:val="18"/>
              </w:rPr>
              <w:t>Token</w:t>
            </w:r>
          </w:p>
        </w:tc>
        <w:tc>
          <w:tcPr>
            <w:tcW w:type="dxa" w:w="2498"/>
            <w:shd w:fill="17324D"/>
            <w:tcMar>
              <w:top w:w="100" w:type="dxa"/>
              <w:start w:w="120" w:type="dxa"/>
              <w:bottom w:w="100" w:type="dxa"/>
              <w:end w:w="120" w:type="dxa"/>
            </w:tcMar>
          </w:tcPr>
          <w:p>
            <w:pPr>
              <w:jc w:val="center"/>
            </w:pPr>
            <w:r>
              <w:rPr>
                <w:b/>
                <w:color w:val="FFFFFF"/>
                <w:sz w:val="18"/>
              </w:rPr>
              <w:t>Hex</w:t>
            </w:r>
          </w:p>
        </w:tc>
        <w:tc>
          <w:tcPr>
            <w:tcW w:type="dxa" w:w="2498"/>
            <w:shd w:fill="17324D"/>
            <w:tcMar>
              <w:top w:w="100" w:type="dxa"/>
              <w:start w:w="120" w:type="dxa"/>
              <w:bottom w:w="100" w:type="dxa"/>
              <w:end w:w="120" w:type="dxa"/>
            </w:tcMar>
          </w:tcPr>
          <w:p>
            <w:pPr>
              <w:jc w:val="center"/>
            </w:pPr>
            <w:r>
              <w:rPr>
                <w:b/>
                <w:color w:val="FFFFFF"/>
                <w:sz w:val="18"/>
              </w:rPr>
              <w:t>Usage</w:t>
            </w:r>
          </w:p>
        </w:tc>
        <w:tc>
          <w:tcPr>
            <w:tcW w:type="dxa" w:w="2498"/>
            <w:shd w:fill="17324D"/>
            <w:tcMar>
              <w:top w:w="100" w:type="dxa"/>
              <w:start w:w="120" w:type="dxa"/>
              <w:bottom w:w="100" w:type="dxa"/>
              <w:end w:w="120" w:type="dxa"/>
            </w:tcMar>
          </w:tcPr>
          <w:p>
            <w:pPr>
              <w:jc w:val="center"/>
            </w:pPr>
            <w:r>
              <w:rPr>
                <w:b/>
                <w:color w:val="FFFFFF"/>
                <w:sz w:val="18"/>
              </w:rPr>
              <w:t>Swatch</w:t>
            </w:r>
          </w:p>
        </w:tc>
      </w:tr>
      <w:tr>
        <w:tc>
          <w:tcPr>
            <w:tcW w:type="dxa" w:w="2498"/>
            <w:tcMar>
              <w:top w:w="100" w:type="dxa"/>
              <w:start w:w="120" w:type="dxa"/>
              <w:bottom w:w="100" w:type="dxa"/>
              <w:end w:w="120" w:type="dxa"/>
            </w:tcMar>
          </w:tcPr>
          <w:p>
            <w:r>
              <w:rPr>
                <w:sz w:val="17"/>
              </w:rPr>
              <w:t>Navy 900</w:t>
            </w:r>
          </w:p>
        </w:tc>
        <w:tc>
          <w:tcPr>
            <w:tcW w:type="dxa" w:w="2498"/>
            <w:tcMar>
              <w:top w:w="100" w:type="dxa"/>
              <w:start w:w="120" w:type="dxa"/>
              <w:bottom w:w="100" w:type="dxa"/>
              <w:end w:w="120" w:type="dxa"/>
            </w:tcMar>
          </w:tcPr>
          <w:p>
            <w:r>
              <w:rPr>
                <w:sz w:val="17"/>
              </w:rPr>
              <w:t>#17324D</w:t>
            </w:r>
          </w:p>
        </w:tc>
        <w:tc>
          <w:tcPr>
            <w:tcW w:type="dxa" w:w="2498"/>
            <w:tcMar>
              <w:top w:w="100" w:type="dxa"/>
              <w:start w:w="120" w:type="dxa"/>
              <w:bottom w:w="100" w:type="dxa"/>
              <w:end w:w="120" w:type="dxa"/>
            </w:tcMar>
          </w:tcPr>
          <w:p>
            <w:r>
              <w:rPr>
                <w:sz w:val="17"/>
              </w:rPr>
              <w:t>Primary headings, strong chrome</w:t>
            </w:r>
          </w:p>
        </w:tc>
        <w:tc>
          <w:tcPr>
            <w:tcW w:type="dxa" w:w="2498"/>
            <w:tcMar>
              <w:top w:w="100" w:type="dxa"/>
              <w:start w:w="120" w:type="dxa"/>
              <w:bottom w:w="100" w:type="dxa"/>
              <w:end w:w="120" w:type="dxa"/>
            </w:tcMar>
            <w:shd w:fill="17324D"/>
          </w:tcPr>
          <w:p>
            <w:r>
              <w:rPr>
                <w:sz w:val="17"/>
              </w:rPr>
            </w:r>
          </w:p>
        </w:tc>
      </w:tr>
      <w:tr>
        <w:tc>
          <w:tcPr>
            <w:tcW w:type="dxa" w:w="2498"/>
            <w:tcMar>
              <w:top w:w="100" w:type="dxa"/>
              <w:start w:w="120" w:type="dxa"/>
              <w:bottom w:w="100" w:type="dxa"/>
              <w:end w:w="120" w:type="dxa"/>
            </w:tcMar>
          </w:tcPr>
          <w:p>
            <w:r>
              <w:rPr>
                <w:sz w:val="17"/>
              </w:rPr>
              <w:t>Blue 700</w:t>
            </w:r>
          </w:p>
        </w:tc>
        <w:tc>
          <w:tcPr>
            <w:tcW w:type="dxa" w:w="2498"/>
            <w:tcMar>
              <w:top w:w="100" w:type="dxa"/>
              <w:start w:w="120" w:type="dxa"/>
              <w:bottom w:w="100" w:type="dxa"/>
              <w:end w:w="120" w:type="dxa"/>
            </w:tcMar>
          </w:tcPr>
          <w:p>
            <w:r>
              <w:rPr>
                <w:sz w:val="17"/>
              </w:rPr>
              <w:t>#285C8E</w:t>
            </w:r>
          </w:p>
        </w:tc>
        <w:tc>
          <w:tcPr>
            <w:tcW w:type="dxa" w:w="2498"/>
            <w:tcMar>
              <w:top w:w="100" w:type="dxa"/>
              <w:start w:w="120" w:type="dxa"/>
              <w:bottom w:w="100" w:type="dxa"/>
              <w:end w:w="120" w:type="dxa"/>
            </w:tcMar>
          </w:tcPr>
          <w:p>
            <w:r>
              <w:rPr>
                <w:sz w:val="17"/>
              </w:rPr>
              <w:t>Primary action/accent</w:t>
            </w:r>
          </w:p>
        </w:tc>
        <w:tc>
          <w:tcPr>
            <w:tcW w:type="dxa" w:w="2498"/>
            <w:tcMar>
              <w:top w:w="100" w:type="dxa"/>
              <w:start w:w="120" w:type="dxa"/>
              <w:bottom w:w="100" w:type="dxa"/>
              <w:end w:w="120" w:type="dxa"/>
            </w:tcMar>
            <w:shd w:fill="285C8E"/>
          </w:tcPr>
          <w:p>
            <w:r>
              <w:rPr>
                <w:sz w:val="17"/>
              </w:rPr>
            </w:r>
          </w:p>
        </w:tc>
      </w:tr>
      <w:tr>
        <w:tc>
          <w:tcPr>
            <w:tcW w:type="dxa" w:w="2498"/>
            <w:tcMar>
              <w:top w:w="100" w:type="dxa"/>
              <w:start w:w="120" w:type="dxa"/>
              <w:bottom w:w="100" w:type="dxa"/>
              <w:end w:w="120" w:type="dxa"/>
            </w:tcMar>
          </w:tcPr>
          <w:p>
            <w:r>
              <w:rPr>
                <w:sz w:val="17"/>
              </w:rPr>
              <w:t>Ink 900</w:t>
            </w:r>
          </w:p>
        </w:tc>
        <w:tc>
          <w:tcPr>
            <w:tcW w:type="dxa" w:w="2498"/>
            <w:tcMar>
              <w:top w:w="100" w:type="dxa"/>
              <w:start w:w="120" w:type="dxa"/>
              <w:bottom w:w="100" w:type="dxa"/>
              <w:end w:w="120" w:type="dxa"/>
            </w:tcMar>
          </w:tcPr>
          <w:p>
            <w:r>
              <w:rPr>
                <w:sz w:val="17"/>
              </w:rPr>
              <w:t>#16212B</w:t>
            </w:r>
          </w:p>
        </w:tc>
        <w:tc>
          <w:tcPr>
            <w:tcW w:type="dxa" w:w="2498"/>
            <w:tcMar>
              <w:top w:w="100" w:type="dxa"/>
              <w:start w:w="120" w:type="dxa"/>
              <w:bottom w:w="100" w:type="dxa"/>
              <w:end w:w="120" w:type="dxa"/>
            </w:tcMar>
          </w:tcPr>
          <w:p>
            <w:r>
              <w:rPr>
                <w:sz w:val="17"/>
              </w:rPr>
              <w:t>Primary text</w:t>
            </w:r>
          </w:p>
        </w:tc>
        <w:tc>
          <w:tcPr>
            <w:tcW w:type="dxa" w:w="2498"/>
            <w:tcMar>
              <w:top w:w="100" w:type="dxa"/>
              <w:start w:w="120" w:type="dxa"/>
              <w:bottom w:w="100" w:type="dxa"/>
              <w:end w:w="120" w:type="dxa"/>
            </w:tcMar>
            <w:shd w:fill="16212B"/>
          </w:tcPr>
          <w:p>
            <w:r>
              <w:rPr>
                <w:sz w:val="17"/>
              </w:rPr>
            </w:r>
          </w:p>
        </w:tc>
      </w:tr>
      <w:tr>
        <w:tc>
          <w:tcPr>
            <w:tcW w:type="dxa" w:w="2498"/>
            <w:tcMar>
              <w:top w:w="100" w:type="dxa"/>
              <w:start w:w="120" w:type="dxa"/>
              <w:bottom w:w="100" w:type="dxa"/>
              <w:end w:w="120" w:type="dxa"/>
            </w:tcMar>
          </w:tcPr>
          <w:p>
            <w:r>
              <w:rPr>
                <w:sz w:val="17"/>
              </w:rPr>
              <w:t>Slate 600</w:t>
            </w:r>
          </w:p>
        </w:tc>
        <w:tc>
          <w:tcPr>
            <w:tcW w:type="dxa" w:w="2498"/>
            <w:tcMar>
              <w:top w:w="100" w:type="dxa"/>
              <w:start w:w="120" w:type="dxa"/>
              <w:bottom w:w="100" w:type="dxa"/>
              <w:end w:w="120" w:type="dxa"/>
            </w:tcMar>
          </w:tcPr>
          <w:p>
            <w:r>
              <w:rPr>
                <w:sz w:val="17"/>
              </w:rPr>
              <w:t>#5E6B75</w:t>
            </w:r>
          </w:p>
        </w:tc>
        <w:tc>
          <w:tcPr>
            <w:tcW w:type="dxa" w:w="2498"/>
            <w:tcMar>
              <w:top w:w="100" w:type="dxa"/>
              <w:start w:w="120" w:type="dxa"/>
              <w:bottom w:w="100" w:type="dxa"/>
              <w:end w:w="120" w:type="dxa"/>
            </w:tcMar>
          </w:tcPr>
          <w:p>
            <w:r>
              <w:rPr>
                <w:sz w:val="17"/>
              </w:rPr>
              <w:t>Secondary text</w:t>
            </w:r>
          </w:p>
        </w:tc>
        <w:tc>
          <w:tcPr>
            <w:tcW w:type="dxa" w:w="2498"/>
            <w:tcMar>
              <w:top w:w="100" w:type="dxa"/>
              <w:start w:w="120" w:type="dxa"/>
              <w:bottom w:w="100" w:type="dxa"/>
              <w:end w:w="120" w:type="dxa"/>
            </w:tcMar>
            <w:shd w:fill="5E6B75"/>
          </w:tcPr>
          <w:p>
            <w:r>
              <w:rPr>
                <w:sz w:val="17"/>
              </w:rPr>
            </w:r>
          </w:p>
        </w:tc>
      </w:tr>
      <w:tr>
        <w:tc>
          <w:tcPr>
            <w:tcW w:type="dxa" w:w="2498"/>
            <w:tcMar>
              <w:top w:w="100" w:type="dxa"/>
              <w:start w:w="120" w:type="dxa"/>
              <w:bottom w:w="100" w:type="dxa"/>
              <w:end w:w="120" w:type="dxa"/>
            </w:tcMar>
          </w:tcPr>
          <w:p>
            <w:r>
              <w:rPr>
                <w:sz w:val="17"/>
              </w:rPr>
              <w:t>Line 300</w:t>
            </w:r>
          </w:p>
        </w:tc>
        <w:tc>
          <w:tcPr>
            <w:tcW w:type="dxa" w:w="2498"/>
            <w:tcMar>
              <w:top w:w="100" w:type="dxa"/>
              <w:start w:w="120" w:type="dxa"/>
              <w:bottom w:w="100" w:type="dxa"/>
              <w:end w:w="120" w:type="dxa"/>
            </w:tcMar>
          </w:tcPr>
          <w:p>
            <w:r>
              <w:rPr>
                <w:sz w:val="17"/>
              </w:rPr>
              <w:t>#D7DEE5</w:t>
            </w:r>
          </w:p>
        </w:tc>
        <w:tc>
          <w:tcPr>
            <w:tcW w:type="dxa" w:w="2498"/>
            <w:tcMar>
              <w:top w:w="100" w:type="dxa"/>
              <w:start w:w="120" w:type="dxa"/>
              <w:bottom w:w="100" w:type="dxa"/>
              <w:end w:w="120" w:type="dxa"/>
            </w:tcMar>
          </w:tcPr>
          <w:p>
            <w:r>
              <w:rPr>
                <w:sz w:val="17"/>
              </w:rPr>
              <w:t>Borders/dividers</w:t>
            </w:r>
          </w:p>
        </w:tc>
        <w:tc>
          <w:tcPr>
            <w:tcW w:type="dxa" w:w="2498"/>
            <w:tcMar>
              <w:top w:w="100" w:type="dxa"/>
              <w:start w:w="120" w:type="dxa"/>
              <w:bottom w:w="100" w:type="dxa"/>
              <w:end w:w="120" w:type="dxa"/>
            </w:tcMar>
            <w:shd w:fill="D7DEE5"/>
          </w:tcPr>
          <w:p>
            <w:r>
              <w:rPr>
                <w:sz w:val="17"/>
              </w:rPr>
            </w:r>
          </w:p>
        </w:tc>
      </w:tr>
      <w:tr>
        <w:tc>
          <w:tcPr>
            <w:tcW w:type="dxa" w:w="2498"/>
            <w:tcMar>
              <w:top w:w="100" w:type="dxa"/>
              <w:start w:w="120" w:type="dxa"/>
              <w:bottom w:w="100" w:type="dxa"/>
              <w:end w:w="120" w:type="dxa"/>
            </w:tcMar>
          </w:tcPr>
          <w:p>
            <w:r>
              <w:rPr>
                <w:sz w:val="17"/>
              </w:rPr>
              <w:t>Canvas</w:t>
            </w:r>
          </w:p>
        </w:tc>
        <w:tc>
          <w:tcPr>
            <w:tcW w:type="dxa" w:w="2498"/>
            <w:tcMar>
              <w:top w:w="100" w:type="dxa"/>
              <w:start w:w="120" w:type="dxa"/>
              <w:bottom w:w="100" w:type="dxa"/>
              <w:end w:w="120" w:type="dxa"/>
            </w:tcMar>
          </w:tcPr>
          <w:p>
            <w:r>
              <w:rPr>
                <w:sz w:val="17"/>
              </w:rPr>
              <w:t>#F7F9FB</w:t>
            </w:r>
          </w:p>
        </w:tc>
        <w:tc>
          <w:tcPr>
            <w:tcW w:type="dxa" w:w="2498"/>
            <w:tcMar>
              <w:top w:w="100" w:type="dxa"/>
              <w:start w:w="120" w:type="dxa"/>
              <w:bottom w:w="100" w:type="dxa"/>
              <w:end w:w="120" w:type="dxa"/>
            </w:tcMar>
          </w:tcPr>
          <w:p>
            <w:r>
              <w:rPr>
                <w:sz w:val="17"/>
              </w:rPr>
              <w:t>Application background</w:t>
            </w:r>
          </w:p>
        </w:tc>
        <w:tc>
          <w:tcPr>
            <w:tcW w:type="dxa" w:w="2498"/>
            <w:tcMar>
              <w:top w:w="100" w:type="dxa"/>
              <w:start w:w="120" w:type="dxa"/>
              <w:bottom w:w="100" w:type="dxa"/>
              <w:end w:w="120" w:type="dxa"/>
            </w:tcMar>
            <w:shd w:fill="F7F9FB"/>
          </w:tcPr>
          <w:p>
            <w:r>
              <w:rPr>
                <w:sz w:val="17"/>
              </w:rPr>
            </w:r>
          </w:p>
        </w:tc>
      </w:tr>
      <w:tr>
        <w:tc>
          <w:tcPr>
            <w:tcW w:type="dxa" w:w="2498"/>
            <w:tcMar>
              <w:top w:w="100" w:type="dxa"/>
              <w:start w:w="120" w:type="dxa"/>
              <w:bottom w:w="100" w:type="dxa"/>
              <w:end w:w="120" w:type="dxa"/>
            </w:tcMar>
          </w:tcPr>
          <w:p>
            <w:r>
              <w:rPr>
                <w:sz w:val="17"/>
              </w:rPr>
              <w:t>Green 700</w:t>
            </w:r>
          </w:p>
        </w:tc>
        <w:tc>
          <w:tcPr>
            <w:tcW w:type="dxa" w:w="2498"/>
            <w:tcMar>
              <w:top w:w="100" w:type="dxa"/>
              <w:start w:w="120" w:type="dxa"/>
              <w:bottom w:w="100" w:type="dxa"/>
              <w:end w:w="120" w:type="dxa"/>
            </w:tcMar>
          </w:tcPr>
          <w:p>
            <w:r>
              <w:rPr>
                <w:sz w:val="17"/>
              </w:rPr>
              <w:t>#246B4A</w:t>
            </w:r>
          </w:p>
        </w:tc>
        <w:tc>
          <w:tcPr>
            <w:tcW w:type="dxa" w:w="2498"/>
            <w:tcMar>
              <w:top w:w="100" w:type="dxa"/>
              <w:start w:w="120" w:type="dxa"/>
              <w:bottom w:w="100" w:type="dxa"/>
              <w:end w:w="120" w:type="dxa"/>
            </w:tcMar>
          </w:tcPr>
          <w:p>
            <w:r>
              <w:rPr>
                <w:sz w:val="17"/>
              </w:rPr>
              <w:t>Confirmed success/completed</w:t>
            </w:r>
          </w:p>
        </w:tc>
        <w:tc>
          <w:tcPr>
            <w:tcW w:type="dxa" w:w="2498"/>
            <w:tcMar>
              <w:top w:w="100" w:type="dxa"/>
              <w:start w:w="120" w:type="dxa"/>
              <w:bottom w:w="100" w:type="dxa"/>
              <w:end w:w="120" w:type="dxa"/>
            </w:tcMar>
            <w:shd w:fill="246B4A"/>
          </w:tcPr>
          <w:p>
            <w:r>
              <w:rPr>
                <w:sz w:val="17"/>
              </w:rPr>
            </w:r>
          </w:p>
        </w:tc>
      </w:tr>
      <w:tr>
        <w:tc>
          <w:tcPr>
            <w:tcW w:type="dxa" w:w="2498"/>
            <w:tcMar>
              <w:top w:w="100" w:type="dxa"/>
              <w:start w:w="120" w:type="dxa"/>
              <w:bottom w:w="100" w:type="dxa"/>
              <w:end w:w="120" w:type="dxa"/>
            </w:tcMar>
          </w:tcPr>
          <w:p>
            <w:r>
              <w:rPr>
                <w:sz w:val="17"/>
              </w:rPr>
              <w:t>Amber 700</w:t>
            </w:r>
          </w:p>
        </w:tc>
        <w:tc>
          <w:tcPr>
            <w:tcW w:type="dxa" w:w="2498"/>
            <w:tcMar>
              <w:top w:w="100" w:type="dxa"/>
              <w:start w:w="120" w:type="dxa"/>
              <w:bottom w:w="100" w:type="dxa"/>
              <w:end w:w="120" w:type="dxa"/>
            </w:tcMar>
          </w:tcPr>
          <w:p>
            <w:r>
              <w:rPr>
                <w:sz w:val="17"/>
              </w:rPr>
              <w:t>#8A5A00</w:t>
            </w:r>
          </w:p>
        </w:tc>
        <w:tc>
          <w:tcPr>
            <w:tcW w:type="dxa" w:w="2498"/>
            <w:tcMar>
              <w:top w:w="100" w:type="dxa"/>
              <w:start w:w="120" w:type="dxa"/>
              <w:bottom w:w="100" w:type="dxa"/>
              <w:end w:w="120" w:type="dxa"/>
            </w:tcMar>
          </w:tcPr>
          <w:p>
            <w:r>
              <w:rPr>
                <w:sz w:val="17"/>
              </w:rPr>
              <w:t>Warning/review needed</w:t>
            </w:r>
          </w:p>
        </w:tc>
        <w:tc>
          <w:tcPr>
            <w:tcW w:type="dxa" w:w="2498"/>
            <w:tcMar>
              <w:top w:w="100" w:type="dxa"/>
              <w:start w:w="120" w:type="dxa"/>
              <w:bottom w:w="100" w:type="dxa"/>
              <w:end w:w="120" w:type="dxa"/>
            </w:tcMar>
            <w:shd w:fill="8A5A00"/>
          </w:tcPr>
          <w:p>
            <w:r>
              <w:rPr>
                <w:sz w:val="17"/>
              </w:rPr>
            </w:r>
          </w:p>
        </w:tc>
      </w:tr>
      <w:tr>
        <w:tc>
          <w:tcPr>
            <w:tcW w:type="dxa" w:w="2498"/>
            <w:tcMar>
              <w:top w:w="100" w:type="dxa"/>
              <w:start w:w="120" w:type="dxa"/>
              <w:bottom w:w="100" w:type="dxa"/>
              <w:end w:w="120" w:type="dxa"/>
            </w:tcMar>
          </w:tcPr>
          <w:p>
            <w:r>
              <w:rPr>
                <w:sz w:val="17"/>
              </w:rPr>
              <w:t>Red 700</w:t>
            </w:r>
          </w:p>
        </w:tc>
        <w:tc>
          <w:tcPr>
            <w:tcW w:type="dxa" w:w="2498"/>
            <w:tcMar>
              <w:top w:w="100" w:type="dxa"/>
              <w:start w:w="120" w:type="dxa"/>
              <w:bottom w:w="100" w:type="dxa"/>
              <w:end w:w="120" w:type="dxa"/>
            </w:tcMar>
          </w:tcPr>
          <w:p>
            <w:r>
              <w:rPr>
                <w:sz w:val="17"/>
              </w:rPr>
              <w:t>#A13333</w:t>
            </w:r>
          </w:p>
        </w:tc>
        <w:tc>
          <w:tcPr>
            <w:tcW w:type="dxa" w:w="2498"/>
            <w:tcMar>
              <w:top w:w="100" w:type="dxa"/>
              <w:start w:w="120" w:type="dxa"/>
              <w:bottom w:w="100" w:type="dxa"/>
              <w:end w:w="120" w:type="dxa"/>
            </w:tcMar>
          </w:tcPr>
          <w:p>
            <w:r>
              <w:rPr>
                <w:sz w:val="17"/>
              </w:rPr>
              <w:t>Error/destructive action</w:t>
            </w:r>
          </w:p>
        </w:tc>
        <w:tc>
          <w:tcPr>
            <w:tcW w:type="dxa" w:w="2498"/>
            <w:tcMar>
              <w:top w:w="100" w:type="dxa"/>
              <w:start w:w="120" w:type="dxa"/>
              <w:bottom w:w="100" w:type="dxa"/>
              <w:end w:w="120" w:type="dxa"/>
            </w:tcMar>
            <w:shd w:fill="A13333"/>
          </w:tcPr>
          <w:p>
            <w:r>
              <w:rPr>
                <w:sz w:val="17"/>
              </w:rPr>
            </w:r>
          </w:p>
        </w:tc>
      </w:tr>
      <w:tr>
        <w:tc>
          <w:tcPr>
            <w:tcW w:type="dxa" w:w="2498"/>
            <w:tcMar>
              <w:top w:w="100" w:type="dxa"/>
              <w:start w:w="120" w:type="dxa"/>
              <w:bottom w:w="100" w:type="dxa"/>
              <w:end w:w="120" w:type="dxa"/>
            </w:tcMar>
          </w:tcPr>
          <w:p>
            <w:r>
              <w:rPr>
                <w:sz w:val="17"/>
              </w:rPr>
              <w:t>Purple 700</w:t>
            </w:r>
          </w:p>
        </w:tc>
        <w:tc>
          <w:tcPr>
            <w:tcW w:type="dxa" w:w="2498"/>
            <w:tcMar>
              <w:top w:w="100" w:type="dxa"/>
              <w:start w:w="120" w:type="dxa"/>
              <w:bottom w:w="100" w:type="dxa"/>
              <w:end w:w="120" w:type="dxa"/>
            </w:tcMar>
          </w:tcPr>
          <w:p>
            <w:r>
              <w:rPr>
                <w:sz w:val="17"/>
              </w:rPr>
              <w:t>#5B4B8A</w:t>
            </w:r>
          </w:p>
        </w:tc>
        <w:tc>
          <w:tcPr>
            <w:tcW w:type="dxa" w:w="2498"/>
            <w:tcMar>
              <w:top w:w="100" w:type="dxa"/>
              <w:start w:w="120" w:type="dxa"/>
              <w:bottom w:w="100" w:type="dxa"/>
              <w:end w:w="120" w:type="dxa"/>
            </w:tcMar>
          </w:tcPr>
          <w:p>
            <w:r>
              <w:rPr>
                <w:sz w:val="17"/>
              </w:rPr>
              <w:t>Hypothesis/analytical construct</w:t>
            </w:r>
          </w:p>
        </w:tc>
        <w:tc>
          <w:tcPr>
            <w:tcW w:type="dxa" w:w="2498"/>
            <w:tcMar>
              <w:top w:w="100" w:type="dxa"/>
              <w:start w:w="120" w:type="dxa"/>
              <w:bottom w:w="100" w:type="dxa"/>
              <w:end w:w="120" w:type="dxa"/>
            </w:tcMar>
            <w:shd w:fill="5B4B8A"/>
          </w:tcPr>
          <w:p>
            <w:r>
              <w:rPr>
                <w:sz w:val="17"/>
              </w:rPr>
            </w:r>
          </w:p>
        </w:tc>
      </w:tr>
      <w:tr>
        <w:tc>
          <w:tcPr>
            <w:tcW w:type="dxa" w:w="2498"/>
            <w:tcMar>
              <w:top w:w="100" w:type="dxa"/>
              <w:start w:w="120" w:type="dxa"/>
              <w:bottom w:w="100" w:type="dxa"/>
              <w:end w:w="120" w:type="dxa"/>
            </w:tcMar>
          </w:tcPr>
          <w:p>
            <w:r>
              <w:rPr>
                <w:sz w:val="17"/>
              </w:rPr>
              <w:t>Cyan 700</w:t>
            </w:r>
          </w:p>
        </w:tc>
        <w:tc>
          <w:tcPr>
            <w:tcW w:type="dxa" w:w="2498"/>
            <w:tcMar>
              <w:top w:w="100" w:type="dxa"/>
              <w:start w:w="120" w:type="dxa"/>
              <w:bottom w:w="100" w:type="dxa"/>
              <w:end w:w="120" w:type="dxa"/>
            </w:tcMar>
          </w:tcPr>
          <w:p>
            <w:r>
              <w:rPr>
                <w:sz w:val="17"/>
              </w:rPr>
              <w:t>#236A73</w:t>
            </w:r>
          </w:p>
        </w:tc>
        <w:tc>
          <w:tcPr>
            <w:tcW w:type="dxa" w:w="2498"/>
            <w:tcMar>
              <w:top w:w="100" w:type="dxa"/>
              <w:start w:w="120" w:type="dxa"/>
              <w:bottom w:w="100" w:type="dxa"/>
              <w:end w:w="120" w:type="dxa"/>
            </w:tcMar>
          </w:tcPr>
          <w:p>
            <w:r>
              <w:rPr>
                <w:sz w:val="17"/>
              </w:rPr>
              <w:t>Documented/derived informational state</w:t>
            </w:r>
          </w:p>
        </w:tc>
        <w:tc>
          <w:tcPr>
            <w:tcW w:type="dxa" w:w="2498"/>
            <w:tcMar>
              <w:top w:w="100" w:type="dxa"/>
              <w:start w:w="120" w:type="dxa"/>
              <w:bottom w:w="100" w:type="dxa"/>
              <w:end w:w="120" w:type="dxa"/>
            </w:tcMar>
            <w:shd w:fill="236A73"/>
          </w:tcPr>
          <w:p>
            <w:r>
              <w:rPr>
                <w:sz w:val="17"/>
              </w:rPr>
            </w:r>
          </w:p>
        </w:tc>
      </w:tr>
    </w:tbl>
    <w:p/>
    <w:p>
      <w:pPr>
        <w:pStyle w:val="Heading2"/>
      </w:pPr>
      <w:r>
        <w:t>4.2 Semantic color roles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24D"/>
            <w:tcMar>
              <w:top w:w="100" w:type="dxa"/>
              <w:start w:w="120" w:type="dxa"/>
              <w:bottom w:w="100" w:type="dxa"/>
              <w:end w:w="120" w:type="dxa"/>
            </w:tcMar>
            <w:vAlign w:val="center"/>
          </w:tcPr>
          <w:p>
            <w:pPr>
              <w:jc w:val="center"/>
            </w:pPr>
            <w:r>
              <w:rPr>
                <w:b/>
                <w:color w:val="FFFFFF"/>
                <w:sz w:val="17"/>
              </w:rPr>
              <w:t>Semantic token</w:t>
            </w:r>
          </w:p>
        </w:tc>
        <w:tc>
          <w:tcPr>
            <w:tcW w:type="dxa" w:w="3600"/>
            <w:shd w:fill="17324D"/>
            <w:tcMar>
              <w:top w:w="100" w:type="dxa"/>
              <w:start w:w="120" w:type="dxa"/>
              <w:bottom w:w="100" w:type="dxa"/>
              <w:end w:w="120" w:type="dxa"/>
            </w:tcMar>
            <w:vAlign w:val="center"/>
          </w:tcPr>
          <w:p>
            <w:pPr>
              <w:jc w:val="center"/>
            </w:pPr>
            <w:r>
              <w:rPr>
                <w:b/>
                <w:color w:val="FFFFFF"/>
                <w:sz w:val="17"/>
              </w:rPr>
              <w:t>Meaning</w:t>
            </w:r>
          </w:p>
        </w:tc>
        <w:tc>
          <w:tcPr>
            <w:tcW w:type="dxa" w:w="2880"/>
            <w:shd w:fill="17324D"/>
            <w:tcMar>
              <w:top w:w="100" w:type="dxa"/>
              <w:start w:w="120" w:type="dxa"/>
              <w:bottom w:w="100" w:type="dxa"/>
              <w:end w:w="120" w:type="dxa"/>
            </w:tcMar>
            <w:vAlign w:val="center"/>
          </w:tcPr>
          <w:p>
            <w:pPr>
              <w:jc w:val="center"/>
            </w:pPr>
            <w:r>
              <w:rPr>
                <w:b/>
                <w:color w:val="FFFFFF"/>
                <w:sz w:val="17"/>
              </w:rPr>
              <w:t>Do not use for</w:t>
            </w:r>
          </w:p>
        </w:tc>
      </w:tr>
      <w:tr>
        <w:tc>
          <w:tcPr>
            <w:tcW w:type="dxa" w:w="3024"/>
            <w:tcMar>
              <w:top w:w="100" w:type="dxa"/>
              <w:start w:w="120" w:type="dxa"/>
              <w:bottom w:w="100" w:type="dxa"/>
              <w:end w:w="120" w:type="dxa"/>
            </w:tcMar>
            <w:vAlign w:val="center"/>
          </w:tcPr>
          <w:p>
            <w:pPr>
              <w:spacing w:after="0" w:line="240" w:lineRule="auto"/>
            </w:pPr>
            <w:r>
              <w:rPr>
                <w:color w:val="16212B"/>
                <w:sz w:val="17"/>
              </w:rPr>
              <w:t>color.status.success</w:t>
            </w:r>
          </w:p>
        </w:tc>
        <w:tc>
          <w:tcPr>
            <w:tcW w:type="dxa" w:w="3600"/>
            <w:tcMar>
              <w:top w:w="100" w:type="dxa"/>
              <w:start w:w="120" w:type="dxa"/>
              <w:bottom w:w="100" w:type="dxa"/>
              <w:end w:w="120" w:type="dxa"/>
            </w:tcMar>
            <w:vAlign w:val="center"/>
          </w:tcPr>
          <w:p>
            <w:pPr>
              <w:spacing w:after="0" w:line="240" w:lineRule="auto"/>
            </w:pPr>
            <w:r>
              <w:rPr>
                <w:color w:val="16212B"/>
                <w:sz w:val="17"/>
              </w:rPr>
              <w:t>Completed/confirmed operational success</w:t>
            </w:r>
          </w:p>
        </w:tc>
        <w:tc>
          <w:tcPr>
            <w:tcW w:type="dxa" w:w="2880"/>
            <w:tcMar>
              <w:top w:w="100" w:type="dxa"/>
              <w:start w:w="120" w:type="dxa"/>
              <w:bottom w:w="100" w:type="dxa"/>
              <w:end w:w="120" w:type="dxa"/>
            </w:tcMar>
            <w:vAlign w:val="center"/>
          </w:tcPr>
          <w:p>
            <w:pPr>
              <w:spacing w:after="0" w:line="240" w:lineRule="auto"/>
            </w:pPr>
            <w:r>
              <w:rPr>
                <w:color w:val="16212B"/>
                <w:sz w:val="17"/>
              </w:rPr>
              <w:t>“Person is clean” or innocence claim</w:t>
            </w:r>
          </w:p>
        </w:tc>
      </w:tr>
      <w:tr>
        <w:tc>
          <w:tcPr>
            <w:tcW w:type="dxa" w:w="3024"/>
            <w:tcMar>
              <w:top w:w="100" w:type="dxa"/>
              <w:start w:w="120" w:type="dxa"/>
              <w:bottom w:w="100" w:type="dxa"/>
              <w:end w:w="120" w:type="dxa"/>
            </w:tcMar>
            <w:vAlign w:val="center"/>
          </w:tcPr>
          <w:p>
            <w:pPr>
              <w:spacing w:after="0" w:line="240" w:lineRule="auto"/>
            </w:pPr>
            <w:r>
              <w:rPr>
                <w:color w:val="16212B"/>
                <w:sz w:val="17"/>
              </w:rPr>
              <w:t>color.status.warning</w:t>
            </w:r>
          </w:p>
        </w:tc>
        <w:tc>
          <w:tcPr>
            <w:tcW w:type="dxa" w:w="3600"/>
            <w:tcMar>
              <w:top w:w="100" w:type="dxa"/>
              <w:start w:w="120" w:type="dxa"/>
              <w:bottom w:w="100" w:type="dxa"/>
              <w:end w:w="120" w:type="dxa"/>
            </w:tcMar>
            <w:vAlign w:val="center"/>
          </w:tcPr>
          <w:p>
            <w:pPr>
              <w:spacing w:after="0" w:line="240" w:lineRule="auto"/>
            </w:pPr>
            <w:r>
              <w:rPr>
                <w:color w:val="16212B"/>
                <w:sz w:val="17"/>
              </w:rPr>
              <w:t>Needs attention, incomplete, review required</w:t>
            </w:r>
          </w:p>
        </w:tc>
        <w:tc>
          <w:tcPr>
            <w:tcW w:type="dxa" w:w="2880"/>
            <w:tcMar>
              <w:top w:w="100" w:type="dxa"/>
              <w:start w:w="120" w:type="dxa"/>
              <w:bottom w:w="100" w:type="dxa"/>
              <w:end w:w="120" w:type="dxa"/>
            </w:tcMar>
            <w:vAlign w:val="center"/>
          </w:tcPr>
          <w:p>
            <w:pPr>
              <w:spacing w:after="0" w:line="240" w:lineRule="auto"/>
            </w:pPr>
            <w:r>
              <w:rPr>
                <w:color w:val="16212B"/>
                <w:sz w:val="17"/>
              </w:rPr>
              <w:t>Suspicion</w:t>
            </w:r>
          </w:p>
        </w:tc>
      </w:tr>
      <w:tr>
        <w:tc>
          <w:tcPr>
            <w:tcW w:type="dxa" w:w="3024"/>
            <w:tcMar>
              <w:top w:w="100" w:type="dxa"/>
              <w:start w:w="120" w:type="dxa"/>
              <w:bottom w:w="100" w:type="dxa"/>
              <w:end w:w="120" w:type="dxa"/>
            </w:tcMar>
            <w:vAlign w:val="center"/>
          </w:tcPr>
          <w:p>
            <w:pPr>
              <w:spacing w:after="0" w:line="240" w:lineRule="auto"/>
            </w:pPr>
            <w:r>
              <w:rPr>
                <w:color w:val="16212B"/>
                <w:sz w:val="17"/>
              </w:rPr>
              <w:t>color.status.error</w:t>
            </w:r>
          </w:p>
        </w:tc>
        <w:tc>
          <w:tcPr>
            <w:tcW w:type="dxa" w:w="3600"/>
            <w:tcMar>
              <w:top w:w="100" w:type="dxa"/>
              <w:start w:w="120" w:type="dxa"/>
              <w:bottom w:w="100" w:type="dxa"/>
              <w:end w:w="120" w:type="dxa"/>
            </w:tcMar>
            <w:vAlign w:val="center"/>
          </w:tcPr>
          <w:p>
            <w:pPr>
              <w:spacing w:after="0" w:line="240" w:lineRule="auto"/>
            </w:pPr>
            <w:r>
              <w:rPr>
                <w:color w:val="16212B"/>
                <w:sz w:val="17"/>
              </w:rPr>
              <w:t>System error, invalid state, destructive action</w:t>
            </w:r>
          </w:p>
        </w:tc>
        <w:tc>
          <w:tcPr>
            <w:tcW w:type="dxa" w:w="2880"/>
            <w:tcMar>
              <w:top w:w="100" w:type="dxa"/>
              <w:start w:w="120" w:type="dxa"/>
              <w:bottom w:w="100" w:type="dxa"/>
              <w:end w:w="120" w:type="dxa"/>
            </w:tcMar>
            <w:vAlign w:val="center"/>
          </w:tcPr>
          <w:p>
            <w:pPr>
              <w:spacing w:after="0" w:line="240" w:lineRule="auto"/>
            </w:pPr>
            <w:r>
              <w:rPr>
                <w:color w:val="16212B"/>
                <w:sz w:val="17"/>
              </w:rPr>
              <w:t>Adverse assessment by default</w:t>
            </w:r>
          </w:p>
        </w:tc>
      </w:tr>
      <w:tr>
        <w:tc>
          <w:tcPr>
            <w:tcW w:type="dxa" w:w="3024"/>
            <w:tcMar>
              <w:top w:w="100" w:type="dxa"/>
              <w:start w:w="120" w:type="dxa"/>
              <w:bottom w:w="100" w:type="dxa"/>
              <w:end w:w="120" w:type="dxa"/>
            </w:tcMar>
            <w:vAlign w:val="center"/>
          </w:tcPr>
          <w:p>
            <w:pPr>
              <w:spacing w:after="0" w:line="240" w:lineRule="auto"/>
            </w:pPr>
            <w:r>
              <w:rPr>
                <w:color w:val="16212B"/>
                <w:sz w:val="17"/>
              </w:rPr>
              <w:t>color.status.info</w:t>
            </w:r>
          </w:p>
        </w:tc>
        <w:tc>
          <w:tcPr>
            <w:tcW w:type="dxa" w:w="3600"/>
            <w:tcMar>
              <w:top w:w="100" w:type="dxa"/>
              <w:start w:w="120" w:type="dxa"/>
              <w:bottom w:w="100" w:type="dxa"/>
              <w:end w:w="120" w:type="dxa"/>
            </w:tcMar>
            <w:vAlign w:val="center"/>
          </w:tcPr>
          <w:p>
            <w:pPr>
              <w:spacing w:after="0" w:line="240" w:lineRule="auto"/>
            </w:pPr>
            <w:r>
              <w:rPr>
                <w:color w:val="16212B"/>
                <w:sz w:val="17"/>
              </w:rPr>
              <w:t>Informational/system context</w:t>
            </w:r>
          </w:p>
        </w:tc>
        <w:tc>
          <w:tcPr>
            <w:tcW w:type="dxa" w:w="2880"/>
            <w:tcMar>
              <w:top w:w="100" w:type="dxa"/>
              <w:start w:w="120" w:type="dxa"/>
              <w:bottom w:w="100" w:type="dxa"/>
              <w:end w:w="120" w:type="dxa"/>
            </w:tcMar>
            <w:vAlign w:val="center"/>
          </w:tcPr>
          <w:p>
            <w:pPr>
              <w:spacing w:after="0" w:line="240" w:lineRule="auto"/>
            </w:pPr>
            <w:r>
              <w:rPr>
                <w:color w:val="16212B"/>
                <w:sz w:val="17"/>
              </w:rPr>
              <w:t>Evidence strength</w:t>
            </w:r>
          </w:p>
        </w:tc>
      </w:tr>
      <w:tr>
        <w:tc>
          <w:tcPr>
            <w:tcW w:type="dxa" w:w="3024"/>
            <w:tcMar>
              <w:top w:w="100" w:type="dxa"/>
              <w:start w:w="120" w:type="dxa"/>
              <w:bottom w:w="100" w:type="dxa"/>
              <w:end w:w="120" w:type="dxa"/>
            </w:tcMar>
            <w:vAlign w:val="center"/>
          </w:tcPr>
          <w:p>
            <w:pPr>
              <w:spacing w:after="0" w:line="240" w:lineRule="auto"/>
            </w:pPr>
            <w:r>
              <w:rPr>
                <w:color w:val="16212B"/>
                <w:sz w:val="17"/>
              </w:rPr>
              <w:t>color.classification.restricted</w:t>
            </w:r>
          </w:p>
        </w:tc>
        <w:tc>
          <w:tcPr>
            <w:tcW w:type="dxa" w:w="3600"/>
            <w:tcMar>
              <w:top w:w="100" w:type="dxa"/>
              <w:start w:w="120" w:type="dxa"/>
              <w:bottom w:w="100" w:type="dxa"/>
              <w:end w:w="120" w:type="dxa"/>
            </w:tcMar>
            <w:vAlign w:val="center"/>
          </w:tcPr>
          <w:p>
            <w:pPr>
              <w:spacing w:after="0" w:line="240" w:lineRule="auto"/>
            </w:pPr>
            <w:r>
              <w:rPr>
                <w:color w:val="16212B"/>
                <w:sz w:val="17"/>
              </w:rPr>
              <w:t>Restricted handling visibility</w:t>
            </w:r>
          </w:p>
        </w:tc>
        <w:tc>
          <w:tcPr>
            <w:tcW w:type="dxa" w:w="2880"/>
            <w:tcMar>
              <w:top w:w="100" w:type="dxa"/>
              <w:start w:w="120" w:type="dxa"/>
              <w:bottom w:w="100" w:type="dxa"/>
              <w:end w:w="120" w:type="dxa"/>
            </w:tcMar>
            <w:vAlign w:val="center"/>
          </w:tcPr>
          <w:p>
            <w:pPr>
              <w:spacing w:after="0" w:line="240" w:lineRule="auto"/>
            </w:pPr>
            <w:r>
              <w:rPr>
                <w:color w:val="16212B"/>
                <w:sz w:val="17"/>
              </w:rPr>
              <w:t>Analytical guilt</w:t>
            </w:r>
          </w:p>
        </w:tc>
      </w:tr>
      <w:tr>
        <w:tc>
          <w:tcPr>
            <w:tcW w:type="dxa" w:w="3024"/>
            <w:tcMar>
              <w:top w:w="100" w:type="dxa"/>
              <w:start w:w="120" w:type="dxa"/>
              <w:bottom w:w="100" w:type="dxa"/>
              <w:end w:w="120" w:type="dxa"/>
            </w:tcMar>
            <w:vAlign w:val="center"/>
          </w:tcPr>
          <w:p>
            <w:pPr>
              <w:spacing w:after="0" w:line="240" w:lineRule="auto"/>
            </w:pPr>
            <w:r>
              <w:rPr>
                <w:color w:val="16212B"/>
                <w:sz w:val="17"/>
              </w:rPr>
              <w:t>color.analytical.construct</w:t>
            </w:r>
          </w:p>
        </w:tc>
        <w:tc>
          <w:tcPr>
            <w:tcW w:type="dxa" w:w="3600"/>
            <w:tcMar>
              <w:top w:w="100" w:type="dxa"/>
              <w:start w:w="120" w:type="dxa"/>
              <w:bottom w:w="100" w:type="dxa"/>
              <w:end w:w="120" w:type="dxa"/>
            </w:tcMar>
            <w:vAlign w:val="center"/>
          </w:tcPr>
          <w:p>
            <w:pPr>
              <w:spacing w:after="0" w:line="240" w:lineRule="auto"/>
            </w:pPr>
            <w:r>
              <w:rPr>
                <w:color w:val="16212B"/>
                <w:sz w:val="17"/>
              </w:rPr>
              <w:t>Hypothesis/inference construct</w:t>
            </w:r>
          </w:p>
        </w:tc>
        <w:tc>
          <w:tcPr>
            <w:tcW w:type="dxa" w:w="2880"/>
            <w:tcMar>
              <w:top w:w="100" w:type="dxa"/>
              <w:start w:w="120" w:type="dxa"/>
              <w:bottom w:w="100" w:type="dxa"/>
              <w:end w:w="120" w:type="dxa"/>
            </w:tcMar>
            <w:vAlign w:val="center"/>
          </w:tcPr>
          <w:p>
            <w:pPr>
              <w:spacing w:after="0" w:line="240" w:lineRule="auto"/>
            </w:pPr>
            <w:r>
              <w:rPr>
                <w:color w:val="16212B"/>
                <w:sz w:val="17"/>
              </w:rPr>
              <w:t>Verified fact</w:t>
            </w:r>
          </w:p>
        </w:tc>
      </w:tr>
    </w:tbl>
    <w:p>
      <w:pPr>
        <w:spacing w:after="0"/>
      </w:pPr>
    </w:p>
    <w:tbl>
      <w:tblPr>
        <w:tblW w:type="auto" w:w="0"/>
        <w:jc w:val="center"/>
        <w:tblLook w:firstColumn="1" w:firstRow="1" w:lastColumn="0" w:lastRow="0" w:noHBand="0" w:noVBand="1" w:val="04A0"/>
      </w:tblPr>
      <w:tblGrid>
        <w:gridCol w:w="9994"/>
      </w:tblGrid>
      <w:tr>
        <w:tc>
          <w:tcPr>
            <w:tcW w:type="dxa" w:w="9994"/>
            <w:shd w:fill="FBEDED"/>
            <w:tcMar>
              <w:top w:w="140" w:type="dxa"/>
              <w:start w:w="160" w:type="dxa"/>
              <w:bottom w:w="140" w:type="dxa"/>
              <w:end w:w="160" w:type="dxa"/>
            </w:tcMar>
          </w:tcPr>
          <w:p>
            <w:pPr>
              <w:spacing w:after="80"/>
            </w:pPr>
            <w:r>
              <w:rPr>
                <w:b/>
                <w:color w:val="A13333"/>
                <w:sz w:val="21"/>
              </w:rPr>
              <w:t>Critical prohibition</w:t>
            </w:r>
          </w:p>
          <w:p>
            <w:pPr>
              <w:spacing w:after="0" w:line="264" w:lineRule="auto"/>
            </w:pPr>
            <w:r>
              <w:rPr>
                <w:color w:val="16212B"/>
                <w:sz w:val="20"/>
              </w:rPr>
              <w:t>A person, organisation, company, address, wallet, or other entity SHALL NOT become red merely because it is a subject, appears in an investigation, has many graph links, matches a typology, or is associated with an adverse hypothesis.</w:t>
            </w:r>
          </w:p>
        </w:tc>
      </w:tr>
    </w:tbl>
    <w:p>
      <w:pPr>
        <w:spacing w:after="0"/>
      </w:pPr>
    </w:p>
    <w:p>
      <w:pPr>
        <w:pStyle w:val="Heading1"/>
      </w:pPr>
      <w:r>
        <w:t>5. Typography</w:t>
      </w:r>
    </w:p>
    <w:p>
      <w:pPr>
        <w:spacing w:after="100" w:line="269" w:lineRule="auto"/>
      </w:pPr>
      <w:r>
        <w:rPr>
          <w:sz w:val="21"/>
        </w:rPr>
        <w:t>Aptos is the reference documentation font; the product UI SHOULD use a widely available, highly legible system sans stack or an approved equivalent. The design system is font-family-neutral at the semantic level.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48"/>
            <w:shd w:fill="17324D"/>
            <w:tcMar>
              <w:top w:w="100" w:type="dxa"/>
              <w:start w:w="120" w:type="dxa"/>
              <w:bottom w:w="100" w:type="dxa"/>
              <w:end w:w="120" w:type="dxa"/>
            </w:tcMar>
            <w:vAlign w:val="center"/>
          </w:tcPr>
          <w:p>
            <w:pPr>
              <w:jc w:val="center"/>
            </w:pPr>
            <w:r>
              <w:rPr>
                <w:b/>
                <w:color w:val="FFFFFF"/>
                <w:sz w:val="17"/>
              </w:rPr>
              <w:t>Token</w:t>
            </w:r>
          </w:p>
        </w:tc>
        <w:tc>
          <w:tcPr>
            <w:tcW w:type="dxa" w:w="1800"/>
            <w:shd w:fill="17324D"/>
            <w:tcMar>
              <w:top w:w="100" w:type="dxa"/>
              <w:start w:w="120" w:type="dxa"/>
              <w:bottom w:w="100" w:type="dxa"/>
              <w:end w:w="120" w:type="dxa"/>
            </w:tcMar>
            <w:vAlign w:val="center"/>
          </w:tcPr>
          <w:p>
            <w:pPr>
              <w:jc w:val="center"/>
            </w:pPr>
            <w:r>
              <w:rPr>
                <w:b/>
                <w:color w:val="FFFFFF"/>
                <w:sz w:val="17"/>
              </w:rPr>
              <w:t>Reference size</w:t>
            </w:r>
          </w:p>
        </w:tc>
        <w:tc>
          <w:tcPr>
            <w:tcW w:type="dxa" w:w="1440"/>
            <w:shd w:fill="17324D"/>
            <w:tcMar>
              <w:top w:w="100" w:type="dxa"/>
              <w:start w:w="120" w:type="dxa"/>
              <w:bottom w:w="100" w:type="dxa"/>
              <w:end w:w="120" w:type="dxa"/>
            </w:tcMar>
            <w:vAlign w:val="center"/>
          </w:tcPr>
          <w:p>
            <w:pPr>
              <w:jc w:val="center"/>
            </w:pPr>
            <w:r>
              <w:rPr>
                <w:b/>
                <w:color w:val="FFFFFF"/>
                <w:sz w:val="17"/>
              </w:rPr>
              <w:t>Weight</w:t>
            </w:r>
          </w:p>
        </w:tc>
        <w:tc>
          <w:tcPr>
            <w:tcW w:type="dxa" w:w="4320"/>
            <w:shd w:fill="17324D"/>
            <w:tcMar>
              <w:top w:w="100" w:type="dxa"/>
              <w:start w:w="120" w:type="dxa"/>
              <w:bottom w:w="100" w:type="dxa"/>
              <w:end w:w="120" w:type="dxa"/>
            </w:tcMar>
            <w:vAlign w:val="center"/>
          </w:tcPr>
          <w:p>
            <w:pPr>
              <w:jc w:val="center"/>
            </w:pPr>
            <w:r>
              <w:rPr>
                <w:b/>
                <w:color w:val="FFFFFF"/>
                <w:sz w:val="17"/>
              </w:rPr>
              <w:t>Use</w:t>
            </w:r>
          </w:p>
        </w:tc>
      </w:tr>
      <w:tr>
        <w:tc>
          <w:tcPr>
            <w:tcW w:type="dxa" w:w="2448"/>
            <w:tcMar>
              <w:top w:w="100" w:type="dxa"/>
              <w:start w:w="120" w:type="dxa"/>
              <w:bottom w:w="100" w:type="dxa"/>
              <w:end w:w="120" w:type="dxa"/>
            </w:tcMar>
            <w:vAlign w:val="center"/>
          </w:tcPr>
          <w:p>
            <w:pPr>
              <w:spacing w:after="0" w:line="240" w:lineRule="auto"/>
            </w:pPr>
            <w:r>
              <w:rPr>
                <w:color w:val="16212B"/>
                <w:sz w:val="17"/>
              </w:rPr>
              <w:t>type.display</w:t>
            </w:r>
          </w:p>
        </w:tc>
        <w:tc>
          <w:tcPr>
            <w:tcW w:type="dxa" w:w="1800"/>
            <w:tcMar>
              <w:top w:w="100" w:type="dxa"/>
              <w:start w:w="120" w:type="dxa"/>
              <w:bottom w:w="100" w:type="dxa"/>
              <w:end w:w="120" w:type="dxa"/>
            </w:tcMar>
            <w:vAlign w:val="center"/>
          </w:tcPr>
          <w:p>
            <w:pPr>
              <w:spacing w:after="0" w:line="240" w:lineRule="auto"/>
            </w:pPr>
            <w:r>
              <w:rPr>
                <w:color w:val="16212B"/>
                <w:sz w:val="17"/>
              </w:rPr>
              <w:t>28-32 px</w:t>
            </w:r>
          </w:p>
        </w:tc>
        <w:tc>
          <w:tcPr>
            <w:tcW w:type="dxa" w:w="1440"/>
            <w:tcMar>
              <w:top w:w="100" w:type="dxa"/>
              <w:start w:w="120" w:type="dxa"/>
              <w:bottom w:w="100" w:type="dxa"/>
              <w:end w:w="120" w:type="dxa"/>
            </w:tcMar>
            <w:vAlign w:val="center"/>
          </w:tcPr>
          <w:p>
            <w:pPr>
              <w:spacing w:after="0" w:line="240" w:lineRule="auto"/>
            </w:pPr>
            <w:r>
              <w:rPr>
                <w:color w:val="16212B"/>
                <w:sz w:val="17"/>
              </w:rPr>
              <w:t>600</w:t>
            </w:r>
          </w:p>
        </w:tc>
        <w:tc>
          <w:tcPr>
            <w:tcW w:type="dxa" w:w="4320"/>
            <w:tcMar>
              <w:top w:w="100" w:type="dxa"/>
              <w:start w:w="120" w:type="dxa"/>
              <w:bottom w:w="100" w:type="dxa"/>
              <w:end w:w="120" w:type="dxa"/>
            </w:tcMar>
            <w:vAlign w:val="center"/>
          </w:tcPr>
          <w:p>
            <w:pPr>
              <w:spacing w:after="0" w:line="240" w:lineRule="auto"/>
            </w:pPr>
            <w:r>
              <w:rPr>
                <w:color w:val="16212B"/>
                <w:sz w:val="17"/>
              </w:rPr>
              <w:t>Rare product-level titles</w:t>
            </w:r>
          </w:p>
        </w:tc>
      </w:tr>
      <w:tr>
        <w:tc>
          <w:tcPr>
            <w:tcW w:type="dxa" w:w="2448"/>
            <w:tcMar>
              <w:top w:w="100" w:type="dxa"/>
              <w:start w:w="120" w:type="dxa"/>
              <w:bottom w:w="100" w:type="dxa"/>
              <w:end w:w="120" w:type="dxa"/>
            </w:tcMar>
            <w:vAlign w:val="center"/>
          </w:tcPr>
          <w:p>
            <w:pPr>
              <w:spacing w:after="0" w:line="240" w:lineRule="auto"/>
            </w:pPr>
            <w:r>
              <w:rPr>
                <w:color w:val="16212B"/>
                <w:sz w:val="17"/>
              </w:rPr>
              <w:t>type.h1</w:t>
            </w:r>
          </w:p>
        </w:tc>
        <w:tc>
          <w:tcPr>
            <w:tcW w:type="dxa" w:w="1800"/>
            <w:tcMar>
              <w:top w:w="100" w:type="dxa"/>
              <w:start w:w="120" w:type="dxa"/>
              <w:bottom w:w="100" w:type="dxa"/>
              <w:end w:w="120" w:type="dxa"/>
            </w:tcMar>
            <w:vAlign w:val="center"/>
          </w:tcPr>
          <w:p>
            <w:pPr>
              <w:spacing w:after="0" w:line="240" w:lineRule="auto"/>
            </w:pPr>
            <w:r>
              <w:rPr>
                <w:color w:val="16212B"/>
                <w:sz w:val="17"/>
              </w:rPr>
              <w:t>24 px</w:t>
            </w:r>
          </w:p>
        </w:tc>
        <w:tc>
          <w:tcPr>
            <w:tcW w:type="dxa" w:w="1440"/>
            <w:tcMar>
              <w:top w:w="100" w:type="dxa"/>
              <w:start w:w="120" w:type="dxa"/>
              <w:bottom w:w="100" w:type="dxa"/>
              <w:end w:w="120" w:type="dxa"/>
            </w:tcMar>
            <w:vAlign w:val="center"/>
          </w:tcPr>
          <w:p>
            <w:pPr>
              <w:spacing w:after="0" w:line="240" w:lineRule="auto"/>
            </w:pPr>
            <w:r>
              <w:rPr>
                <w:color w:val="16212B"/>
                <w:sz w:val="17"/>
              </w:rPr>
              <w:t>600</w:t>
            </w:r>
          </w:p>
        </w:tc>
        <w:tc>
          <w:tcPr>
            <w:tcW w:type="dxa" w:w="4320"/>
            <w:tcMar>
              <w:top w:w="100" w:type="dxa"/>
              <w:start w:w="120" w:type="dxa"/>
              <w:bottom w:w="100" w:type="dxa"/>
              <w:end w:w="120" w:type="dxa"/>
            </w:tcMar>
            <w:vAlign w:val="center"/>
          </w:tcPr>
          <w:p>
            <w:pPr>
              <w:spacing w:after="0" w:line="240" w:lineRule="auto"/>
            </w:pPr>
            <w:r>
              <w:rPr>
                <w:color w:val="16212B"/>
                <w:sz w:val="17"/>
              </w:rPr>
              <w:t>Screen title</w:t>
            </w:r>
          </w:p>
        </w:tc>
      </w:tr>
      <w:tr>
        <w:tc>
          <w:tcPr>
            <w:tcW w:type="dxa" w:w="2448"/>
            <w:tcMar>
              <w:top w:w="100" w:type="dxa"/>
              <w:start w:w="120" w:type="dxa"/>
              <w:bottom w:w="100" w:type="dxa"/>
              <w:end w:w="120" w:type="dxa"/>
            </w:tcMar>
            <w:vAlign w:val="center"/>
          </w:tcPr>
          <w:p>
            <w:pPr>
              <w:spacing w:after="0" w:line="240" w:lineRule="auto"/>
            </w:pPr>
            <w:r>
              <w:rPr>
                <w:color w:val="16212B"/>
                <w:sz w:val="17"/>
              </w:rPr>
              <w:t>type.h2</w:t>
            </w:r>
          </w:p>
        </w:tc>
        <w:tc>
          <w:tcPr>
            <w:tcW w:type="dxa" w:w="1800"/>
            <w:tcMar>
              <w:top w:w="100" w:type="dxa"/>
              <w:start w:w="120" w:type="dxa"/>
              <w:bottom w:w="100" w:type="dxa"/>
              <w:end w:w="120" w:type="dxa"/>
            </w:tcMar>
            <w:vAlign w:val="center"/>
          </w:tcPr>
          <w:p>
            <w:pPr>
              <w:spacing w:after="0" w:line="240" w:lineRule="auto"/>
            </w:pPr>
            <w:r>
              <w:rPr>
                <w:color w:val="16212B"/>
                <w:sz w:val="17"/>
              </w:rPr>
              <w:t>20 px</w:t>
            </w:r>
          </w:p>
        </w:tc>
        <w:tc>
          <w:tcPr>
            <w:tcW w:type="dxa" w:w="1440"/>
            <w:tcMar>
              <w:top w:w="100" w:type="dxa"/>
              <w:start w:w="120" w:type="dxa"/>
              <w:bottom w:w="100" w:type="dxa"/>
              <w:end w:w="120" w:type="dxa"/>
            </w:tcMar>
            <w:vAlign w:val="center"/>
          </w:tcPr>
          <w:p>
            <w:pPr>
              <w:spacing w:after="0" w:line="240" w:lineRule="auto"/>
            </w:pPr>
            <w:r>
              <w:rPr>
                <w:color w:val="16212B"/>
                <w:sz w:val="17"/>
              </w:rPr>
              <w:t>600</w:t>
            </w:r>
          </w:p>
        </w:tc>
        <w:tc>
          <w:tcPr>
            <w:tcW w:type="dxa" w:w="4320"/>
            <w:tcMar>
              <w:top w:w="100" w:type="dxa"/>
              <w:start w:w="120" w:type="dxa"/>
              <w:bottom w:w="100" w:type="dxa"/>
              <w:end w:w="120" w:type="dxa"/>
            </w:tcMar>
            <w:vAlign w:val="center"/>
          </w:tcPr>
          <w:p>
            <w:pPr>
              <w:spacing w:after="0" w:line="240" w:lineRule="auto"/>
            </w:pPr>
            <w:r>
              <w:rPr>
                <w:color w:val="16212B"/>
                <w:sz w:val="17"/>
              </w:rPr>
              <w:t>Major section</w:t>
            </w:r>
          </w:p>
        </w:tc>
      </w:tr>
      <w:tr>
        <w:tc>
          <w:tcPr>
            <w:tcW w:type="dxa" w:w="2448"/>
            <w:tcMar>
              <w:top w:w="100" w:type="dxa"/>
              <w:start w:w="120" w:type="dxa"/>
              <w:bottom w:w="100" w:type="dxa"/>
              <w:end w:w="120" w:type="dxa"/>
            </w:tcMar>
            <w:vAlign w:val="center"/>
          </w:tcPr>
          <w:p>
            <w:pPr>
              <w:spacing w:after="0" w:line="240" w:lineRule="auto"/>
            </w:pPr>
            <w:r>
              <w:rPr>
                <w:color w:val="16212B"/>
                <w:sz w:val="17"/>
              </w:rPr>
              <w:t>type.h3</w:t>
            </w:r>
          </w:p>
        </w:tc>
        <w:tc>
          <w:tcPr>
            <w:tcW w:type="dxa" w:w="1800"/>
            <w:tcMar>
              <w:top w:w="100" w:type="dxa"/>
              <w:start w:w="120" w:type="dxa"/>
              <w:bottom w:w="100" w:type="dxa"/>
              <w:end w:w="120" w:type="dxa"/>
            </w:tcMar>
            <w:vAlign w:val="center"/>
          </w:tcPr>
          <w:p>
            <w:pPr>
              <w:spacing w:after="0" w:line="240" w:lineRule="auto"/>
            </w:pPr>
            <w:r>
              <w:rPr>
                <w:color w:val="16212B"/>
                <w:sz w:val="17"/>
              </w:rPr>
              <w:t>16 px</w:t>
            </w:r>
          </w:p>
        </w:tc>
        <w:tc>
          <w:tcPr>
            <w:tcW w:type="dxa" w:w="1440"/>
            <w:tcMar>
              <w:top w:w="100" w:type="dxa"/>
              <w:start w:w="120" w:type="dxa"/>
              <w:bottom w:w="100" w:type="dxa"/>
              <w:end w:w="120" w:type="dxa"/>
            </w:tcMar>
            <w:vAlign w:val="center"/>
          </w:tcPr>
          <w:p>
            <w:pPr>
              <w:spacing w:after="0" w:line="240" w:lineRule="auto"/>
            </w:pPr>
            <w:r>
              <w:rPr>
                <w:color w:val="16212B"/>
                <w:sz w:val="17"/>
              </w:rPr>
              <w:t>600</w:t>
            </w:r>
          </w:p>
        </w:tc>
        <w:tc>
          <w:tcPr>
            <w:tcW w:type="dxa" w:w="4320"/>
            <w:tcMar>
              <w:top w:w="100" w:type="dxa"/>
              <w:start w:w="120" w:type="dxa"/>
              <w:bottom w:w="100" w:type="dxa"/>
              <w:end w:w="120" w:type="dxa"/>
            </w:tcMar>
            <w:vAlign w:val="center"/>
          </w:tcPr>
          <w:p>
            <w:pPr>
              <w:spacing w:after="0" w:line="240" w:lineRule="auto"/>
            </w:pPr>
            <w:r>
              <w:rPr>
                <w:color w:val="16212B"/>
                <w:sz w:val="17"/>
              </w:rPr>
              <w:t>Panel/subsection title</w:t>
            </w:r>
          </w:p>
        </w:tc>
      </w:tr>
      <w:tr>
        <w:tc>
          <w:tcPr>
            <w:tcW w:type="dxa" w:w="2448"/>
            <w:tcMar>
              <w:top w:w="100" w:type="dxa"/>
              <w:start w:w="120" w:type="dxa"/>
              <w:bottom w:w="100" w:type="dxa"/>
              <w:end w:w="120" w:type="dxa"/>
            </w:tcMar>
            <w:vAlign w:val="center"/>
          </w:tcPr>
          <w:p>
            <w:pPr>
              <w:spacing w:after="0" w:line="240" w:lineRule="auto"/>
            </w:pPr>
            <w:r>
              <w:rPr>
                <w:color w:val="16212B"/>
                <w:sz w:val="17"/>
              </w:rPr>
              <w:t>type.body</w:t>
            </w:r>
          </w:p>
        </w:tc>
        <w:tc>
          <w:tcPr>
            <w:tcW w:type="dxa" w:w="1800"/>
            <w:tcMar>
              <w:top w:w="100" w:type="dxa"/>
              <w:start w:w="120" w:type="dxa"/>
              <w:bottom w:w="100" w:type="dxa"/>
              <w:end w:w="120" w:type="dxa"/>
            </w:tcMar>
            <w:vAlign w:val="center"/>
          </w:tcPr>
          <w:p>
            <w:pPr>
              <w:spacing w:after="0" w:line="240" w:lineRule="auto"/>
            </w:pPr>
            <w:r>
              <w:rPr>
                <w:color w:val="16212B"/>
                <w:sz w:val="17"/>
              </w:rPr>
              <w:t>14-16 px</w:t>
            </w:r>
          </w:p>
        </w:tc>
        <w:tc>
          <w:tcPr>
            <w:tcW w:type="dxa" w:w="1440"/>
            <w:tcMar>
              <w:top w:w="100" w:type="dxa"/>
              <w:start w:w="120" w:type="dxa"/>
              <w:bottom w:w="100" w:type="dxa"/>
              <w:end w:w="120" w:type="dxa"/>
            </w:tcMar>
            <w:vAlign w:val="center"/>
          </w:tcPr>
          <w:p>
            <w:pPr>
              <w:spacing w:after="0" w:line="240" w:lineRule="auto"/>
            </w:pPr>
            <w:r>
              <w:rPr>
                <w:color w:val="16212B"/>
                <w:sz w:val="17"/>
              </w:rPr>
              <w:t>400</w:t>
            </w:r>
          </w:p>
        </w:tc>
        <w:tc>
          <w:tcPr>
            <w:tcW w:type="dxa" w:w="4320"/>
            <w:tcMar>
              <w:top w:w="100" w:type="dxa"/>
              <w:start w:w="120" w:type="dxa"/>
              <w:bottom w:w="100" w:type="dxa"/>
              <w:end w:w="120" w:type="dxa"/>
            </w:tcMar>
            <w:vAlign w:val="center"/>
          </w:tcPr>
          <w:p>
            <w:pPr>
              <w:spacing w:after="0" w:line="240" w:lineRule="auto"/>
            </w:pPr>
            <w:r>
              <w:rPr>
                <w:color w:val="16212B"/>
                <w:sz w:val="17"/>
              </w:rPr>
              <w:t>Primary content</w:t>
            </w:r>
          </w:p>
        </w:tc>
      </w:tr>
      <w:tr>
        <w:tc>
          <w:tcPr>
            <w:tcW w:type="dxa" w:w="2448"/>
            <w:tcMar>
              <w:top w:w="100" w:type="dxa"/>
              <w:start w:w="120" w:type="dxa"/>
              <w:bottom w:w="100" w:type="dxa"/>
              <w:end w:w="120" w:type="dxa"/>
            </w:tcMar>
            <w:vAlign w:val="center"/>
          </w:tcPr>
          <w:p>
            <w:pPr>
              <w:spacing w:after="0" w:line="240" w:lineRule="auto"/>
            </w:pPr>
            <w:r>
              <w:rPr>
                <w:color w:val="16212B"/>
                <w:sz w:val="17"/>
              </w:rPr>
              <w:t>type.body.compact</w:t>
            </w:r>
          </w:p>
        </w:tc>
        <w:tc>
          <w:tcPr>
            <w:tcW w:type="dxa" w:w="1800"/>
            <w:tcMar>
              <w:top w:w="100" w:type="dxa"/>
              <w:start w:w="120" w:type="dxa"/>
              <w:bottom w:w="100" w:type="dxa"/>
              <w:end w:w="120" w:type="dxa"/>
            </w:tcMar>
            <w:vAlign w:val="center"/>
          </w:tcPr>
          <w:p>
            <w:pPr>
              <w:spacing w:after="0" w:line="240" w:lineRule="auto"/>
            </w:pPr>
            <w:r>
              <w:rPr>
                <w:color w:val="16212B"/>
                <w:sz w:val="17"/>
              </w:rPr>
              <w:t>13-14 px</w:t>
            </w:r>
          </w:p>
        </w:tc>
        <w:tc>
          <w:tcPr>
            <w:tcW w:type="dxa" w:w="1440"/>
            <w:tcMar>
              <w:top w:w="100" w:type="dxa"/>
              <w:start w:w="120" w:type="dxa"/>
              <w:bottom w:w="100" w:type="dxa"/>
              <w:end w:w="120" w:type="dxa"/>
            </w:tcMar>
            <w:vAlign w:val="center"/>
          </w:tcPr>
          <w:p>
            <w:pPr>
              <w:spacing w:after="0" w:line="240" w:lineRule="auto"/>
            </w:pPr>
            <w:r>
              <w:rPr>
                <w:color w:val="16212B"/>
                <w:sz w:val="17"/>
              </w:rPr>
              <w:t>400</w:t>
            </w:r>
          </w:p>
        </w:tc>
        <w:tc>
          <w:tcPr>
            <w:tcW w:type="dxa" w:w="4320"/>
            <w:tcMar>
              <w:top w:w="100" w:type="dxa"/>
              <w:start w:w="120" w:type="dxa"/>
              <w:bottom w:w="100" w:type="dxa"/>
              <w:end w:w="120" w:type="dxa"/>
            </w:tcMar>
            <w:vAlign w:val="center"/>
          </w:tcPr>
          <w:p>
            <w:pPr>
              <w:spacing w:after="0" w:line="240" w:lineRule="auto"/>
            </w:pPr>
            <w:r>
              <w:rPr>
                <w:color w:val="16212B"/>
                <w:sz w:val="17"/>
              </w:rPr>
              <w:t>Dense tables and metadata</w:t>
            </w:r>
          </w:p>
        </w:tc>
      </w:tr>
      <w:tr>
        <w:tc>
          <w:tcPr>
            <w:tcW w:type="dxa" w:w="2448"/>
            <w:tcMar>
              <w:top w:w="100" w:type="dxa"/>
              <w:start w:w="120" w:type="dxa"/>
              <w:bottom w:w="100" w:type="dxa"/>
              <w:end w:w="120" w:type="dxa"/>
            </w:tcMar>
            <w:vAlign w:val="center"/>
          </w:tcPr>
          <w:p>
            <w:pPr>
              <w:spacing w:after="0" w:line="240" w:lineRule="auto"/>
            </w:pPr>
            <w:r>
              <w:rPr>
                <w:color w:val="16212B"/>
                <w:sz w:val="17"/>
              </w:rPr>
              <w:t>type.label</w:t>
            </w:r>
          </w:p>
        </w:tc>
        <w:tc>
          <w:tcPr>
            <w:tcW w:type="dxa" w:w="1800"/>
            <w:tcMar>
              <w:top w:w="100" w:type="dxa"/>
              <w:start w:w="120" w:type="dxa"/>
              <w:bottom w:w="100" w:type="dxa"/>
              <w:end w:w="120" w:type="dxa"/>
            </w:tcMar>
            <w:vAlign w:val="center"/>
          </w:tcPr>
          <w:p>
            <w:pPr>
              <w:spacing w:after="0" w:line="240" w:lineRule="auto"/>
            </w:pPr>
            <w:r>
              <w:rPr>
                <w:color w:val="16212B"/>
                <w:sz w:val="17"/>
              </w:rPr>
              <w:t>12-13 px</w:t>
            </w:r>
          </w:p>
        </w:tc>
        <w:tc>
          <w:tcPr>
            <w:tcW w:type="dxa" w:w="1440"/>
            <w:tcMar>
              <w:top w:w="100" w:type="dxa"/>
              <w:start w:w="120" w:type="dxa"/>
              <w:bottom w:w="100" w:type="dxa"/>
              <w:end w:w="120" w:type="dxa"/>
            </w:tcMar>
            <w:vAlign w:val="center"/>
          </w:tcPr>
          <w:p>
            <w:pPr>
              <w:spacing w:after="0" w:line="240" w:lineRule="auto"/>
            </w:pPr>
            <w:r>
              <w:rPr>
                <w:color w:val="16212B"/>
                <w:sz w:val="17"/>
              </w:rPr>
              <w:t>500</w:t>
            </w:r>
          </w:p>
        </w:tc>
        <w:tc>
          <w:tcPr>
            <w:tcW w:type="dxa" w:w="4320"/>
            <w:tcMar>
              <w:top w:w="100" w:type="dxa"/>
              <w:start w:w="120" w:type="dxa"/>
              <w:bottom w:w="100" w:type="dxa"/>
              <w:end w:w="120" w:type="dxa"/>
            </w:tcMar>
            <w:vAlign w:val="center"/>
          </w:tcPr>
          <w:p>
            <w:pPr>
              <w:spacing w:after="0" w:line="240" w:lineRule="auto"/>
            </w:pPr>
            <w:r>
              <w:rPr>
                <w:color w:val="16212B"/>
                <w:sz w:val="17"/>
              </w:rPr>
              <w:t>Form labels, chips</w:t>
            </w:r>
          </w:p>
        </w:tc>
      </w:tr>
      <w:tr>
        <w:tc>
          <w:tcPr>
            <w:tcW w:type="dxa" w:w="2448"/>
            <w:tcMar>
              <w:top w:w="100" w:type="dxa"/>
              <w:start w:w="120" w:type="dxa"/>
              <w:bottom w:w="100" w:type="dxa"/>
              <w:end w:w="120" w:type="dxa"/>
            </w:tcMar>
            <w:vAlign w:val="center"/>
          </w:tcPr>
          <w:p>
            <w:pPr>
              <w:spacing w:after="0" w:line="240" w:lineRule="auto"/>
            </w:pPr>
            <w:r>
              <w:rPr>
                <w:color w:val="16212B"/>
                <w:sz w:val="17"/>
              </w:rPr>
              <w:t>type.caption</w:t>
            </w:r>
          </w:p>
        </w:tc>
        <w:tc>
          <w:tcPr>
            <w:tcW w:type="dxa" w:w="1800"/>
            <w:tcMar>
              <w:top w:w="100" w:type="dxa"/>
              <w:start w:w="120" w:type="dxa"/>
              <w:bottom w:w="100" w:type="dxa"/>
              <w:end w:w="120" w:type="dxa"/>
            </w:tcMar>
            <w:vAlign w:val="center"/>
          </w:tcPr>
          <w:p>
            <w:pPr>
              <w:spacing w:after="0" w:line="240" w:lineRule="auto"/>
            </w:pPr>
            <w:r>
              <w:rPr>
                <w:color w:val="16212B"/>
                <w:sz w:val="17"/>
              </w:rPr>
              <w:t>11-12 px</w:t>
            </w:r>
          </w:p>
        </w:tc>
        <w:tc>
          <w:tcPr>
            <w:tcW w:type="dxa" w:w="1440"/>
            <w:tcMar>
              <w:top w:w="100" w:type="dxa"/>
              <w:start w:w="120" w:type="dxa"/>
              <w:bottom w:w="100" w:type="dxa"/>
              <w:end w:w="120" w:type="dxa"/>
            </w:tcMar>
            <w:vAlign w:val="center"/>
          </w:tcPr>
          <w:p>
            <w:pPr>
              <w:spacing w:after="0" w:line="240" w:lineRule="auto"/>
            </w:pPr>
            <w:r>
              <w:rPr>
                <w:color w:val="16212B"/>
                <w:sz w:val="17"/>
              </w:rPr>
              <w:t>400</w:t>
            </w:r>
          </w:p>
        </w:tc>
        <w:tc>
          <w:tcPr>
            <w:tcW w:type="dxa" w:w="4320"/>
            <w:tcMar>
              <w:top w:w="100" w:type="dxa"/>
              <w:start w:w="120" w:type="dxa"/>
              <w:bottom w:w="100" w:type="dxa"/>
              <w:end w:w="120" w:type="dxa"/>
            </w:tcMar>
            <w:vAlign w:val="center"/>
          </w:tcPr>
          <w:p>
            <w:pPr>
              <w:spacing w:after="0" w:line="240" w:lineRule="auto"/>
            </w:pPr>
            <w:r>
              <w:rPr>
                <w:color w:val="16212B"/>
                <w:sz w:val="17"/>
              </w:rPr>
              <w:t>Secondary provenance and helper text</w:t>
            </w:r>
          </w:p>
        </w:tc>
      </w:tr>
      <w:tr>
        <w:tc>
          <w:tcPr>
            <w:tcW w:type="dxa" w:w="2448"/>
            <w:tcMar>
              <w:top w:w="100" w:type="dxa"/>
              <w:start w:w="120" w:type="dxa"/>
              <w:bottom w:w="100" w:type="dxa"/>
              <w:end w:w="120" w:type="dxa"/>
            </w:tcMar>
            <w:vAlign w:val="center"/>
          </w:tcPr>
          <w:p>
            <w:pPr>
              <w:spacing w:after="0" w:line="240" w:lineRule="auto"/>
            </w:pPr>
            <w:r>
              <w:rPr>
                <w:color w:val="16212B"/>
                <w:sz w:val="17"/>
              </w:rPr>
              <w:t>type.mono</w:t>
            </w:r>
          </w:p>
        </w:tc>
        <w:tc>
          <w:tcPr>
            <w:tcW w:type="dxa" w:w="1800"/>
            <w:tcMar>
              <w:top w:w="100" w:type="dxa"/>
              <w:start w:w="120" w:type="dxa"/>
              <w:bottom w:w="100" w:type="dxa"/>
              <w:end w:w="120" w:type="dxa"/>
            </w:tcMar>
            <w:vAlign w:val="center"/>
          </w:tcPr>
          <w:p>
            <w:pPr>
              <w:spacing w:after="0" w:line="240" w:lineRule="auto"/>
            </w:pPr>
            <w:r>
              <w:rPr>
                <w:color w:val="16212B"/>
                <w:sz w:val="17"/>
              </w:rPr>
              <w:t>12-14 px</w:t>
            </w:r>
          </w:p>
        </w:tc>
        <w:tc>
          <w:tcPr>
            <w:tcW w:type="dxa" w:w="1440"/>
            <w:tcMar>
              <w:top w:w="100" w:type="dxa"/>
              <w:start w:w="120" w:type="dxa"/>
              <w:bottom w:w="100" w:type="dxa"/>
              <w:end w:w="120" w:type="dxa"/>
            </w:tcMar>
            <w:vAlign w:val="center"/>
          </w:tcPr>
          <w:p>
            <w:pPr>
              <w:spacing w:after="0" w:line="240" w:lineRule="auto"/>
            </w:pPr>
            <w:r>
              <w:rPr>
                <w:color w:val="16212B"/>
                <w:sz w:val="17"/>
              </w:rPr>
              <w:t>400</w:t>
            </w:r>
          </w:p>
        </w:tc>
        <w:tc>
          <w:tcPr>
            <w:tcW w:type="dxa" w:w="4320"/>
            <w:tcMar>
              <w:top w:w="100" w:type="dxa"/>
              <w:start w:w="120" w:type="dxa"/>
              <w:bottom w:w="100" w:type="dxa"/>
              <w:end w:w="120" w:type="dxa"/>
            </w:tcMar>
            <w:vAlign w:val="center"/>
          </w:tcPr>
          <w:p>
            <w:pPr>
              <w:spacing w:after="0" w:line="240" w:lineRule="auto"/>
            </w:pPr>
            <w:r>
              <w:rPr>
                <w:color w:val="16212B"/>
                <w:sz w:val="17"/>
              </w:rPr>
              <w:t>IDs, hashes, technical identifiers</w:t>
            </w:r>
          </w:p>
        </w:tc>
      </w:tr>
    </w:tbl>
    <w:p>
      <w:pPr>
        <w:spacing w:after="0"/>
      </w:pPr>
    </w:p>
    <w:p>
      <w:pPr>
        <w:pStyle w:val="ListBullet"/>
        <w:spacing w:after="40" w:line="259" w:lineRule="auto"/>
      </w:pPr>
      <w:r>
        <w:rPr>
          <w:sz w:val="20"/>
        </w:rPr>
        <w:t>Body text SHOULD normally render at 14 px or larger in the product UI.</w:t>
      </w:r>
    </w:p>
    <w:p>
      <w:pPr>
        <w:pStyle w:val="ListBullet"/>
        <w:spacing w:after="40" w:line="259" w:lineRule="auto"/>
      </w:pPr>
      <w:r>
        <w:rPr>
          <w:sz w:val="20"/>
        </w:rPr>
        <w:t>Critical evidence excerpts, assessments, and review text SHOULD use at least 14 px with comfortable line height.</w:t>
      </w:r>
    </w:p>
    <w:p>
      <w:pPr>
        <w:pStyle w:val="ListBullet"/>
        <w:spacing w:after="40" w:line="259" w:lineRule="auto"/>
      </w:pPr>
      <w:r>
        <w:rPr>
          <w:sz w:val="20"/>
        </w:rPr>
        <w:t>Monospace MAY be used for hashes, registration IDs, URLs, wallet addresses, and machine identifiers, but not for long prose.</w:t>
      </w:r>
    </w:p>
    <w:p>
      <w:pPr>
        <w:pStyle w:val="ListBullet"/>
        <w:spacing w:after="40" w:line="259" w:lineRule="auto"/>
      </w:pPr>
      <w:r>
        <w:rPr>
          <w:sz w:val="20"/>
        </w:rPr>
        <w:t>All-caps SHALL NOT be used for long status labels; reserve it for short controlled labels where scanability improves.</w:t>
      </w:r>
    </w:p>
    <w:p>
      <w:pPr>
        <w:pStyle w:val="Heading1"/>
      </w:pPr>
      <w:r>
        <w:t>6. Spacing, Density, and Layout Tokens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7324D"/>
            <w:tcMar>
              <w:top w:w="100" w:type="dxa"/>
              <w:start w:w="120" w:type="dxa"/>
              <w:bottom w:w="100" w:type="dxa"/>
              <w:end w:w="120" w:type="dxa"/>
            </w:tcMar>
            <w:vAlign w:val="center"/>
          </w:tcPr>
          <w:p>
            <w:pPr>
              <w:jc w:val="center"/>
            </w:pPr>
            <w:r>
              <w:rPr>
                <w:b/>
                <w:color w:val="FFFFFF"/>
                <w:sz w:val="18"/>
              </w:rPr>
              <w:t>Token</w:t>
            </w:r>
          </w:p>
        </w:tc>
        <w:tc>
          <w:tcPr>
            <w:tcW w:type="dxa" w:w="1440"/>
            <w:shd w:fill="17324D"/>
            <w:tcMar>
              <w:top w:w="100" w:type="dxa"/>
              <w:start w:w="120" w:type="dxa"/>
              <w:bottom w:w="100" w:type="dxa"/>
              <w:end w:w="120" w:type="dxa"/>
            </w:tcMar>
            <w:vAlign w:val="center"/>
          </w:tcPr>
          <w:p>
            <w:pPr>
              <w:jc w:val="center"/>
            </w:pPr>
            <w:r>
              <w:rPr>
                <w:b/>
                <w:color w:val="FFFFFF"/>
                <w:sz w:val="18"/>
              </w:rPr>
              <w:t>Value</w:t>
            </w:r>
          </w:p>
        </w:tc>
        <w:tc>
          <w:tcPr>
            <w:tcW w:type="dxa" w:w="6048"/>
            <w:shd w:fill="17324D"/>
            <w:tcMar>
              <w:top w:w="100" w:type="dxa"/>
              <w:start w:w="120" w:type="dxa"/>
              <w:bottom w:w="100" w:type="dxa"/>
              <w:end w:w="120" w:type="dxa"/>
            </w:tcMar>
            <w:vAlign w:val="center"/>
          </w:tcPr>
          <w:p>
            <w:pPr>
              <w:jc w:val="center"/>
            </w:pPr>
            <w:r>
              <w:rPr>
                <w:b/>
                <w:color w:val="FFFFFF"/>
                <w:sz w:val="18"/>
              </w:rPr>
              <w:t>Typical use</w:t>
            </w:r>
          </w:p>
        </w:tc>
      </w:tr>
      <w:tr>
        <w:tc>
          <w:tcPr>
            <w:tcW w:type="dxa" w:w="2160"/>
            <w:tcMar>
              <w:top w:w="100" w:type="dxa"/>
              <w:start w:w="120" w:type="dxa"/>
              <w:bottom w:w="100" w:type="dxa"/>
              <w:end w:w="120" w:type="dxa"/>
            </w:tcMar>
            <w:vAlign w:val="center"/>
          </w:tcPr>
          <w:p>
            <w:pPr>
              <w:spacing w:after="0" w:line="240" w:lineRule="auto"/>
            </w:pPr>
            <w:r>
              <w:rPr>
                <w:color w:val="16212B"/>
                <w:sz w:val="18"/>
              </w:rPr>
              <w:t>space.1</w:t>
            </w:r>
          </w:p>
        </w:tc>
        <w:tc>
          <w:tcPr>
            <w:tcW w:type="dxa" w:w="1440"/>
            <w:tcMar>
              <w:top w:w="100" w:type="dxa"/>
              <w:start w:w="120" w:type="dxa"/>
              <w:bottom w:w="100" w:type="dxa"/>
              <w:end w:w="120" w:type="dxa"/>
            </w:tcMar>
            <w:vAlign w:val="center"/>
          </w:tcPr>
          <w:p>
            <w:pPr>
              <w:spacing w:after="0" w:line="240" w:lineRule="auto"/>
            </w:pPr>
            <w:r>
              <w:rPr>
                <w:color w:val="16212B"/>
                <w:sz w:val="18"/>
              </w:rPr>
              <w:t>4 px</w:t>
            </w:r>
          </w:p>
        </w:tc>
        <w:tc>
          <w:tcPr>
            <w:tcW w:type="dxa" w:w="6048"/>
            <w:tcMar>
              <w:top w:w="100" w:type="dxa"/>
              <w:start w:w="120" w:type="dxa"/>
              <w:bottom w:w="100" w:type="dxa"/>
              <w:end w:w="120" w:type="dxa"/>
            </w:tcMar>
            <w:vAlign w:val="center"/>
          </w:tcPr>
          <w:p>
            <w:pPr>
              <w:spacing w:after="0" w:line="240" w:lineRule="auto"/>
            </w:pPr>
            <w:r>
              <w:rPr>
                <w:color w:val="16212B"/>
                <w:sz w:val="18"/>
              </w:rPr>
              <w:t>Tight icon/text gap</w:t>
            </w:r>
          </w:p>
        </w:tc>
      </w:tr>
      <w:tr>
        <w:tc>
          <w:tcPr>
            <w:tcW w:type="dxa" w:w="2160"/>
            <w:tcMar>
              <w:top w:w="100" w:type="dxa"/>
              <w:start w:w="120" w:type="dxa"/>
              <w:bottom w:w="100" w:type="dxa"/>
              <w:end w:w="120" w:type="dxa"/>
            </w:tcMar>
            <w:vAlign w:val="center"/>
          </w:tcPr>
          <w:p>
            <w:pPr>
              <w:spacing w:after="0" w:line="240" w:lineRule="auto"/>
            </w:pPr>
            <w:r>
              <w:rPr>
                <w:color w:val="16212B"/>
                <w:sz w:val="18"/>
              </w:rPr>
              <w:t>space.2</w:t>
            </w:r>
          </w:p>
        </w:tc>
        <w:tc>
          <w:tcPr>
            <w:tcW w:type="dxa" w:w="1440"/>
            <w:tcMar>
              <w:top w:w="100" w:type="dxa"/>
              <w:start w:w="120" w:type="dxa"/>
              <w:bottom w:w="100" w:type="dxa"/>
              <w:end w:w="120" w:type="dxa"/>
            </w:tcMar>
            <w:vAlign w:val="center"/>
          </w:tcPr>
          <w:p>
            <w:pPr>
              <w:spacing w:after="0" w:line="240" w:lineRule="auto"/>
            </w:pPr>
            <w:r>
              <w:rPr>
                <w:color w:val="16212B"/>
                <w:sz w:val="18"/>
              </w:rPr>
              <w:t>8 px</w:t>
            </w:r>
          </w:p>
        </w:tc>
        <w:tc>
          <w:tcPr>
            <w:tcW w:type="dxa" w:w="6048"/>
            <w:tcMar>
              <w:top w:w="100" w:type="dxa"/>
              <w:start w:w="120" w:type="dxa"/>
              <w:bottom w:w="100" w:type="dxa"/>
              <w:end w:w="120" w:type="dxa"/>
            </w:tcMar>
            <w:vAlign w:val="center"/>
          </w:tcPr>
          <w:p>
            <w:pPr>
              <w:spacing w:after="0" w:line="240" w:lineRule="auto"/>
            </w:pPr>
            <w:r>
              <w:rPr>
                <w:color w:val="16212B"/>
                <w:sz w:val="18"/>
              </w:rPr>
              <w:t>Inline groups</w:t>
            </w:r>
          </w:p>
        </w:tc>
      </w:tr>
      <w:tr>
        <w:tc>
          <w:tcPr>
            <w:tcW w:type="dxa" w:w="2160"/>
            <w:tcMar>
              <w:top w:w="100" w:type="dxa"/>
              <w:start w:w="120" w:type="dxa"/>
              <w:bottom w:w="100" w:type="dxa"/>
              <w:end w:w="120" w:type="dxa"/>
            </w:tcMar>
            <w:vAlign w:val="center"/>
          </w:tcPr>
          <w:p>
            <w:pPr>
              <w:spacing w:after="0" w:line="240" w:lineRule="auto"/>
            </w:pPr>
            <w:r>
              <w:rPr>
                <w:color w:val="16212B"/>
                <w:sz w:val="18"/>
              </w:rPr>
              <w:t>space.3</w:t>
            </w:r>
          </w:p>
        </w:tc>
        <w:tc>
          <w:tcPr>
            <w:tcW w:type="dxa" w:w="1440"/>
            <w:tcMar>
              <w:top w:w="100" w:type="dxa"/>
              <w:start w:w="120" w:type="dxa"/>
              <w:bottom w:w="100" w:type="dxa"/>
              <w:end w:w="120" w:type="dxa"/>
            </w:tcMar>
            <w:vAlign w:val="center"/>
          </w:tcPr>
          <w:p>
            <w:pPr>
              <w:spacing w:after="0" w:line="240" w:lineRule="auto"/>
            </w:pPr>
            <w:r>
              <w:rPr>
                <w:color w:val="16212B"/>
                <w:sz w:val="18"/>
              </w:rPr>
              <w:t>12 px</w:t>
            </w:r>
          </w:p>
        </w:tc>
        <w:tc>
          <w:tcPr>
            <w:tcW w:type="dxa" w:w="6048"/>
            <w:tcMar>
              <w:top w:w="100" w:type="dxa"/>
              <w:start w:w="120" w:type="dxa"/>
              <w:bottom w:w="100" w:type="dxa"/>
              <w:end w:w="120" w:type="dxa"/>
            </w:tcMar>
            <w:vAlign w:val="center"/>
          </w:tcPr>
          <w:p>
            <w:pPr>
              <w:spacing w:after="0" w:line="240" w:lineRule="auto"/>
            </w:pPr>
            <w:r>
              <w:rPr>
                <w:color w:val="16212B"/>
                <w:sz w:val="18"/>
              </w:rPr>
              <w:t>Compact controls</w:t>
            </w:r>
          </w:p>
        </w:tc>
      </w:tr>
      <w:tr>
        <w:tc>
          <w:tcPr>
            <w:tcW w:type="dxa" w:w="2160"/>
            <w:tcMar>
              <w:top w:w="100" w:type="dxa"/>
              <w:start w:w="120" w:type="dxa"/>
              <w:bottom w:w="100" w:type="dxa"/>
              <w:end w:w="120" w:type="dxa"/>
            </w:tcMar>
            <w:vAlign w:val="center"/>
          </w:tcPr>
          <w:p>
            <w:pPr>
              <w:spacing w:after="0" w:line="240" w:lineRule="auto"/>
            </w:pPr>
            <w:r>
              <w:rPr>
                <w:color w:val="16212B"/>
                <w:sz w:val="18"/>
              </w:rPr>
              <w:t>space.4</w:t>
            </w:r>
          </w:p>
        </w:tc>
        <w:tc>
          <w:tcPr>
            <w:tcW w:type="dxa" w:w="1440"/>
            <w:tcMar>
              <w:top w:w="100" w:type="dxa"/>
              <w:start w:w="120" w:type="dxa"/>
              <w:bottom w:w="100" w:type="dxa"/>
              <w:end w:w="120" w:type="dxa"/>
            </w:tcMar>
            <w:vAlign w:val="center"/>
          </w:tcPr>
          <w:p>
            <w:pPr>
              <w:spacing w:after="0" w:line="240" w:lineRule="auto"/>
            </w:pPr>
            <w:r>
              <w:rPr>
                <w:color w:val="16212B"/>
                <w:sz w:val="18"/>
              </w:rPr>
              <w:t>16 px</w:t>
            </w:r>
          </w:p>
        </w:tc>
        <w:tc>
          <w:tcPr>
            <w:tcW w:type="dxa" w:w="6048"/>
            <w:tcMar>
              <w:top w:w="100" w:type="dxa"/>
              <w:start w:w="120" w:type="dxa"/>
              <w:bottom w:w="100" w:type="dxa"/>
              <w:end w:w="120" w:type="dxa"/>
            </w:tcMar>
            <w:vAlign w:val="center"/>
          </w:tcPr>
          <w:p>
            <w:pPr>
              <w:spacing w:after="0" w:line="240" w:lineRule="auto"/>
            </w:pPr>
            <w:r>
              <w:rPr>
                <w:color w:val="16212B"/>
                <w:sz w:val="18"/>
              </w:rPr>
              <w:t>Default component padding</w:t>
            </w:r>
          </w:p>
        </w:tc>
      </w:tr>
      <w:tr>
        <w:tc>
          <w:tcPr>
            <w:tcW w:type="dxa" w:w="2160"/>
            <w:tcMar>
              <w:top w:w="100" w:type="dxa"/>
              <w:start w:w="120" w:type="dxa"/>
              <w:bottom w:w="100" w:type="dxa"/>
              <w:end w:w="120" w:type="dxa"/>
            </w:tcMar>
            <w:vAlign w:val="center"/>
          </w:tcPr>
          <w:p>
            <w:pPr>
              <w:spacing w:after="0" w:line="240" w:lineRule="auto"/>
            </w:pPr>
            <w:r>
              <w:rPr>
                <w:color w:val="16212B"/>
                <w:sz w:val="18"/>
              </w:rPr>
              <w:t>space.5</w:t>
            </w:r>
          </w:p>
        </w:tc>
        <w:tc>
          <w:tcPr>
            <w:tcW w:type="dxa" w:w="1440"/>
            <w:tcMar>
              <w:top w:w="100" w:type="dxa"/>
              <w:start w:w="120" w:type="dxa"/>
              <w:bottom w:w="100" w:type="dxa"/>
              <w:end w:w="120" w:type="dxa"/>
            </w:tcMar>
            <w:vAlign w:val="center"/>
          </w:tcPr>
          <w:p>
            <w:pPr>
              <w:spacing w:after="0" w:line="240" w:lineRule="auto"/>
            </w:pPr>
            <w:r>
              <w:rPr>
                <w:color w:val="16212B"/>
                <w:sz w:val="18"/>
              </w:rPr>
              <w:t>20 px</w:t>
            </w:r>
          </w:p>
        </w:tc>
        <w:tc>
          <w:tcPr>
            <w:tcW w:type="dxa" w:w="6048"/>
            <w:tcMar>
              <w:top w:w="100" w:type="dxa"/>
              <w:start w:w="120" w:type="dxa"/>
              <w:bottom w:w="100" w:type="dxa"/>
              <w:end w:w="120" w:type="dxa"/>
            </w:tcMar>
            <w:vAlign w:val="center"/>
          </w:tcPr>
          <w:p>
            <w:pPr>
              <w:spacing w:after="0" w:line="240" w:lineRule="auto"/>
            </w:pPr>
            <w:r>
              <w:rPr>
                <w:color w:val="16212B"/>
                <w:sz w:val="18"/>
              </w:rPr>
              <w:t>Panel content</w:t>
            </w:r>
          </w:p>
        </w:tc>
      </w:tr>
      <w:tr>
        <w:tc>
          <w:tcPr>
            <w:tcW w:type="dxa" w:w="2160"/>
            <w:tcMar>
              <w:top w:w="100" w:type="dxa"/>
              <w:start w:w="120" w:type="dxa"/>
              <w:bottom w:w="100" w:type="dxa"/>
              <w:end w:w="120" w:type="dxa"/>
            </w:tcMar>
            <w:vAlign w:val="center"/>
          </w:tcPr>
          <w:p>
            <w:pPr>
              <w:spacing w:after="0" w:line="240" w:lineRule="auto"/>
            </w:pPr>
            <w:r>
              <w:rPr>
                <w:color w:val="16212B"/>
                <w:sz w:val="18"/>
              </w:rPr>
              <w:t>space.6</w:t>
            </w:r>
          </w:p>
        </w:tc>
        <w:tc>
          <w:tcPr>
            <w:tcW w:type="dxa" w:w="1440"/>
            <w:tcMar>
              <w:top w:w="100" w:type="dxa"/>
              <w:start w:w="120" w:type="dxa"/>
              <w:bottom w:w="100" w:type="dxa"/>
              <w:end w:w="120" w:type="dxa"/>
            </w:tcMar>
            <w:vAlign w:val="center"/>
          </w:tcPr>
          <w:p>
            <w:pPr>
              <w:spacing w:after="0" w:line="240" w:lineRule="auto"/>
            </w:pPr>
            <w:r>
              <w:rPr>
                <w:color w:val="16212B"/>
                <w:sz w:val="18"/>
              </w:rPr>
              <w:t>24 px</w:t>
            </w:r>
          </w:p>
        </w:tc>
        <w:tc>
          <w:tcPr>
            <w:tcW w:type="dxa" w:w="6048"/>
            <w:tcMar>
              <w:top w:w="100" w:type="dxa"/>
              <w:start w:w="120" w:type="dxa"/>
              <w:bottom w:w="100" w:type="dxa"/>
              <w:end w:w="120" w:type="dxa"/>
            </w:tcMar>
            <w:vAlign w:val="center"/>
          </w:tcPr>
          <w:p>
            <w:pPr>
              <w:spacing w:after="0" w:line="240" w:lineRule="auto"/>
            </w:pPr>
            <w:r>
              <w:rPr>
                <w:color w:val="16212B"/>
                <w:sz w:val="18"/>
              </w:rPr>
              <w:t>Section spacing</w:t>
            </w:r>
          </w:p>
        </w:tc>
      </w:tr>
      <w:tr>
        <w:tc>
          <w:tcPr>
            <w:tcW w:type="dxa" w:w="2160"/>
            <w:tcMar>
              <w:top w:w="100" w:type="dxa"/>
              <w:start w:w="120" w:type="dxa"/>
              <w:bottom w:w="100" w:type="dxa"/>
              <w:end w:w="120" w:type="dxa"/>
            </w:tcMar>
            <w:vAlign w:val="center"/>
          </w:tcPr>
          <w:p>
            <w:pPr>
              <w:spacing w:after="0" w:line="240" w:lineRule="auto"/>
            </w:pPr>
            <w:r>
              <w:rPr>
                <w:color w:val="16212B"/>
                <w:sz w:val="18"/>
              </w:rPr>
              <w:t>space.8</w:t>
            </w:r>
          </w:p>
        </w:tc>
        <w:tc>
          <w:tcPr>
            <w:tcW w:type="dxa" w:w="1440"/>
            <w:tcMar>
              <w:top w:w="100" w:type="dxa"/>
              <w:start w:w="120" w:type="dxa"/>
              <w:bottom w:w="100" w:type="dxa"/>
              <w:end w:w="120" w:type="dxa"/>
            </w:tcMar>
            <w:vAlign w:val="center"/>
          </w:tcPr>
          <w:p>
            <w:pPr>
              <w:spacing w:after="0" w:line="240" w:lineRule="auto"/>
            </w:pPr>
            <w:r>
              <w:rPr>
                <w:color w:val="16212B"/>
                <w:sz w:val="18"/>
              </w:rPr>
              <w:t>32 px</w:t>
            </w:r>
          </w:p>
        </w:tc>
        <w:tc>
          <w:tcPr>
            <w:tcW w:type="dxa" w:w="6048"/>
            <w:tcMar>
              <w:top w:w="100" w:type="dxa"/>
              <w:start w:w="120" w:type="dxa"/>
              <w:bottom w:w="100" w:type="dxa"/>
              <w:end w:w="120" w:type="dxa"/>
            </w:tcMar>
            <w:vAlign w:val="center"/>
          </w:tcPr>
          <w:p>
            <w:pPr>
              <w:spacing w:after="0" w:line="240" w:lineRule="auto"/>
            </w:pPr>
            <w:r>
              <w:rPr>
                <w:color w:val="16212B"/>
                <w:sz w:val="18"/>
              </w:rPr>
              <w:t>Major section separation</w:t>
            </w:r>
          </w:p>
        </w:tc>
      </w:tr>
      <w:tr>
        <w:tc>
          <w:tcPr>
            <w:tcW w:type="dxa" w:w="2160"/>
            <w:tcMar>
              <w:top w:w="100" w:type="dxa"/>
              <w:start w:w="120" w:type="dxa"/>
              <w:bottom w:w="100" w:type="dxa"/>
              <w:end w:w="120" w:type="dxa"/>
            </w:tcMar>
            <w:vAlign w:val="center"/>
          </w:tcPr>
          <w:p>
            <w:pPr>
              <w:spacing w:after="0" w:line="240" w:lineRule="auto"/>
            </w:pPr>
            <w:r>
              <w:rPr>
                <w:color w:val="16212B"/>
                <w:sz w:val="18"/>
              </w:rPr>
              <w:t>space.12</w:t>
            </w:r>
          </w:p>
        </w:tc>
        <w:tc>
          <w:tcPr>
            <w:tcW w:type="dxa" w:w="1440"/>
            <w:tcMar>
              <w:top w:w="100" w:type="dxa"/>
              <w:start w:w="120" w:type="dxa"/>
              <w:bottom w:w="100" w:type="dxa"/>
              <w:end w:w="120" w:type="dxa"/>
            </w:tcMar>
            <w:vAlign w:val="center"/>
          </w:tcPr>
          <w:p>
            <w:pPr>
              <w:spacing w:after="0" w:line="240" w:lineRule="auto"/>
            </w:pPr>
            <w:r>
              <w:rPr>
                <w:color w:val="16212B"/>
                <w:sz w:val="18"/>
              </w:rPr>
              <w:t>48 px</w:t>
            </w:r>
          </w:p>
        </w:tc>
        <w:tc>
          <w:tcPr>
            <w:tcW w:type="dxa" w:w="6048"/>
            <w:tcMar>
              <w:top w:w="100" w:type="dxa"/>
              <w:start w:w="120" w:type="dxa"/>
              <w:bottom w:w="100" w:type="dxa"/>
              <w:end w:w="120" w:type="dxa"/>
            </w:tcMar>
            <w:vAlign w:val="center"/>
          </w:tcPr>
          <w:p>
            <w:pPr>
              <w:spacing w:after="0" w:line="240" w:lineRule="auto"/>
            </w:pPr>
            <w:r>
              <w:rPr>
                <w:color w:val="16212B"/>
                <w:sz w:val="18"/>
              </w:rPr>
              <w:t>Large layout separation</w:t>
            </w:r>
          </w:p>
        </w:tc>
      </w:tr>
    </w:tbl>
    <w:p>
      <w:pPr>
        <w:spacing w:after="0"/>
      </w:pPr>
    </w:p>
    <w:p>
      <w:pPr>
        <w:pStyle w:val="Heading2"/>
      </w:pPr>
      <w:r>
        <w:t>6.1 Density 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5"/>
            <w:shd w:fill="17324D"/>
            <w:tcMar>
              <w:top w:w="100" w:type="dxa"/>
              <w:start w:w="120" w:type="dxa"/>
              <w:bottom w:w="100" w:type="dxa"/>
              <w:end w:w="120" w:type="dxa"/>
            </w:tcMar>
            <w:vAlign w:val="center"/>
          </w:tcPr>
          <w:p>
            <w:pPr>
              <w:jc w:val="center"/>
            </w:pPr>
            <w:r>
              <w:rPr>
                <w:b/>
                <w:color w:val="FFFFFF"/>
                <w:sz w:val="18"/>
              </w:rPr>
              <w:t>Mode</w:t>
            </w:r>
          </w:p>
        </w:tc>
        <w:tc>
          <w:tcPr>
            <w:tcW w:type="dxa" w:w="3024"/>
            <w:shd w:fill="17324D"/>
            <w:tcMar>
              <w:top w:w="100" w:type="dxa"/>
              <w:start w:w="120" w:type="dxa"/>
              <w:bottom w:w="100" w:type="dxa"/>
              <w:end w:w="120" w:type="dxa"/>
            </w:tcMar>
            <w:vAlign w:val="center"/>
          </w:tcPr>
          <w:p>
            <w:pPr>
              <w:jc w:val="center"/>
            </w:pPr>
            <w:r>
              <w:rPr>
                <w:b/>
                <w:color w:val="FFFFFF"/>
                <w:sz w:val="18"/>
              </w:rPr>
              <w:t>Purpose</w:t>
            </w:r>
          </w:p>
        </w:tc>
        <w:tc>
          <w:tcPr>
            <w:tcW w:type="dxa" w:w="4608"/>
            <w:shd w:fill="17324D"/>
            <w:tcMar>
              <w:top w:w="100" w:type="dxa"/>
              <w:start w:w="120" w:type="dxa"/>
              <w:bottom w:w="100" w:type="dxa"/>
              <w:end w:w="120" w:type="dxa"/>
            </w:tcMar>
            <w:vAlign w:val="center"/>
          </w:tcPr>
          <w:p>
            <w:pPr>
              <w:jc w:val="center"/>
            </w:pPr>
            <w:r>
              <w:rPr>
                <w:b/>
                <w:color w:val="FFFFFF"/>
                <w:sz w:val="18"/>
              </w:rPr>
              <w:t>Constraints</w:t>
            </w:r>
          </w:p>
        </w:tc>
      </w:tr>
      <w:tr>
        <w:tc>
          <w:tcPr>
            <w:tcW w:type="dxa" w:w="2015"/>
            <w:tcMar>
              <w:top w:w="100" w:type="dxa"/>
              <w:start w:w="120" w:type="dxa"/>
              <w:bottom w:w="100" w:type="dxa"/>
              <w:end w:w="120" w:type="dxa"/>
            </w:tcMar>
            <w:vAlign w:val="center"/>
          </w:tcPr>
          <w:p>
            <w:pPr>
              <w:spacing w:after="0" w:line="240" w:lineRule="auto"/>
            </w:pPr>
            <w:r>
              <w:rPr>
                <w:color w:val="16212B"/>
                <w:sz w:val="18"/>
              </w:rPr>
              <w:t>Comfortable</w:t>
            </w:r>
          </w:p>
        </w:tc>
        <w:tc>
          <w:tcPr>
            <w:tcW w:type="dxa" w:w="3024"/>
            <w:tcMar>
              <w:top w:w="100" w:type="dxa"/>
              <w:start w:w="120" w:type="dxa"/>
              <w:bottom w:w="100" w:type="dxa"/>
              <w:end w:w="120" w:type="dxa"/>
            </w:tcMar>
            <w:vAlign w:val="center"/>
          </w:tcPr>
          <w:p>
            <w:pPr>
              <w:spacing w:after="0" w:line="240" w:lineRule="auto"/>
            </w:pPr>
            <w:r>
              <w:rPr>
                <w:color w:val="16212B"/>
                <w:sz w:val="18"/>
              </w:rPr>
              <w:t>Reading, review, authoring</w:t>
            </w:r>
          </w:p>
        </w:tc>
        <w:tc>
          <w:tcPr>
            <w:tcW w:type="dxa" w:w="4608"/>
            <w:tcMar>
              <w:top w:w="100" w:type="dxa"/>
              <w:start w:w="120" w:type="dxa"/>
              <w:bottom w:w="100" w:type="dxa"/>
              <w:end w:w="120" w:type="dxa"/>
            </w:tcMar>
            <w:vAlign w:val="center"/>
          </w:tcPr>
          <w:p>
            <w:pPr>
              <w:spacing w:after="0" w:line="240" w:lineRule="auto"/>
            </w:pPr>
            <w:r>
              <w:rPr>
                <w:color w:val="16212B"/>
                <w:sz w:val="18"/>
              </w:rPr>
              <w:t>Larger vertical rhythm; default for prose-heavy views</w:t>
            </w:r>
          </w:p>
        </w:tc>
      </w:tr>
      <w:tr>
        <w:tc>
          <w:tcPr>
            <w:tcW w:type="dxa" w:w="2015"/>
            <w:tcMar>
              <w:top w:w="100" w:type="dxa"/>
              <w:start w:w="120" w:type="dxa"/>
              <w:bottom w:w="100" w:type="dxa"/>
              <w:end w:w="120" w:type="dxa"/>
            </w:tcMar>
            <w:vAlign w:val="center"/>
          </w:tcPr>
          <w:p>
            <w:pPr>
              <w:spacing w:after="0" w:line="240" w:lineRule="auto"/>
            </w:pPr>
            <w:r>
              <w:rPr>
                <w:color w:val="16212B"/>
                <w:sz w:val="18"/>
              </w:rPr>
              <w:t>Compact</w:t>
            </w:r>
          </w:p>
        </w:tc>
        <w:tc>
          <w:tcPr>
            <w:tcW w:type="dxa" w:w="3024"/>
            <w:tcMar>
              <w:top w:w="100" w:type="dxa"/>
              <w:start w:w="120" w:type="dxa"/>
              <w:bottom w:w="100" w:type="dxa"/>
              <w:end w:w="120" w:type="dxa"/>
            </w:tcMar>
            <w:vAlign w:val="center"/>
          </w:tcPr>
          <w:p>
            <w:pPr>
              <w:spacing w:after="0" w:line="240" w:lineRule="auto"/>
            </w:pPr>
            <w:r>
              <w:rPr>
                <w:color w:val="16212B"/>
                <w:sz w:val="18"/>
              </w:rPr>
              <w:t>Registers, evidence lists, entity tables</w:t>
            </w:r>
          </w:p>
        </w:tc>
        <w:tc>
          <w:tcPr>
            <w:tcW w:type="dxa" w:w="4608"/>
            <w:tcMar>
              <w:top w:w="100" w:type="dxa"/>
              <w:start w:w="120" w:type="dxa"/>
              <w:bottom w:w="100" w:type="dxa"/>
              <w:end w:w="120" w:type="dxa"/>
            </w:tcMar>
            <w:vAlign w:val="center"/>
          </w:tcPr>
          <w:p>
            <w:pPr>
              <w:spacing w:after="0" w:line="240" w:lineRule="auto"/>
            </w:pPr>
            <w:r>
              <w:rPr>
                <w:color w:val="16212B"/>
                <w:sz w:val="18"/>
              </w:rPr>
              <w:t>Reduced vertical padding; text remains &gt;=13 px; targets remain keyboard accessible</w:t>
            </w:r>
          </w:p>
        </w:tc>
      </w:tr>
      <w:tr>
        <w:tc>
          <w:tcPr>
            <w:tcW w:type="dxa" w:w="2015"/>
            <w:tcMar>
              <w:top w:w="100" w:type="dxa"/>
              <w:start w:w="120" w:type="dxa"/>
              <w:bottom w:w="100" w:type="dxa"/>
              <w:end w:w="120" w:type="dxa"/>
            </w:tcMar>
            <w:vAlign w:val="center"/>
          </w:tcPr>
          <w:p>
            <w:pPr>
              <w:spacing w:after="0" w:line="240" w:lineRule="auto"/>
            </w:pPr>
            <w:r>
              <w:rPr>
                <w:color w:val="16212B"/>
                <w:sz w:val="18"/>
              </w:rPr>
              <w:t>Analytical canvas</w:t>
            </w:r>
          </w:p>
        </w:tc>
        <w:tc>
          <w:tcPr>
            <w:tcW w:type="dxa" w:w="3024"/>
            <w:tcMar>
              <w:top w:w="100" w:type="dxa"/>
              <w:start w:w="120" w:type="dxa"/>
              <w:bottom w:w="100" w:type="dxa"/>
              <w:end w:w="120" w:type="dxa"/>
            </w:tcMar>
            <w:vAlign w:val="center"/>
          </w:tcPr>
          <w:p>
            <w:pPr>
              <w:spacing w:after="0" w:line="240" w:lineRule="auto"/>
            </w:pPr>
            <w:r>
              <w:rPr>
                <w:color w:val="16212B"/>
                <w:sz w:val="18"/>
              </w:rPr>
              <w:t>Graph/timeline/value flow</w:t>
            </w:r>
          </w:p>
        </w:tc>
        <w:tc>
          <w:tcPr>
            <w:tcW w:type="dxa" w:w="4608"/>
            <w:tcMar>
              <w:top w:w="100" w:type="dxa"/>
              <w:start w:w="120" w:type="dxa"/>
              <w:bottom w:w="100" w:type="dxa"/>
              <w:end w:w="120" w:type="dxa"/>
            </w:tcMar>
            <w:vAlign w:val="center"/>
          </w:tcPr>
          <w:p>
            <w:pPr>
              <w:spacing w:after="0" w:line="240" w:lineRule="auto"/>
            </w:pPr>
            <w:r>
              <w:rPr>
                <w:color w:val="16212B"/>
                <w:sz w:val="18"/>
              </w:rPr>
              <w:t>Maximise working area while keeping inspector/legend readable</w:t>
            </w:r>
          </w:p>
        </w:tc>
      </w:tr>
      <w:tr>
        <w:tc>
          <w:tcPr>
            <w:tcW w:type="dxa" w:w="2015"/>
            <w:tcMar>
              <w:top w:w="100" w:type="dxa"/>
              <w:start w:w="120" w:type="dxa"/>
              <w:bottom w:w="100" w:type="dxa"/>
              <w:end w:w="120" w:type="dxa"/>
            </w:tcMar>
            <w:vAlign w:val="center"/>
          </w:tcPr>
          <w:p>
            <w:pPr>
              <w:spacing w:after="0" w:line="240" w:lineRule="auto"/>
            </w:pPr>
            <w:r>
              <w:rPr>
                <w:color w:val="16212B"/>
                <w:sz w:val="18"/>
              </w:rPr>
              <w:t>Presentation/export</w:t>
            </w:r>
          </w:p>
        </w:tc>
        <w:tc>
          <w:tcPr>
            <w:tcW w:type="dxa" w:w="3024"/>
            <w:tcMar>
              <w:top w:w="100" w:type="dxa"/>
              <w:start w:w="120" w:type="dxa"/>
              <w:bottom w:w="100" w:type="dxa"/>
              <w:end w:w="120" w:type="dxa"/>
            </w:tcMar>
            <w:vAlign w:val="center"/>
          </w:tcPr>
          <w:p>
            <w:pPr>
              <w:spacing w:after="0" w:line="240" w:lineRule="auto"/>
            </w:pPr>
            <w:r>
              <w:rPr>
                <w:color w:val="16212B"/>
                <w:sz w:val="18"/>
              </w:rPr>
              <w:t>Screenshots, PDF, referral</w:t>
            </w:r>
          </w:p>
        </w:tc>
        <w:tc>
          <w:tcPr>
            <w:tcW w:type="dxa" w:w="4608"/>
            <w:tcMar>
              <w:top w:w="100" w:type="dxa"/>
              <w:start w:w="120" w:type="dxa"/>
              <w:bottom w:w="100" w:type="dxa"/>
              <w:end w:w="120" w:type="dxa"/>
            </w:tcMar>
            <w:vAlign w:val="center"/>
          </w:tcPr>
          <w:p>
            <w:pPr>
              <w:spacing w:after="0" w:line="240" w:lineRule="auto"/>
            </w:pPr>
            <w:r>
              <w:rPr>
                <w:color w:val="16212B"/>
                <w:sz w:val="18"/>
              </w:rPr>
              <w:t>Semantic distinction remains visible without hover or interaction</w:t>
            </w:r>
          </w:p>
        </w:tc>
      </w:tr>
    </w:tbl>
    <w:p>
      <w:pPr>
        <w:spacing w:after="0"/>
      </w:pPr>
    </w:p>
    <w:p>
      <w:pPr>
        <w:spacing w:after="100" w:line="269" w:lineRule="auto"/>
      </w:pPr>
      <w:r>
        <w:rPr>
          <w:sz w:val="21"/>
        </w:rPr>
        <w:t>The UI MAY allow users to choose comfortable versus compact density for data-heavy surfaces. A density preference SHALL NOT hide provenance, confidence, classification, or uncertainty indicators.</w:t>
      </w:r>
    </w:p>
    <w:p>
      <w:pPr>
        <w:pStyle w:val="Heading1"/>
      </w:pPr>
      <w:r>
        <w:t>7. Borders, Radius, Elevation, and Surfaces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7324D"/>
            <w:tcMar>
              <w:top w:w="100" w:type="dxa"/>
              <w:start w:w="120" w:type="dxa"/>
              <w:bottom w:w="100" w:type="dxa"/>
              <w:end w:w="120" w:type="dxa"/>
            </w:tcMar>
            <w:vAlign w:val="center"/>
          </w:tcPr>
          <w:p>
            <w:pPr>
              <w:jc w:val="center"/>
            </w:pPr>
            <w:r>
              <w:rPr>
                <w:b/>
                <w:color w:val="FFFFFF"/>
                <w:sz w:val="18"/>
              </w:rPr>
              <w:t>Token</w:t>
            </w:r>
          </w:p>
        </w:tc>
        <w:tc>
          <w:tcPr>
            <w:tcW w:type="dxa" w:w="2015"/>
            <w:shd w:fill="17324D"/>
            <w:tcMar>
              <w:top w:w="100" w:type="dxa"/>
              <w:start w:w="120" w:type="dxa"/>
              <w:bottom w:w="100" w:type="dxa"/>
              <w:end w:w="120" w:type="dxa"/>
            </w:tcMar>
            <w:vAlign w:val="center"/>
          </w:tcPr>
          <w:p>
            <w:pPr>
              <w:jc w:val="center"/>
            </w:pPr>
            <w:r>
              <w:rPr>
                <w:b/>
                <w:color w:val="FFFFFF"/>
                <w:sz w:val="18"/>
              </w:rPr>
              <w:t>Baseline</w:t>
            </w:r>
          </w:p>
        </w:tc>
        <w:tc>
          <w:tcPr>
            <w:tcW w:type="dxa" w:w="5760"/>
            <w:shd w:fill="17324D"/>
            <w:tcMar>
              <w:top w:w="100" w:type="dxa"/>
              <w:start w:w="120" w:type="dxa"/>
              <w:bottom w:w="100" w:type="dxa"/>
              <w:end w:w="120" w:type="dxa"/>
            </w:tcMar>
            <w:vAlign w:val="center"/>
          </w:tcPr>
          <w:p>
            <w:pPr>
              <w:jc w:val="center"/>
            </w:pPr>
            <w:r>
              <w:rPr>
                <w:b/>
                <w:color w:val="FFFFFF"/>
                <w:sz w:val="18"/>
              </w:rPr>
              <w:t>Rule</w:t>
            </w:r>
          </w:p>
        </w:tc>
      </w:tr>
      <w:tr>
        <w:tc>
          <w:tcPr>
            <w:tcW w:type="dxa" w:w="2160"/>
            <w:tcMar>
              <w:top w:w="100" w:type="dxa"/>
              <w:start w:w="120" w:type="dxa"/>
              <w:bottom w:w="100" w:type="dxa"/>
              <w:end w:w="120" w:type="dxa"/>
            </w:tcMar>
            <w:vAlign w:val="center"/>
          </w:tcPr>
          <w:p>
            <w:pPr>
              <w:spacing w:after="0" w:line="240" w:lineRule="auto"/>
            </w:pPr>
            <w:r>
              <w:rPr>
                <w:color w:val="16212B"/>
                <w:sz w:val="18"/>
              </w:rPr>
              <w:t>radius.sm</w:t>
            </w:r>
          </w:p>
        </w:tc>
        <w:tc>
          <w:tcPr>
            <w:tcW w:type="dxa" w:w="2015"/>
            <w:tcMar>
              <w:top w:w="100" w:type="dxa"/>
              <w:start w:w="120" w:type="dxa"/>
              <w:bottom w:w="100" w:type="dxa"/>
              <w:end w:w="120" w:type="dxa"/>
            </w:tcMar>
            <w:vAlign w:val="center"/>
          </w:tcPr>
          <w:p>
            <w:pPr>
              <w:spacing w:after="0" w:line="240" w:lineRule="auto"/>
            </w:pPr>
            <w:r>
              <w:rPr>
                <w:color w:val="16212B"/>
                <w:sz w:val="18"/>
              </w:rPr>
              <w:t>4 px</w:t>
            </w:r>
          </w:p>
        </w:tc>
        <w:tc>
          <w:tcPr>
            <w:tcW w:type="dxa" w:w="5760"/>
            <w:tcMar>
              <w:top w:w="100" w:type="dxa"/>
              <w:start w:w="120" w:type="dxa"/>
              <w:bottom w:w="100" w:type="dxa"/>
              <w:end w:w="120" w:type="dxa"/>
            </w:tcMar>
            <w:vAlign w:val="center"/>
          </w:tcPr>
          <w:p>
            <w:pPr>
              <w:spacing w:after="0" w:line="240" w:lineRule="auto"/>
            </w:pPr>
            <w:r>
              <w:rPr>
                <w:color w:val="16212B"/>
                <w:sz w:val="18"/>
              </w:rPr>
              <w:t>Inputs, chips, compact controls</w:t>
            </w:r>
          </w:p>
        </w:tc>
      </w:tr>
      <w:tr>
        <w:tc>
          <w:tcPr>
            <w:tcW w:type="dxa" w:w="2160"/>
            <w:tcMar>
              <w:top w:w="100" w:type="dxa"/>
              <w:start w:w="120" w:type="dxa"/>
              <w:bottom w:w="100" w:type="dxa"/>
              <w:end w:w="120" w:type="dxa"/>
            </w:tcMar>
            <w:vAlign w:val="center"/>
          </w:tcPr>
          <w:p>
            <w:pPr>
              <w:spacing w:after="0" w:line="240" w:lineRule="auto"/>
            </w:pPr>
            <w:r>
              <w:rPr>
                <w:color w:val="16212B"/>
                <w:sz w:val="18"/>
              </w:rPr>
              <w:t>radius.md</w:t>
            </w:r>
          </w:p>
        </w:tc>
        <w:tc>
          <w:tcPr>
            <w:tcW w:type="dxa" w:w="2015"/>
            <w:tcMar>
              <w:top w:w="100" w:type="dxa"/>
              <w:start w:w="120" w:type="dxa"/>
              <w:bottom w:w="100" w:type="dxa"/>
              <w:end w:w="120" w:type="dxa"/>
            </w:tcMar>
            <w:vAlign w:val="center"/>
          </w:tcPr>
          <w:p>
            <w:pPr>
              <w:spacing w:after="0" w:line="240" w:lineRule="auto"/>
            </w:pPr>
            <w:r>
              <w:rPr>
                <w:color w:val="16212B"/>
                <w:sz w:val="18"/>
              </w:rPr>
              <w:t>8 px</w:t>
            </w:r>
          </w:p>
        </w:tc>
        <w:tc>
          <w:tcPr>
            <w:tcW w:type="dxa" w:w="5760"/>
            <w:tcMar>
              <w:top w:w="100" w:type="dxa"/>
              <w:start w:w="120" w:type="dxa"/>
              <w:bottom w:w="100" w:type="dxa"/>
              <w:end w:w="120" w:type="dxa"/>
            </w:tcMar>
            <w:vAlign w:val="center"/>
          </w:tcPr>
          <w:p>
            <w:pPr>
              <w:spacing w:after="0" w:line="240" w:lineRule="auto"/>
            </w:pPr>
            <w:r>
              <w:rPr>
                <w:color w:val="16212B"/>
                <w:sz w:val="18"/>
              </w:rPr>
              <w:t>Cards, panels, menus</w:t>
            </w:r>
          </w:p>
        </w:tc>
      </w:tr>
      <w:tr>
        <w:tc>
          <w:tcPr>
            <w:tcW w:type="dxa" w:w="2160"/>
            <w:tcMar>
              <w:top w:w="100" w:type="dxa"/>
              <w:start w:w="120" w:type="dxa"/>
              <w:bottom w:w="100" w:type="dxa"/>
              <w:end w:w="120" w:type="dxa"/>
            </w:tcMar>
            <w:vAlign w:val="center"/>
          </w:tcPr>
          <w:p>
            <w:pPr>
              <w:spacing w:after="0" w:line="240" w:lineRule="auto"/>
            </w:pPr>
            <w:r>
              <w:rPr>
                <w:color w:val="16212B"/>
                <w:sz w:val="18"/>
              </w:rPr>
              <w:t>radius.lg</w:t>
            </w:r>
          </w:p>
        </w:tc>
        <w:tc>
          <w:tcPr>
            <w:tcW w:type="dxa" w:w="2015"/>
            <w:tcMar>
              <w:top w:w="100" w:type="dxa"/>
              <w:start w:w="120" w:type="dxa"/>
              <w:bottom w:w="100" w:type="dxa"/>
              <w:end w:w="120" w:type="dxa"/>
            </w:tcMar>
            <w:vAlign w:val="center"/>
          </w:tcPr>
          <w:p>
            <w:pPr>
              <w:spacing w:after="0" w:line="240" w:lineRule="auto"/>
            </w:pPr>
            <w:r>
              <w:rPr>
                <w:color w:val="16212B"/>
                <w:sz w:val="18"/>
              </w:rPr>
              <w:t>12 px</w:t>
            </w:r>
          </w:p>
        </w:tc>
        <w:tc>
          <w:tcPr>
            <w:tcW w:type="dxa" w:w="5760"/>
            <w:tcMar>
              <w:top w:w="100" w:type="dxa"/>
              <w:start w:w="120" w:type="dxa"/>
              <w:bottom w:w="100" w:type="dxa"/>
              <w:end w:w="120" w:type="dxa"/>
            </w:tcMar>
            <w:vAlign w:val="center"/>
          </w:tcPr>
          <w:p>
            <w:pPr>
              <w:spacing w:after="0" w:line="240" w:lineRule="auto"/>
            </w:pPr>
            <w:r>
              <w:rPr>
                <w:color w:val="16212B"/>
                <w:sz w:val="18"/>
              </w:rPr>
              <w:t>Large dialogs/sheets only</w:t>
            </w:r>
          </w:p>
        </w:tc>
      </w:tr>
      <w:tr>
        <w:tc>
          <w:tcPr>
            <w:tcW w:type="dxa" w:w="2160"/>
            <w:tcMar>
              <w:top w:w="100" w:type="dxa"/>
              <w:start w:w="120" w:type="dxa"/>
              <w:bottom w:w="100" w:type="dxa"/>
              <w:end w:w="120" w:type="dxa"/>
            </w:tcMar>
            <w:vAlign w:val="center"/>
          </w:tcPr>
          <w:p>
            <w:pPr>
              <w:spacing w:after="0" w:line="240" w:lineRule="auto"/>
            </w:pPr>
            <w:r>
              <w:rPr>
                <w:color w:val="16212B"/>
                <w:sz w:val="18"/>
              </w:rPr>
              <w:t>border.default</w:t>
            </w:r>
          </w:p>
        </w:tc>
        <w:tc>
          <w:tcPr>
            <w:tcW w:type="dxa" w:w="2015"/>
            <w:tcMar>
              <w:top w:w="100" w:type="dxa"/>
              <w:start w:w="120" w:type="dxa"/>
              <w:bottom w:w="100" w:type="dxa"/>
              <w:end w:w="120" w:type="dxa"/>
            </w:tcMar>
            <w:vAlign w:val="center"/>
          </w:tcPr>
          <w:p>
            <w:pPr>
              <w:spacing w:after="0" w:line="240" w:lineRule="auto"/>
            </w:pPr>
            <w:r>
              <w:rPr>
                <w:color w:val="16212B"/>
                <w:sz w:val="18"/>
              </w:rPr>
              <w:t>1 px</w:t>
            </w:r>
          </w:p>
        </w:tc>
        <w:tc>
          <w:tcPr>
            <w:tcW w:type="dxa" w:w="5760"/>
            <w:tcMar>
              <w:top w:w="100" w:type="dxa"/>
              <w:start w:w="120" w:type="dxa"/>
              <w:bottom w:w="100" w:type="dxa"/>
              <w:end w:w="120" w:type="dxa"/>
            </w:tcMar>
            <w:vAlign w:val="center"/>
          </w:tcPr>
          <w:p>
            <w:pPr>
              <w:spacing w:after="0" w:line="240" w:lineRule="auto"/>
            </w:pPr>
            <w:r>
              <w:rPr>
                <w:color w:val="16212B"/>
                <w:sz w:val="18"/>
              </w:rPr>
              <w:t>Neutral structural separation</w:t>
            </w:r>
          </w:p>
        </w:tc>
      </w:tr>
      <w:tr>
        <w:tc>
          <w:tcPr>
            <w:tcW w:type="dxa" w:w="2160"/>
            <w:tcMar>
              <w:top w:w="100" w:type="dxa"/>
              <w:start w:w="120" w:type="dxa"/>
              <w:bottom w:w="100" w:type="dxa"/>
              <w:end w:w="120" w:type="dxa"/>
            </w:tcMar>
            <w:vAlign w:val="center"/>
          </w:tcPr>
          <w:p>
            <w:pPr>
              <w:spacing w:after="0" w:line="240" w:lineRule="auto"/>
            </w:pPr>
            <w:r>
              <w:rPr>
                <w:color w:val="16212B"/>
                <w:sz w:val="18"/>
              </w:rPr>
              <w:t>elevation.1</w:t>
            </w:r>
          </w:p>
        </w:tc>
        <w:tc>
          <w:tcPr>
            <w:tcW w:type="dxa" w:w="2015"/>
            <w:tcMar>
              <w:top w:w="100" w:type="dxa"/>
              <w:start w:w="120" w:type="dxa"/>
              <w:bottom w:w="100" w:type="dxa"/>
              <w:end w:w="120" w:type="dxa"/>
            </w:tcMar>
            <w:vAlign w:val="center"/>
          </w:tcPr>
          <w:p>
            <w:pPr>
              <w:spacing w:after="0" w:line="240" w:lineRule="auto"/>
            </w:pPr>
            <w:r>
              <w:rPr>
                <w:color w:val="16212B"/>
                <w:sz w:val="18"/>
              </w:rPr>
              <w:t>Subtle shadow</w:t>
            </w:r>
          </w:p>
        </w:tc>
        <w:tc>
          <w:tcPr>
            <w:tcW w:type="dxa" w:w="5760"/>
            <w:tcMar>
              <w:top w:w="100" w:type="dxa"/>
              <w:start w:w="120" w:type="dxa"/>
              <w:bottom w:w="100" w:type="dxa"/>
              <w:end w:w="120" w:type="dxa"/>
            </w:tcMar>
            <w:vAlign w:val="center"/>
          </w:tcPr>
          <w:p>
            <w:pPr>
              <w:spacing w:after="0" w:line="240" w:lineRule="auto"/>
            </w:pPr>
            <w:r>
              <w:rPr>
                <w:color w:val="16212B"/>
                <w:sz w:val="18"/>
              </w:rPr>
              <w:t>Floating menus/tooltips</w:t>
            </w:r>
          </w:p>
        </w:tc>
      </w:tr>
      <w:tr>
        <w:tc>
          <w:tcPr>
            <w:tcW w:type="dxa" w:w="2160"/>
            <w:tcMar>
              <w:top w:w="100" w:type="dxa"/>
              <w:start w:w="120" w:type="dxa"/>
              <w:bottom w:w="100" w:type="dxa"/>
              <w:end w:w="120" w:type="dxa"/>
            </w:tcMar>
            <w:vAlign w:val="center"/>
          </w:tcPr>
          <w:p>
            <w:pPr>
              <w:spacing w:after="0" w:line="240" w:lineRule="auto"/>
            </w:pPr>
            <w:r>
              <w:rPr>
                <w:color w:val="16212B"/>
                <w:sz w:val="18"/>
              </w:rPr>
              <w:t>elevation.2</w:t>
            </w:r>
          </w:p>
        </w:tc>
        <w:tc>
          <w:tcPr>
            <w:tcW w:type="dxa" w:w="2015"/>
            <w:tcMar>
              <w:top w:w="100" w:type="dxa"/>
              <w:start w:w="120" w:type="dxa"/>
              <w:bottom w:w="100" w:type="dxa"/>
              <w:end w:w="120" w:type="dxa"/>
            </w:tcMar>
            <w:vAlign w:val="center"/>
          </w:tcPr>
          <w:p>
            <w:pPr>
              <w:spacing w:after="0" w:line="240" w:lineRule="auto"/>
            </w:pPr>
            <w:r>
              <w:rPr>
                <w:color w:val="16212B"/>
                <w:sz w:val="18"/>
              </w:rPr>
              <w:t>Moderate shadow</w:t>
            </w:r>
          </w:p>
        </w:tc>
        <w:tc>
          <w:tcPr>
            <w:tcW w:type="dxa" w:w="5760"/>
            <w:tcMar>
              <w:top w:w="100" w:type="dxa"/>
              <w:start w:w="120" w:type="dxa"/>
              <w:bottom w:w="100" w:type="dxa"/>
              <w:end w:w="120" w:type="dxa"/>
            </w:tcMar>
            <w:vAlign w:val="center"/>
          </w:tcPr>
          <w:p>
            <w:pPr>
              <w:spacing w:after="0" w:line="240" w:lineRule="auto"/>
            </w:pPr>
            <w:r>
              <w:rPr>
                <w:color w:val="16212B"/>
                <w:sz w:val="18"/>
              </w:rPr>
              <w:t>Modal/dialog only</w:t>
            </w:r>
          </w:p>
        </w:tc>
      </w:tr>
      <w:tr>
        <w:tc>
          <w:tcPr>
            <w:tcW w:type="dxa" w:w="2160"/>
            <w:tcMar>
              <w:top w:w="100" w:type="dxa"/>
              <w:start w:w="120" w:type="dxa"/>
              <w:bottom w:w="100" w:type="dxa"/>
              <w:end w:w="120" w:type="dxa"/>
            </w:tcMar>
            <w:vAlign w:val="center"/>
          </w:tcPr>
          <w:p>
            <w:pPr>
              <w:spacing w:after="0" w:line="240" w:lineRule="auto"/>
            </w:pPr>
            <w:r>
              <w:rPr>
                <w:color w:val="16212B"/>
                <w:sz w:val="18"/>
              </w:rPr>
              <w:t>surface.canvas</w:t>
            </w:r>
          </w:p>
        </w:tc>
        <w:tc>
          <w:tcPr>
            <w:tcW w:type="dxa" w:w="2015"/>
            <w:tcMar>
              <w:top w:w="100" w:type="dxa"/>
              <w:start w:w="120" w:type="dxa"/>
              <w:bottom w:w="100" w:type="dxa"/>
              <w:end w:w="120" w:type="dxa"/>
            </w:tcMar>
            <w:vAlign w:val="center"/>
          </w:tcPr>
          <w:p>
            <w:pPr>
              <w:spacing w:after="0" w:line="240" w:lineRule="auto"/>
            </w:pPr>
            <w:r>
              <w:rPr>
                <w:color w:val="16212B"/>
                <w:sz w:val="18"/>
              </w:rPr>
              <w:t>Very light neutral</w:t>
            </w:r>
          </w:p>
        </w:tc>
        <w:tc>
          <w:tcPr>
            <w:tcW w:type="dxa" w:w="5760"/>
            <w:tcMar>
              <w:top w:w="100" w:type="dxa"/>
              <w:start w:w="120" w:type="dxa"/>
              <w:bottom w:w="100" w:type="dxa"/>
              <w:end w:w="120" w:type="dxa"/>
            </w:tcMar>
            <w:vAlign w:val="center"/>
          </w:tcPr>
          <w:p>
            <w:pPr>
              <w:spacing w:after="0" w:line="240" w:lineRule="auto"/>
            </w:pPr>
            <w:r>
              <w:rPr>
                <w:color w:val="16212B"/>
                <w:sz w:val="18"/>
              </w:rPr>
              <w:t>App background</w:t>
            </w:r>
          </w:p>
        </w:tc>
      </w:tr>
      <w:tr>
        <w:tc>
          <w:tcPr>
            <w:tcW w:type="dxa" w:w="2160"/>
            <w:tcMar>
              <w:top w:w="100" w:type="dxa"/>
              <w:start w:w="120" w:type="dxa"/>
              <w:bottom w:w="100" w:type="dxa"/>
              <w:end w:w="120" w:type="dxa"/>
            </w:tcMar>
            <w:vAlign w:val="center"/>
          </w:tcPr>
          <w:p>
            <w:pPr>
              <w:spacing w:after="0" w:line="240" w:lineRule="auto"/>
            </w:pPr>
            <w:r>
              <w:rPr>
                <w:color w:val="16212B"/>
                <w:sz w:val="18"/>
              </w:rPr>
              <w:t>surface.panel</w:t>
            </w:r>
          </w:p>
        </w:tc>
        <w:tc>
          <w:tcPr>
            <w:tcW w:type="dxa" w:w="2015"/>
            <w:tcMar>
              <w:top w:w="100" w:type="dxa"/>
              <w:start w:w="120" w:type="dxa"/>
              <w:bottom w:w="100" w:type="dxa"/>
              <w:end w:w="120" w:type="dxa"/>
            </w:tcMar>
            <w:vAlign w:val="center"/>
          </w:tcPr>
          <w:p>
            <w:pPr>
              <w:spacing w:after="0" w:line="240" w:lineRule="auto"/>
            </w:pPr>
            <w:r>
              <w:rPr>
                <w:color w:val="16212B"/>
                <w:sz w:val="18"/>
              </w:rPr>
              <w:t>White</w:t>
            </w:r>
          </w:p>
        </w:tc>
        <w:tc>
          <w:tcPr>
            <w:tcW w:type="dxa" w:w="5760"/>
            <w:tcMar>
              <w:top w:w="100" w:type="dxa"/>
              <w:start w:w="120" w:type="dxa"/>
              <w:bottom w:w="100" w:type="dxa"/>
              <w:end w:w="120" w:type="dxa"/>
            </w:tcMar>
            <w:vAlign w:val="center"/>
          </w:tcPr>
          <w:p>
            <w:pPr>
              <w:spacing w:after="0" w:line="240" w:lineRule="auto"/>
            </w:pPr>
            <w:r>
              <w:rPr>
                <w:color w:val="16212B"/>
                <w:sz w:val="18"/>
              </w:rPr>
              <w:t>Primary workspace panels</w:t>
            </w:r>
          </w:p>
        </w:tc>
      </w:tr>
      <w:tr>
        <w:tc>
          <w:tcPr>
            <w:tcW w:type="dxa" w:w="2160"/>
            <w:tcMar>
              <w:top w:w="100" w:type="dxa"/>
              <w:start w:w="120" w:type="dxa"/>
              <w:bottom w:w="100" w:type="dxa"/>
              <w:end w:w="120" w:type="dxa"/>
            </w:tcMar>
            <w:vAlign w:val="center"/>
          </w:tcPr>
          <w:p>
            <w:pPr>
              <w:spacing w:after="0" w:line="240" w:lineRule="auto"/>
            </w:pPr>
            <w:r>
              <w:rPr>
                <w:color w:val="16212B"/>
                <w:sz w:val="18"/>
              </w:rPr>
              <w:t>surface.subtle</w:t>
            </w:r>
          </w:p>
        </w:tc>
        <w:tc>
          <w:tcPr>
            <w:tcW w:type="dxa" w:w="2015"/>
            <w:tcMar>
              <w:top w:w="100" w:type="dxa"/>
              <w:start w:w="120" w:type="dxa"/>
              <w:bottom w:w="100" w:type="dxa"/>
              <w:end w:w="120" w:type="dxa"/>
            </w:tcMar>
            <w:vAlign w:val="center"/>
          </w:tcPr>
          <w:p>
            <w:pPr>
              <w:spacing w:after="0" w:line="240" w:lineRule="auto"/>
            </w:pPr>
            <w:r>
              <w:rPr>
                <w:color w:val="16212B"/>
                <w:sz w:val="18"/>
              </w:rPr>
              <w:t>Light neutral</w:t>
            </w:r>
          </w:p>
        </w:tc>
        <w:tc>
          <w:tcPr>
            <w:tcW w:type="dxa" w:w="5760"/>
            <w:tcMar>
              <w:top w:w="100" w:type="dxa"/>
              <w:start w:w="120" w:type="dxa"/>
              <w:bottom w:w="100" w:type="dxa"/>
              <w:end w:w="120" w:type="dxa"/>
            </w:tcMar>
            <w:vAlign w:val="center"/>
          </w:tcPr>
          <w:p>
            <w:pPr>
              <w:spacing w:after="0" w:line="240" w:lineRule="auto"/>
            </w:pPr>
            <w:r>
              <w:rPr>
                <w:color w:val="16212B"/>
                <w:sz w:val="18"/>
              </w:rPr>
              <w:t>Grouped metadata/read-only regions</w:t>
            </w:r>
          </w:p>
        </w:tc>
      </w:tr>
    </w:tbl>
    <w:p>
      <w:pPr>
        <w:spacing w:after="0"/>
      </w:pPr>
    </w:p>
    <w:p>
      <w:pPr>
        <w:spacing w:after="100" w:line="269" w:lineRule="auto"/>
      </w:pPr>
      <w:r>
        <w:rPr>
          <w:sz w:val="21"/>
        </w:rPr>
        <w:t>Persistent cards SHOULD rely more on borders and spacing than on heavy shadows. Excessive elevation is discouraged because the interface is a professional evidence workspace, not a consumer dashboard.</w:t>
      </w:r>
    </w:p>
    <w:p>
      <w:pPr>
        <w:pStyle w:val="Heading1"/>
      </w:pPr>
      <w:r>
        <w:t>8. Iconography</w:t>
      </w:r>
    </w:p>
    <w:p>
      <w:pPr>
        <w:pStyle w:val="ListBullet"/>
        <w:spacing w:after="40" w:line="259" w:lineRule="auto"/>
      </w:pPr>
      <w:r>
        <w:rPr>
          <w:sz w:val="20"/>
        </w:rPr>
        <w:t>Icons SHALL have a text label or accessible name when they invoke actions.</w:t>
      </w:r>
    </w:p>
    <w:p>
      <w:pPr>
        <w:pStyle w:val="ListBullet"/>
        <w:spacing w:after="40" w:line="259" w:lineRule="auto"/>
      </w:pPr>
      <w:r>
        <w:rPr>
          <w:sz w:val="20"/>
        </w:rPr>
        <w:t>Icon shape SHALL NOT be the only carrier of analytical meaning where confusion is plausible.</w:t>
      </w:r>
    </w:p>
    <w:p>
      <w:pPr>
        <w:pStyle w:val="ListBullet"/>
        <w:spacing w:after="40" w:line="259" w:lineRule="auto"/>
      </w:pPr>
      <w:r>
        <w:rPr>
          <w:sz w:val="20"/>
        </w:rPr>
        <w:t>Use a single icon family with consistent stroke weight.</w:t>
      </w:r>
    </w:p>
    <w:p>
      <w:pPr>
        <w:pStyle w:val="ListBullet"/>
        <w:spacing w:after="40" w:line="259" w:lineRule="auto"/>
      </w:pPr>
      <w:r>
        <w:rPr>
          <w:sz w:val="20"/>
        </w:rPr>
        <w:t>Avoid law-enforcement symbolism (handcuffs, targets, crosshairs) as default analytical icons.</w:t>
      </w:r>
    </w:p>
    <w:p>
      <w:pPr>
        <w:pStyle w:val="ListBullet"/>
        <w:spacing w:after="40" w:line="259" w:lineRule="auto"/>
      </w:pPr>
      <w:r>
        <w:rPr>
          <w:sz w:val="20"/>
        </w:rPr>
        <w:t>Entity-type icons MAY distinguish person, organisation, company, asset, account, wallet, address, contract, and project, but SHALL NOT imply adverse status.</w:t>
      </w:r>
    </w:p>
    <w:p>
      <w:pPr>
        <w:pStyle w:val="Heading1"/>
      </w:pPr>
      <w:r>
        <w:t>9. Interactive State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24D"/>
            <w:tcMar>
              <w:top w:w="100" w:type="dxa"/>
              <w:start w:w="120" w:type="dxa"/>
              <w:bottom w:w="100" w:type="dxa"/>
              <w:end w:w="120" w:type="dxa"/>
            </w:tcMar>
            <w:vAlign w:val="center"/>
          </w:tcPr>
          <w:p>
            <w:pPr>
              <w:jc w:val="center"/>
            </w:pPr>
            <w:r>
              <w:rPr>
                <w:b/>
                <w:color w:val="FFFFFF"/>
                <w:sz w:val="17"/>
              </w:rPr>
              <w:t>State</w:t>
            </w:r>
          </w:p>
        </w:tc>
        <w:tc>
          <w:tcPr>
            <w:tcW w:type="dxa" w:w="4464"/>
            <w:shd w:fill="17324D"/>
            <w:tcMar>
              <w:top w:w="100" w:type="dxa"/>
              <w:start w:w="120" w:type="dxa"/>
              <w:bottom w:w="100" w:type="dxa"/>
              <w:end w:w="120" w:type="dxa"/>
            </w:tcMar>
            <w:vAlign w:val="center"/>
          </w:tcPr>
          <w:p>
            <w:pPr>
              <w:jc w:val="center"/>
            </w:pPr>
            <w:r>
              <w:rPr>
                <w:b/>
                <w:color w:val="FFFFFF"/>
                <w:sz w:val="17"/>
              </w:rPr>
              <w:t>Visual requirements</w:t>
            </w:r>
          </w:p>
        </w:tc>
        <w:tc>
          <w:tcPr>
            <w:tcW w:type="dxa" w:w="3744"/>
            <w:shd w:fill="17324D"/>
            <w:tcMar>
              <w:top w:w="100" w:type="dxa"/>
              <w:start w:w="120" w:type="dxa"/>
              <w:bottom w:w="100" w:type="dxa"/>
              <w:end w:w="120" w:type="dxa"/>
            </w:tcMar>
            <w:vAlign w:val="center"/>
          </w:tcPr>
          <w:p>
            <w:pPr>
              <w:jc w:val="center"/>
            </w:pPr>
            <w:r>
              <w:rPr>
                <w:b/>
                <w:color w:val="FFFFFF"/>
                <w:sz w:val="17"/>
              </w:rPr>
              <w:t>Accessibility</w:t>
            </w:r>
          </w:p>
        </w:tc>
      </w:tr>
      <w:tr>
        <w:tc>
          <w:tcPr>
            <w:tcW w:type="dxa" w:w="1728"/>
            <w:tcMar>
              <w:top w:w="100" w:type="dxa"/>
              <w:start w:w="120" w:type="dxa"/>
              <w:bottom w:w="100" w:type="dxa"/>
              <w:end w:w="120" w:type="dxa"/>
            </w:tcMar>
            <w:vAlign w:val="center"/>
          </w:tcPr>
          <w:p>
            <w:pPr>
              <w:spacing w:after="0" w:line="240" w:lineRule="auto"/>
            </w:pPr>
            <w:r>
              <w:rPr>
                <w:color w:val="16212B"/>
                <w:sz w:val="17"/>
              </w:rPr>
              <w:t>Default</w:t>
            </w:r>
          </w:p>
        </w:tc>
        <w:tc>
          <w:tcPr>
            <w:tcW w:type="dxa" w:w="4464"/>
            <w:tcMar>
              <w:top w:w="100" w:type="dxa"/>
              <w:start w:w="120" w:type="dxa"/>
              <w:bottom w:w="100" w:type="dxa"/>
              <w:end w:w="120" w:type="dxa"/>
            </w:tcMar>
            <w:vAlign w:val="center"/>
          </w:tcPr>
          <w:p>
            <w:pPr>
              <w:spacing w:after="0" w:line="240" w:lineRule="auto"/>
            </w:pPr>
            <w:r>
              <w:rPr>
                <w:color w:val="16212B"/>
                <w:sz w:val="17"/>
              </w:rPr>
              <w:t>Normal surface/border/text</w:t>
            </w:r>
          </w:p>
        </w:tc>
        <w:tc>
          <w:tcPr>
            <w:tcW w:type="dxa" w:w="3744"/>
            <w:tcMar>
              <w:top w:w="100" w:type="dxa"/>
              <w:start w:w="120" w:type="dxa"/>
              <w:bottom w:w="100" w:type="dxa"/>
              <w:end w:w="120" w:type="dxa"/>
            </w:tcMar>
            <w:vAlign w:val="center"/>
          </w:tcPr>
          <w:p>
            <w:pPr>
              <w:spacing w:after="0" w:line="240" w:lineRule="auto"/>
            </w:pPr>
            <w:r>
              <w:rPr>
                <w:color w:val="16212B"/>
                <w:sz w:val="17"/>
              </w:rPr>
              <w:t>Normal accessible name</w:t>
            </w:r>
          </w:p>
        </w:tc>
      </w:tr>
      <w:tr>
        <w:tc>
          <w:tcPr>
            <w:tcW w:type="dxa" w:w="1728"/>
            <w:tcMar>
              <w:top w:w="100" w:type="dxa"/>
              <w:start w:w="120" w:type="dxa"/>
              <w:bottom w:w="100" w:type="dxa"/>
              <w:end w:w="120" w:type="dxa"/>
            </w:tcMar>
            <w:vAlign w:val="center"/>
          </w:tcPr>
          <w:p>
            <w:pPr>
              <w:spacing w:after="0" w:line="240" w:lineRule="auto"/>
            </w:pPr>
            <w:r>
              <w:rPr>
                <w:color w:val="16212B"/>
                <w:sz w:val="17"/>
              </w:rPr>
              <w:t>Hover</w:t>
            </w:r>
          </w:p>
        </w:tc>
        <w:tc>
          <w:tcPr>
            <w:tcW w:type="dxa" w:w="4464"/>
            <w:tcMar>
              <w:top w:w="100" w:type="dxa"/>
              <w:start w:w="120" w:type="dxa"/>
              <w:bottom w:w="100" w:type="dxa"/>
              <w:end w:w="120" w:type="dxa"/>
            </w:tcMar>
            <w:vAlign w:val="center"/>
          </w:tcPr>
          <w:p>
            <w:pPr>
              <w:spacing w:after="0" w:line="240" w:lineRule="auto"/>
            </w:pPr>
            <w:r>
              <w:rPr>
                <w:color w:val="16212B"/>
                <w:sz w:val="17"/>
              </w:rPr>
              <w:t>Subtle surface/border change</w:t>
            </w:r>
          </w:p>
        </w:tc>
        <w:tc>
          <w:tcPr>
            <w:tcW w:type="dxa" w:w="3744"/>
            <w:tcMar>
              <w:top w:w="100" w:type="dxa"/>
              <w:start w:w="120" w:type="dxa"/>
              <w:bottom w:w="100" w:type="dxa"/>
              <w:end w:w="120" w:type="dxa"/>
            </w:tcMar>
            <w:vAlign w:val="center"/>
          </w:tcPr>
          <w:p>
            <w:pPr>
              <w:spacing w:after="0" w:line="240" w:lineRule="auto"/>
            </w:pPr>
            <w:r>
              <w:rPr>
                <w:color w:val="16212B"/>
                <w:sz w:val="17"/>
              </w:rPr>
              <w:t>Never only indication of availability</w:t>
            </w:r>
          </w:p>
        </w:tc>
      </w:tr>
      <w:tr>
        <w:tc>
          <w:tcPr>
            <w:tcW w:type="dxa" w:w="1728"/>
            <w:tcMar>
              <w:top w:w="100" w:type="dxa"/>
              <w:start w:w="120" w:type="dxa"/>
              <w:bottom w:w="100" w:type="dxa"/>
              <w:end w:w="120" w:type="dxa"/>
            </w:tcMar>
            <w:vAlign w:val="center"/>
          </w:tcPr>
          <w:p>
            <w:pPr>
              <w:spacing w:after="0" w:line="240" w:lineRule="auto"/>
            </w:pPr>
            <w:r>
              <w:rPr>
                <w:color w:val="16212B"/>
                <w:sz w:val="17"/>
              </w:rPr>
              <w:t>Focus</w:t>
            </w:r>
          </w:p>
        </w:tc>
        <w:tc>
          <w:tcPr>
            <w:tcW w:type="dxa" w:w="4464"/>
            <w:tcMar>
              <w:top w:w="100" w:type="dxa"/>
              <w:start w:w="120" w:type="dxa"/>
              <w:bottom w:w="100" w:type="dxa"/>
              <w:end w:w="120" w:type="dxa"/>
            </w:tcMar>
            <w:vAlign w:val="center"/>
          </w:tcPr>
          <w:p>
            <w:pPr>
              <w:spacing w:after="0" w:line="240" w:lineRule="auto"/>
            </w:pPr>
            <w:r>
              <w:rPr>
                <w:color w:val="16212B"/>
                <w:sz w:val="17"/>
              </w:rPr>
              <w:t>High-contrast focus ring</w:t>
            </w:r>
          </w:p>
        </w:tc>
        <w:tc>
          <w:tcPr>
            <w:tcW w:type="dxa" w:w="3744"/>
            <w:tcMar>
              <w:top w:w="100" w:type="dxa"/>
              <w:start w:w="120" w:type="dxa"/>
              <w:bottom w:w="100" w:type="dxa"/>
              <w:end w:w="120" w:type="dxa"/>
            </w:tcMar>
            <w:vAlign w:val="center"/>
          </w:tcPr>
          <w:p>
            <w:pPr>
              <w:spacing w:after="0" w:line="240" w:lineRule="auto"/>
            </w:pPr>
            <w:r>
              <w:rPr>
                <w:color w:val="16212B"/>
                <w:sz w:val="17"/>
              </w:rPr>
              <w:t>Visible for keyboard focus; not removed</w:t>
            </w:r>
          </w:p>
        </w:tc>
      </w:tr>
      <w:tr>
        <w:tc>
          <w:tcPr>
            <w:tcW w:type="dxa" w:w="1728"/>
            <w:tcMar>
              <w:top w:w="100" w:type="dxa"/>
              <w:start w:w="120" w:type="dxa"/>
              <w:bottom w:w="100" w:type="dxa"/>
              <w:end w:w="120" w:type="dxa"/>
            </w:tcMar>
            <w:vAlign w:val="center"/>
          </w:tcPr>
          <w:p>
            <w:pPr>
              <w:spacing w:after="0" w:line="240" w:lineRule="auto"/>
            </w:pPr>
            <w:r>
              <w:rPr>
                <w:color w:val="16212B"/>
                <w:sz w:val="17"/>
              </w:rPr>
              <w:t>Active/selected</w:t>
            </w:r>
          </w:p>
        </w:tc>
        <w:tc>
          <w:tcPr>
            <w:tcW w:type="dxa" w:w="4464"/>
            <w:tcMar>
              <w:top w:w="100" w:type="dxa"/>
              <w:start w:w="120" w:type="dxa"/>
              <w:bottom w:w="100" w:type="dxa"/>
              <w:end w:w="120" w:type="dxa"/>
            </w:tcMar>
            <w:vAlign w:val="center"/>
          </w:tcPr>
          <w:p>
            <w:pPr>
              <w:spacing w:after="0" w:line="240" w:lineRule="auto"/>
            </w:pPr>
            <w:r>
              <w:rPr>
                <w:color w:val="16212B"/>
                <w:sz w:val="17"/>
              </w:rPr>
              <w:t>Persistent border/fill + selected indicator</w:t>
            </w:r>
          </w:p>
        </w:tc>
        <w:tc>
          <w:tcPr>
            <w:tcW w:type="dxa" w:w="3744"/>
            <w:tcMar>
              <w:top w:w="100" w:type="dxa"/>
              <w:start w:w="120" w:type="dxa"/>
              <w:bottom w:w="100" w:type="dxa"/>
              <w:end w:w="120" w:type="dxa"/>
            </w:tcMar>
            <w:vAlign w:val="center"/>
          </w:tcPr>
          <w:p>
            <w:pPr>
              <w:spacing w:after="0" w:line="240" w:lineRule="auto"/>
            </w:pPr>
            <w:r>
              <w:rPr>
                <w:color w:val="16212B"/>
                <w:sz w:val="17"/>
              </w:rPr>
              <w:t>aria-selected/pressed where applicable</w:t>
            </w:r>
          </w:p>
        </w:tc>
      </w:tr>
      <w:tr>
        <w:tc>
          <w:tcPr>
            <w:tcW w:type="dxa" w:w="1728"/>
            <w:tcMar>
              <w:top w:w="100" w:type="dxa"/>
              <w:start w:w="120" w:type="dxa"/>
              <w:bottom w:w="100" w:type="dxa"/>
              <w:end w:w="120" w:type="dxa"/>
            </w:tcMar>
            <w:vAlign w:val="center"/>
          </w:tcPr>
          <w:p>
            <w:pPr>
              <w:spacing w:after="0" w:line="240" w:lineRule="auto"/>
            </w:pPr>
            <w:r>
              <w:rPr>
                <w:color w:val="16212B"/>
                <w:sz w:val="17"/>
              </w:rPr>
              <w:t>Disabled</w:t>
            </w:r>
          </w:p>
        </w:tc>
        <w:tc>
          <w:tcPr>
            <w:tcW w:type="dxa" w:w="4464"/>
            <w:tcMar>
              <w:top w:w="100" w:type="dxa"/>
              <w:start w:w="120" w:type="dxa"/>
              <w:bottom w:w="100" w:type="dxa"/>
              <w:end w:w="120" w:type="dxa"/>
            </w:tcMar>
            <w:vAlign w:val="center"/>
          </w:tcPr>
          <w:p>
            <w:pPr>
              <w:spacing w:after="0" w:line="240" w:lineRule="auto"/>
            </w:pPr>
            <w:r>
              <w:rPr>
                <w:color w:val="16212B"/>
                <w:sz w:val="17"/>
              </w:rPr>
              <w:t>Reduced emphasis but readable</w:t>
            </w:r>
          </w:p>
        </w:tc>
        <w:tc>
          <w:tcPr>
            <w:tcW w:type="dxa" w:w="3744"/>
            <w:tcMar>
              <w:top w:w="100" w:type="dxa"/>
              <w:start w:w="120" w:type="dxa"/>
              <w:bottom w:w="100" w:type="dxa"/>
              <w:end w:w="120" w:type="dxa"/>
            </w:tcMar>
            <w:vAlign w:val="center"/>
          </w:tcPr>
          <w:p>
            <w:pPr>
              <w:spacing w:after="0" w:line="240" w:lineRule="auto"/>
            </w:pPr>
            <w:r>
              <w:rPr>
                <w:color w:val="16212B"/>
                <w:sz w:val="17"/>
              </w:rPr>
              <w:t>Disabled reason available when useful</w:t>
            </w:r>
          </w:p>
        </w:tc>
      </w:tr>
      <w:tr>
        <w:tc>
          <w:tcPr>
            <w:tcW w:type="dxa" w:w="1728"/>
            <w:tcMar>
              <w:top w:w="100" w:type="dxa"/>
              <w:start w:w="120" w:type="dxa"/>
              <w:bottom w:w="100" w:type="dxa"/>
              <w:end w:w="120" w:type="dxa"/>
            </w:tcMar>
            <w:vAlign w:val="center"/>
          </w:tcPr>
          <w:p>
            <w:pPr>
              <w:spacing w:after="0" w:line="240" w:lineRule="auto"/>
            </w:pPr>
            <w:r>
              <w:rPr>
                <w:color w:val="16212B"/>
                <w:sz w:val="17"/>
              </w:rPr>
              <w:t>Loading</w:t>
            </w:r>
          </w:p>
        </w:tc>
        <w:tc>
          <w:tcPr>
            <w:tcW w:type="dxa" w:w="4464"/>
            <w:tcMar>
              <w:top w:w="100" w:type="dxa"/>
              <w:start w:w="120" w:type="dxa"/>
              <w:bottom w:w="100" w:type="dxa"/>
              <w:end w:w="120" w:type="dxa"/>
            </w:tcMar>
            <w:vAlign w:val="center"/>
          </w:tcPr>
          <w:p>
            <w:pPr>
              <w:spacing w:after="0" w:line="240" w:lineRule="auto"/>
            </w:pPr>
            <w:r>
              <w:rPr>
                <w:color w:val="16212B"/>
                <w:sz w:val="17"/>
              </w:rPr>
              <w:t>Skeleton/progress without layout jump</w:t>
            </w:r>
          </w:p>
        </w:tc>
        <w:tc>
          <w:tcPr>
            <w:tcW w:type="dxa" w:w="3744"/>
            <w:tcMar>
              <w:top w:w="100" w:type="dxa"/>
              <w:start w:w="120" w:type="dxa"/>
              <w:bottom w:w="100" w:type="dxa"/>
              <w:end w:w="120" w:type="dxa"/>
            </w:tcMar>
            <w:vAlign w:val="center"/>
          </w:tcPr>
          <w:p>
            <w:pPr>
              <w:spacing w:after="0" w:line="240" w:lineRule="auto"/>
            </w:pPr>
            <w:r>
              <w:rPr>
                <w:color w:val="16212B"/>
                <w:sz w:val="17"/>
              </w:rPr>
              <w:t>Announce long-running operations</w:t>
            </w:r>
          </w:p>
        </w:tc>
      </w:tr>
      <w:tr>
        <w:tc>
          <w:tcPr>
            <w:tcW w:type="dxa" w:w="1728"/>
            <w:tcMar>
              <w:top w:w="100" w:type="dxa"/>
              <w:start w:w="120" w:type="dxa"/>
              <w:bottom w:w="100" w:type="dxa"/>
              <w:end w:w="120" w:type="dxa"/>
            </w:tcMar>
            <w:vAlign w:val="center"/>
          </w:tcPr>
          <w:p>
            <w:pPr>
              <w:spacing w:after="0" w:line="240" w:lineRule="auto"/>
            </w:pPr>
            <w:r>
              <w:rPr>
                <w:color w:val="16212B"/>
                <w:sz w:val="17"/>
              </w:rPr>
              <w:t>Error</w:t>
            </w:r>
          </w:p>
        </w:tc>
        <w:tc>
          <w:tcPr>
            <w:tcW w:type="dxa" w:w="4464"/>
            <w:tcMar>
              <w:top w:w="100" w:type="dxa"/>
              <w:start w:w="120" w:type="dxa"/>
              <w:bottom w:w="100" w:type="dxa"/>
              <w:end w:w="120" w:type="dxa"/>
            </w:tcMar>
            <w:vAlign w:val="center"/>
          </w:tcPr>
          <w:p>
            <w:pPr>
              <w:spacing w:after="0" w:line="240" w:lineRule="auto"/>
            </w:pPr>
            <w:r>
              <w:rPr>
                <w:color w:val="16212B"/>
                <w:sz w:val="17"/>
              </w:rPr>
              <w:t>Error text + icon + field relationship</w:t>
            </w:r>
          </w:p>
        </w:tc>
        <w:tc>
          <w:tcPr>
            <w:tcW w:type="dxa" w:w="3744"/>
            <w:tcMar>
              <w:top w:w="100" w:type="dxa"/>
              <w:start w:w="120" w:type="dxa"/>
              <w:bottom w:w="100" w:type="dxa"/>
              <w:end w:w="120" w:type="dxa"/>
            </w:tcMar>
            <w:vAlign w:val="center"/>
          </w:tcPr>
          <w:p>
            <w:pPr>
              <w:spacing w:after="0" w:line="240" w:lineRule="auto"/>
            </w:pPr>
            <w:r>
              <w:rPr>
                <w:color w:val="16212B"/>
                <w:sz w:val="17"/>
              </w:rPr>
              <w:t>Do not rely on red alone</w:t>
            </w:r>
          </w:p>
        </w:tc>
      </w:tr>
      <w:tr>
        <w:tc>
          <w:tcPr>
            <w:tcW w:type="dxa" w:w="1728"/>
            <w:tcMar>
              <w:top w:w="100" w:type="dxa"/>
              <w:start w:w="120" w:type="dxa"/>
              <w:bottom w:w="100" w:type="dxa"/>
              <w:end w:w="120" w:type="dxa"/>
            </w:tcMar>
            <w:vAlign w:val="center"/>
          </w:tcPr>
          <w:p>
            <w:pPr>
              <w:spacing w:after="0" w:line="240" w:lineRule="auto"/>
            </w:pPr>
            <w:r>
              <w:rPr>
                <w:color w:val="16212B"/>
                <w:sz w:val="17"/>
              </w:rPr>
              <w:t>Success</w:t>
            </w:r>
          </w:p>
        </w:tc>
        <w:tc>
          <w:tcPr>
            <w:tcW w:type="dxa" w:w="4464"/>
            <w:tcMar>
              <w:top w:w="100" w:type="dxa"/>
              <w:start w:w="120" w:type="dxa"/>
              <w:bottom w:w="100" w:type="dxa"/>
              <w:end w:w="120" w:type="dxa"/>
            </w:tcMar>
            <w:vAlign w:val="center"/>
          </w:tcPr>
          <w:p>
            <w:pPr>
              <w:spacing w:after="0" w:line="240" w:lineRule="auto"/>
            </w:pPr>
            <w:r>
              <w:rPr>
                <w:color w:val="16212B"/>
                <w:sz w:val="17"/>
              </w:rPr>
              <w:t>Confirmation text/icon</w:t>
            </w:r>
          </w:p>
        </w:tc>
        <w:tc>
          <w:tcPr>
            <w:tcW w:type="dxa" w:w="3744"/>
            <w:tcMar>
              <w:top w:w="100" w:type="dxa"/>
              <w:start w:w="120" w:type="dxa"/>
              <w:bottom w:w="100" w:type="dxa"/>
              <w:end w:w="120" w:type="dxa"/>
            </w:tcMar>
            <w:vAlign w:val="center"/>
          </w:tcPr>
          <w:p>
            <w:pPr>
              <w:spacing w:after="0" w:line="240" w:lineRule="auto"/>
            </w:pPr>
            <w:r>
              <w:rPr>
                <w:color w:val="16212B"/>
                <w:sz w:val="17"/>
              </w:rPr>
              <w:t>Do not auto-dismiss critical confirmation too fast</w:t>
            </w:r>
          </w:p>
        </w:tc>
      </w:tr>
      <w:tr>
        <w:tc>
          <w:tcPr>
            <w:tcW w:type="dxa" w:w="1728"/>
            <w:tcMar>
              <w:top w:w="100" w:type="dxa"/>
              <w:start w:w="120" w:type="dxa"/>
              <w:bottom w:w="100" w:type="dxa"/>
              <w:end w:w="120" w:type="dxa"/>
            </w:tcMar>
            <w:vAlign w:val="center"/>
          </w:tcPr>
          <w:p>
            <w:pPr>
              <w:spacing w:after="0" w:line="240" w:lineRule="auto"/>
            </w:pPr>
            <w:r>
              <w:rPr>
                <w:color w:val="16212B"/>
                <w:sz w:val="17"/>
              </w:rPr>
              <w:t>Conflict</w:t>
            </w:r>
          </w:p>
        </w:tc>
        <w:tc>
          <w:tcPr>
            <w:tcW w:type="dxa" w:w="4464"/>
            <w:tcMar>
              <w:top w:w="100" w:type="dxa"/>
              <w:start w:w="120" w:type="dxa"/>
              <w:bottom w:w="100" w:type="dxa"/>
              <w:end w:w="120" w:type="dxa"/>
            </w:tcMar>
            <w:vAlign w:val="center"/>
          </w:tcPr>
          <w:p>
            <w:pPr>
              <w:spacing w:after="0" w:line="240" w:lineRule="auto"/>
            </w:pPr>
            <w:r>
              <w:rPr>
                <w:color w:val="16212B"/>
                <w:sz w:val="17"/>
              </w:rPr>
              <w:t>Distinct conflict banner/region</w:t>
            </w:r>
          </w:p>
        </w:tc>
        <w:tc>
          <w:tcPr>
            <w:tcW w:type="dxa" w:w="3744"/>
            <w:tcMar>
              <w:top w:w="100" w:type="dxa"/>
              <w:start w:w="120" w:type="dxa"/>
              <w:bottom w:w="100" w:type="dxa"/>
              <w:end w:w="120" w:type="dxa"/>
            </w:tcMar>
            <w:vAlign w:val="center"/>
          </w:tcPr>
          <w:p>
            <w:pPr>
              <w:spacing w:after="0" w:line="240" w:lineRule="auto"/>
            </w:pPr>
            <w:r>
              <w:rPr>
                <w:color w:val="16212B"/>
                <w:sz w:val="17"/>
              </w:rPr>
              <w:t>Describe competing version and recovery</w:t>
            </w:r>
          </w:p>
        </w:tc>
      </w:tr>
      <w:tr>
        <w:tc>
          <w:tcPr>
            <w:tcW w:type="dxa" w:w="1728"/>
            <w:tcMar>
              <w:top w:w="100" w:type="dxa"/>
              <w:start w:w="120" w:type="dxa"/>
              <w:bottom w:w="100" w:type="dxa"/>
              <w:end w:w="120" w:type="dxa"/>
            </w:tcMar>
            <w:vAlign w:val="center"/>
          </w:tcPr>
          <w:p>
            <w:pPr>
              <w:spacing w:after="0" w:line="240" w:lineRule="auto"/>
            </w:pPr>
            <w:r>
              <w:rPr>
                <w:color w:val="16212B"/>
                <w:sz w:val="17"/>
              </w:rPr>
              <w:t>Read-only</w:t>
            </w:r>
          </w:p>
        </w:tc>
        <w:tc>
          <w:tcPr>
            <w:tcW w:type="dxa" w:w="4464"/>
            <w:tcMar>
              <w:top w:w="100" w:type="dxa"/>
              <w:start w:w="120" w:type="dxa"/>
              <w:bottom w:w="100" w:type="dxa"/>
              <w:end w:w="120" w:type="dxa"/>
            </w:tcMar>
            <w:vAlign w:val="center"/>
          </w:tcPr>
          <w:p>
            <w:pPr>
              <w:spacing w:after="0" w:line="240" w:lineRule="auto"/>
            </w:pPr>
            <w:r>
              <w:rPr>
                <w:color w:val="16212B"/>
                <w:sz w:val="17"/>
              </w:rPr>
              <w:t>Read-only label and neutral surface</w:t>
            </w:r>
          </w:p>
        </w:tc>
        <w:tc>
          <w:tcPr>
            <w:tcW w:type="dxa" w:w="3744"/>
            <w:tcMar>
              <w:top w:w="100" w:type="dxa"/>
              <w:start w:w="120" w:type="dxa"/>
              <w:bottom w:w="100" w:type="dxa"/>
              <w:end w:w="120" w:type="dxa"/>
            </w:tcMar>
            <w:vAlign w:val="center"/>
          </w:tcPr>
          <w:p>
            <w:pPr>
              <w:spacing w:after="0" w:line="240" w:lineRule="auto"/>
            </w:pPr>
            <w:r>
              <w:rPr>
                <w:color w:val="16212B"/>
                <w:sz w:val="17"/>
              </w:rPr>
              <w:t>Avoid disabled styling if content remains inspectable</w:t>
            </w:r>
          </w:p>
        </w:tc>
      </w:tr>
    </w:tbl>
    <w:p>
      <w:pPr>
        <w:spacing w:after="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8"/>
              </w:rPr>
              <w:t>ID</w:t>
            </w:r>
          </w:p>
        </w:tc>
        <w:tc>
          <w:tcPr>
            <w:tcW w:type="dxa" w:w="8208"/>
            <w:shd w:fill="17324D"/>
            <w:tcMar>
              <w:top w:w="100" w:type="dxa"/>
              <w:start w:w="120" w:type="dxa"/>
              <w:bottom w:w="100" w:type="dxa"/>
              <w:end w:w="120" w:type="dxa"/>
            </w:tcMar>
            <w:vAlign w:val="center"/>
          </w:tcPr>
          <w:p>
            <w:pPr>
              <w:jc w:val="center"/>
            </w:pPr>
            <w:r>
              <w:rPr>
                <w:b/>
                <w:color w:val="FFFFFF"/>
                <w:sz w:val="18"/>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8"/>
              </w:rPr>
              <w:t>DS-005</w:t>
            </w:r>
          </w:p>
        </w:tc>
        <w:tc>
          <w:tcPr>
            <w:tcW w:type="dxa" w:w="8208"/>
            <w:tcMar>
              <w:top w:w="100" w:type="dxa"/>
              <w:start w:w="120" w:type="dxa"/>
              <w:bottom w:w="100" w:type="dxa"/>
              <w:end w:w="120" w:type="dxa"/>
            </w:tcMar>
            <w:vAlign w:val="center"/>
          </w:tcPr>
          <w:p>
            <w:pPr>
              <w:spacing w:after="0" w:line="240" w:lineRule="auto"/>
            </w:pPr>
            <w:r>
              <w:rPr>
                <w:color w:val="16212B"/>
                <w:sz w:val="18"/>
              </w:rPr>
              <w:t>Keyboard focus SHALL be visually obvious on every actionable component.</w:t>
            </w:r>
          </w:p>
        </w:tc>
      </w:tr>
      <w:tr>
        <w:tc>
          <w:tcPr>
            <w:tcW w:type="dxa" w:w="1440"/>
            <w:tcMar>
              <w:top w:w="100" w:type="dxa"/>
              <w:start w:w="120" w:type="dxa"/>
              <w:bottom w:w="100" w:type="dxa"/>
              <w:end w:w="120" w:type="dxa"/>
            </w:tcMar>
            <w:vAlign w:val="center"/>
          </w:tcPr>
          <w:p>
            <w:pPr>
              <w:spacing w:after="0" w:line="240" w:lineRule="auto"/>
            </w:pPr>
            <w:r>
              <w:rPr>
                <w:color w:val="16212B"/>
                <w:sz w:val="18"/>
              </w:rPr>
              <w:t>DS-006</w:t>
            </w:r>
          </w:p>
        </w:tc>
        <w:tc>
          <w:tcPr>
            <w:tcW w:type="dxa" w:w="8208"/>
            <w:tcMar>
              <w:top w:w="100" w:type="dxa"/>
              <w:start w:w="120" w:type="dxa"/>
              <w:bottom w:w="100" w:type="dxa"/>
              <w:end w:w="120" w:type="dxa"/>
            </w:tcMar>
            <w:vAlign w:val="center"/>
          </w:tcPr>
          <w:p>
            <w:pPr>
              <w:spacing w:after="0" w:line="240" w:lineRule="auto"/>
            </w:pPr>
            <w:r>
              <w:rPr>
                <w:color w:val="16212B"/>
                <w:sz w:val="18"/>
              </w:rPr>
              <w:t>Error, warning, success, and analytical states SHALL combine color with text, icon, pattern, border, or label.</w:t>
            </w:r>
          </w:p>
        </w:tc>
      </w:tr>
      <w:tr>
        <w:tc>
          <w:tcPr>
            <w:tcW w:type="dxa" w:w="1440"/>
            <w:tcMar>
              <w:top w:w="100" w:type="dxa"/>
              <w:start w:w="120" w:type="dxa"/>
              <w:bottom w:w="100" w:type="dxa"/>
              <w:end w:w="120" w:type="dxa"/>
            </w:tcMar>
            <w:vAlign w:val="center"/>
          </w:tcPr>
          <w:p>
            <w:pPr>
              <w:spacing w:after="0" w:line="240" w:lineRule="auto"/>
            </w:pPr>
            <w:r>
              <w:rPr>
                <w:color w:val="16212B"/>
                <w:sz w:val="18"/>
              </w:rPr>
              <w:t>DS-007</w:t>
            </w:r>
          </w:p>
        </w:tc>
        <w:tc>
          <w:tcPr>
            <w:tcW w:type="dxa" w:w="8208"/>
            <w:tcMar>
              <w:top w:w="100" w:type="dxa"/>
              <w:start w:w="120" w:type="dxa"/>
              <w:bottom w:w="100" w:type="dxa"/>
              <w:end w:w="120" w:type="dxa"/>
            </w:tcMar>
            <w:vAlign w:val="center"/>
          </w:tcPr>
          <w:p>
            <w:pPr>
              <w:spacing w:after="0" w:line="240" w:lineRule="auto"/>
            </w:pPr>
            <w:r>
              <w:rPr>
                <w:color w:val="16212B"/>
                <w:sz w:val="18"/>
              </w:rPr>
              <w:t>Disabled high-impact actions SHOULD explain the prerequisite when the user is authorised to know it.</w:t>
            </w:r>
          </w:p>
        </w:tc>
      </w:tr>
      <w:tr>
        <w:tc>
          <w:tcPr>
            <w:tcW w:type="dxa" w:w="1440"/>
            <w:tcMar>
              <w:top w:w="100" w:type="dxa"/>
              <w:start w:w="120" w:type="dxa"/>
              <w:bottom w:w="100" w:type="dxa"/>
              <w:end w:w="120" w:type="dxa"/>
            </w:tcMar>
            <w:vAlign w:val="center"/>
          </w:tcPr>
          <w:p>
            <w:pPr>
              <w:spacing w:after="0" w:line="240" w:lineRule="auto"/>
            </w:pPr>
            <w:r>
              <w:rPr>
                <w:color w:val="16212B"/>
                <w:sz w:val="18"/>
              </w:rPr>
              <w:t>DS-008</w:t>
            </w:r>
          </w:p>
        </w:tc>
        <w:tc>
          <w:tcPr>
            <w:tcW w:type="dxa" w:w="8208"/>
            <w:tcMar>
              <w:top w:w="100" w:type="dxa"/>
              <w:start w:w="120" w:type="dxa"/>
              <w:bottom w:w="100" w:type="dxa"/>
              <w:end w:w="120" w:type="dxa"/>
            </w:tcMar>
            <w:vAlign w:val="center"/>
          </w:tcPr>
          <w:p>
            <w:pPr>
              <w:spacing w:after="0" w:line="240" w:lineRule="auto"/>
            </w:pPr>
            <w:r>
              <w:rPr>
                <w:color w:val="16212B"/>
                <w:sz w:val="18"/>
              </w:rPr>
              <w:t>Loading and async states SHALL preserve enough context that investigators know which object/action is pending.</w:t>
            </w:r>
          </w:p>
        </w:tc>
      </w:tr>
    </w:tbl>
    <w:p>
      <w:pPr>
        <w:spacing w:after="0"/>
      </w:pPr>
    </w:p>
    <w:p>
      <w:r>
        <w:br w:type="page"/>
      </w:r>
    </w:p>
    <w:p>
      <w:pPr>
        <w:pStyle w:val="Heading1"/>
      </w:pPr>
      <w:r>
        <w:t>10. Analytical State Semantics</w:t>
      </w:r>
    </w:p>
    <w:p>
      <w:pPr>
        <w:spacing w:after="100" w:line="269" w:lineRule="auto"/>
      </w:pPr>
      <w:r>
        <w:rPr>
          <w:sz w:val="21"/>
        </w:rPr>
        <w:t>Analytical state is domain meaning, not generic UI status. These states require dedicated tokens and consistent rendering across badges, tables, detail pages, graph, timeline, value flow, and exported visuals.</w:t>
      </w:r>
    </w:p>
    <w:p>
      <w:pPr>
        <w:pStyle w:val="Heading2"/>
      </w:pPr>
      <w:r>
        <w:t>10.1 Proposition state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24D"/>
            <w:tcMar>
              <w:top w:w="100" w:type="dxa"/>
              <w:start w:w="120" w:type="dxa"/>
              <w:bottom w:w="100" w:type="dxa"/>
              <w:end w:w="120" w:type="dxa"/>
            </w:tcMar>
            <w:vAlign w:val="center"/>
          </w:tcPr>
          <w:p>
            <w:pPr>
              <w:jc w:val="center"/>
            </w:pPr>
            <w:r>
              <w:rPr>
                <w:b/>
                <w:color w:val="FFFFFF"/>
                <w:sz w:val="17"/>
              </w:rPr>
              <w:t>State</w:t>
            </w:r>
          </w:p>
        </w:tc>
        <w:tc>
          <w:tcPr>
            <w:tcW w:type="dxa" w:w="3744"/>
            <w:shd w:fill="17324D"/>
            <w:tcMar>
              <w:top w:w="100" w:type="dxa"/>
              <w:start w:w="120" w:type="dxa"/>
              <w:bottom w:w="100" w:type="dxa"/>
              <w:end w:w="120" w:type="dxa"/>
            </w:tcMar>
            <w:vAlign w:val="center"/>
          </w:tcPr>
          <w:p>
            <w:pPr>
              <w:jc w:val="center"/>
            </w:pPr>
            <w:r>
              <w:rPr>
                <w:b/>
                <w:color w:val="FFFFFF"/>
                <w:sz w:val="17"/>
              </w:rPr>
              <w:t>Visual treatment</w:t>
            </w:r>
          </w:p>
        </w:tc>
        <w:tc>
          <w:tcPr>
            <w:tcW w:type="dxa" w:w="4320"/>
            <w:shd w:fill="17324D"/>
            <w:tcMar>
              <w:top w:w="100" w:type="dxa"/>
              <w:start w:w="120" w:type="dxa"/>
              <w:bottom w:w="100" w:type="dxa"/>
              <w:end w:w="120" w:type="dxa"/>
            </w:tcMar>
            <w:vAlign w:val="center"/>
          </w:tcPr>
          <w:p>
            <w:pPr>
              <w:jc w:val="center"/>
            </w:pPr>
            <w:r>
              <w:rPr>
                <w:b/>
                <w:color w:val="FFFFFF"/>
                <w:sz w:val="17"/>
              </w:rPr>
              <w:t>Meaning</w:t>
            </w:r>
          </w:p>
        </w:tc>
      </w:tr>
      <w:tr>
        <w:tc>
          <w:tcPr>
            <w:tcW w:type="dxa" w:w="1728"/>
            <w:tcMar>
              <w:top w:w="100" w:type="dxa"/>
              <w:start w:w="120" w:type="dxa"/>
              <w:bottom w:w="100" w:type="dxa"/>
              <w:end w:w="120" w:type="dxa"/>
            </w:tcMar>
            <w:vAlign w:val="center"/>
          </w:tcPr>
          <w:p>
            <w:pPr>
              <w:spacing w:after="0" w:line="240" w:lineRule="auto"/>
            </w:pPr>
            <w:r>
              <w:rPr>
                <w:color w:val="16212B"/>
                <w:sz w:val="17"/>
              </w:rPr>
              <w:t>Claim</w:t>
            </w:r>
          </w:p>
        </w:tc>
        <w:tc>
          <w:tcPr>
            <w:tcW w:type="dxa" w:w="3744"/>
            <w:tcMar>
              <w:top w:w="100" w:type="dxa"/>
              <w:start w:w="120" w:type="dxa"/>
              <w:bottom w:w="100" w:type="dxa"/>
              <w:end w:w="120" w:type="dxa"/>
            </w:tcMar>
            <w:vAlign w:val="center"/>
          </w:tcPr>
          <w:p>
            <w:pPr>
              <w:spacing w:after="0" w:line="240" w:lineRule="auto"/>
            </w:pPr>
            <w:r>
              <w:rPr>
                <w:color w:val="16212B"/>
                <w:sz w:val="17"/>
              </w:rPr>
              <w:t>Outlined neutral badge + “Claim” label</w:t>
            </w:r>
          </w:p>
        </w:tc>
        <w:tc>
          <w:tcPr>
            <w:tcW w:type="dxa" w:w="4320"/>
            <w:tcMar>
              <w:top w:w="100" w:type="dxa"/>
              <w:start w:w="120" w:type="dxa"/>
              <w:bottom w:w="100" w:type="dxa"/>
              <w:end w:w="120" w:type="dxa"/>
            </w:tcMar>
            <w:vAlign w:val="center"/>
          </w:tcPr>
          <w:p>
            <w:pPr>
              <w:spacing w:after="0" w:line="240" w:lineRule="auto"/>
            </w:pPr>
            <w:r>
              <w:rPr>
                <w:color w:val="16212B"/>
                <w:sz w:val="17"/>
              </w:rPr>
              <w:t>Statement attributed to a source; not verified fact</w:t>
            </w:r>
          </w:p>
        </w:tc>
      </w:tr>
      <w:tr>
        <w:tc>
          <w:tcPr>
            <w:tcW w:type="dxa" w:w="1728"/>
            <w:tcMar>
              <w:top w:w="100" w:type="dxa"/>
              <w:start w:w="120" w:type="dxa"/>
              <w:bottom w:w="100" w:type="dxa"/>
              <w:end w:w="120" w:type="dxa"/>
            </w:tcMar>
            <w:vAlign w:val="center"/>
          </w:tcPr>
          <w:p>
            <w:pPr>
              <w:spacing w:after="0" w:line="240" w:lineRule="auto"/>
            </w:pPr>
            <w:r>
              <w:rPr>
                <w:color w:val="16212B"/>
                <w:sz w:val="17"/>
              </w:rPr>
              <w:t>Fact</w:t>
            </w:r>
          </w:p>
        </w:tc>
        <w:tc>
          <w:tcPr>
            <w:tcW w:type="dxa" w:w="3744"/>
            <w:tcMar>
              <w:top w:w="100" w:type="dxa"/>
              <w:start w:w="120" w:type="dxa"/>
              <w:bottom w:w="100" w:type="dxa"/>
              <w:end w:w="120" w:type="dxa"/>
            </w:tcMar>
            <w:vAlign w:val="center"/>
          </w:tcPr>
          <w:p>
            <w:pPr>
              <w:spacing w:after="0" w:line="240" w:lineRule="auto"/>
            </w:pPr>
            <w:r>
              <w:rPr>
                <w:color w:val="16212B"/>
                <w:sz w:val="17"/>
              </w:rPr>
              <w:t>Solid neutral/blue badge + “Fact” label</w:t>
            </w:r>
          </w:p>
        </w:tc>
        <w:tc>
          <w:tcPr>
            <w:tcW w:type="dxa" w:w="4320"/>
            <w:tcMar>
              <w:top w:w="100" w:type="dxa"/>
              <w:start w:w="120" w:type="dxa"/>
              <w:bottom w:w="100" w:type="dxa"/>
              <w:end w:w="120" w:type="dxa"/>
            </w:tcMar>
            <w:vAlign w:val="center"/>
          </w:tcPr>
          <w:p>
            <w:pPr>
              <w:spacing w:after="0" w:line="240" w:lineRule="auto"/>
            </w:pPr>
            <w:r>
              <w:rPr>
                <w:color w:val="16212B"/>
                <w:sz w:val="17"/>
              </w:rPr>
              <w:t>Verified/time-bounded proposition per methodology</w:t>
            </w:r>
          </w:p>
        </w:tc>
      </w:tr>
      <w:tr>
        <w:tc>
          <w:tcPr>
            <w:tcW w:type="dxa" w:w="1728"/>
            <w:tcMar>
              <w:top w:w="100" w:type="dxa"/>
              <w:start w:w="120" w:type="dxa"/>
              <w:bottom w:w="100" w:type="dxa"/>
              <w:end w:w="120" w:type="dxa"/>
            </w:tcMar>
            <w:vAlign w:val="center"/>
          </w:tcPr>
          <w:p>
            <w:pPr>
              <w:spacing w:after="0" w:line="240" w:lineRule="auto"/>
            </w:pPr>
            <w:r>
              <w:rPr>
                <w:color w:val="16212B"/>
                <w:sz w:val="17"/>
              </w:rPr>
              <w:t>Inference</w:t>
            </w:r>
          </w:p>
        </w:tc>
        <w:tc>
          <w:tcPr>
            <w:tcW w:type="dxa" w:w="3744"/>
            <w:tcMar>
              <w:top w:w="100" w:type="dxa"/>
              <w:start w:w="120" w:type="dxa"/>
              <w:bottom w:w="100" w:type="dxa"/>
              <w:end w:w="120" w:type="dxa"/>
            </w:tcMar>
            <w:vAlign w:val="center"/>
          </w:tcPr>
          <w:p>
            <w:pPr>
              <w:spacing w:after="0" w:line="240" w:lineRule="auto"/>
            </w:pPr>
            <w:r>
              <w:rPr>
                <w:color w:val="16212B"/>
                <w:sz w:val="17"/>
              </w:rPr>
              <w:t>Purple outlined badge + “Inference”</w:t>
            </w:r>
          </w:p>
        </w:tc>
        <w:tc>
          <w:tcPr>
            <w:tcW w:type="dxa" w:w="4320"/>
            <w:tcMar>
              <w:top w:w="100" w:type="dxa"/>
              <w:start w:w="120" w:type="dxa"/>
              <w:bottom w:w="100" w:type="dxa"/>
              <w:end w:w="120" w:type="dxa"/>
            </w:tcMar>
            <w:vAlign w:val="center"/>
          </w:tcPr>
          <w:p>
            <w:pPr>
              <w:spacing w:after="0" w:line="240" w:lineRule="auto"/>
            </w:pPr>
            <w:r>
              <w:rPr>
                <w:color w:val="16212B"/>
                <w:sz w:val="17"/>
              </w:rPr>
              <w:t>Analytical interpretation</w:t>
            </w:r>
          </w:p>
        </w:tc>
      </w:tr>
      <w:tr>
        <w:tc>
          <w:tcPr>
            <w:tcW w:type="dxa" w:w="1728"/>
            <w:tcMar>
              <w:top w:w="100" w:type="dxa"/>
              <w:start w:w="120" w:type="dxa"/>
              <w:bottom w:w="100" w:type="dxa"/>
              <w:end w:w="120" w:type="dxa"/>
            </w:tcMar>
            <w:vAlign w:val="center"/>
          </w:tcPr>
          <w:p>
            <w:pPr>
              <w:spacing w:after="0" w:line="240" w:lineRule="auto"/>
            </w:pPr>
            <w:r>
              <w:rPr>
                <w:color w:val="16212B"/>
                <w:sz w:val="17"/>
              </w:rPr>
              <w:t>Disputed</w:t>
            </w:r>
          </w:p>
        </w:tc>
        <w:tc>
          <w:tcPr>
            <w:tcW w:type="dxa" w:w="3744"/>
            <w:tcMar>
              <w:top w:w="100" w:type="dxa"/>
              <w:start w:w="120" w:type="dxa"/>
              <w:bottom w:w="100" w:type="dxa"/>
              <w:end w:w="120" w:type="dxa"/>
            </w:tcMar>
            <w:vAlign w:val="center"/>
          </w:tcPr>
          <w:p>
            <w:pPr>
              <w:spacing w:after="0" w:line="240" w:lineRule="auto"/>
            </w:pPr>
            <w:r>
              <w:rPr>
                <w:color w:val="16212B"/>
                <w:sz w:val="17"/>
              </w:rPr>
              <w:t>Amber patterned/outlined badge</w:t>
            </w:r>
          </w:p>
        </w:tc>
        <w:tc>
          <w:tcPr>
            <w:tcW w:type="dxa" w:w="4320"/>
            <w:tcMar>
              <w:top w:w="100" w:type="dxa"/>
              <w:start w:w="120" w:type="dxa"/>
              <w:bottom w:w="100" w:type="dxa"/>
              <w:end w:w="120" w:type="dxa"/>
            </w:tcMar>
            <w:vAlign w:val="center"/>
          </w:tcPr>
          <w:p>
            <w:pPr>
              <w:spacing w:after="0" w:line="240" w:lineRule="auto"/>
            </w:pPr>
            <w:r>
              <w:rPr>
                <w:color w:val="16212B"/>
                <w:sz w:val="17"/>
              </w:rPr>
              <w:t>Material contradiction or challenge exists</w:t>
            </w:r>
          </w:p>
        </w:tc>
      </w:tr>
      <w:tr>
        <w:tc>
          <w:tcPr>
            <w:tcW w:type="dxa" w:w="1728"/>
            <w:tcMar>
              <w:top w:w="100" w:type="dxa"/>
              <w:start w:w="120" w:type="dxa"/>
              <w:bottom w:w="100" w:type="dxa"/>
              <w:end w:w="120" w:type="dxa"/>
            </w:tcMar>
            <w:vAlign w:val="center"/>
          </w:tcPr>
          <w:p>
            <w:pPr>
              <w:spacing w:after="0" w:line="240" w:lineRule="auto"/>
            </w:pPr>
            <w:r>
              <w:rPr>
                <w:color w:val="16212B"/>
                <w:sz w:val="17"/>
              </w:rPr>
              <w:t>Unknown</w:t>
            </w:r>
          </w:p>
        </w:tc>
        <w:tc>
          <w:tcPr>
            <w:tcW w:type="dxa" w:w="3744"/>
            <w:tcMar>
              <w:top w:w="100" w:type="dxa"/>
              <w:start w:w="120" w:type="dxa"/>
              <w:bottom w:w="100" w:type="dxa"/>
              <w:end w:w="120" w:type="dxa"/>
            </w:tcMar>
            <w:vAlign w:val="center"/>
          </w:tcPr>
          <w:p>
            <w:pPr>
              <w:spacing w:after="0" w:line="240" w:lineRule="auto"/>
            </w:pPr>
            <w:r>
              <w:rPr>
                <w:color w:val="16212B"/>
                <w:sz w:val="17"/>
              </w:rPr>
              <w:t>Gray dashed treatment + “Unknown”</w:t>
            </w:r>
          </w:p>
        </w:tc>
        <w:tc>
          <w:tcPr>
            <w:tcW w:type="dxa" w:w="4320"/>
            <w:tcMar>
              <w:top w:w="100" w:type="dxa"/>
              <w:start w:w="120" w:type="dxa"/>
              <w:bottom w:w="100" w:type="dxa"/>
              <w:end w:w="120" w:type="dxa"/>
            </w:tcMar>
            <w:vAlign w:val="center"/>
          </w:tcPr>
          <w:p>
            <w:pPr>
              <w:spacing w:after="0" w:line="240" w:lineRule="auto"/>
            </w:pPr>
            <w:r>
              <w:rPr>
                <w:color w:val="16212B"/>
                <w:sz w:val="17"/>
              </w:rPr>
              <w:t>Information not established</w:t>
            </w:r>
          </w:p>
        </w:tc>
      </w:tr>
      <w:tr>
        <w:tc>
          <w:tcPr>
            <w:tcW w:type="dxa" w:w="1728"/>
            <w:tcMar>
              <w:top w:w="100" w:type="dxa"/>
              <w:start w:w="120" w:type="dxa"/>
              <w:bottom w:w="100" w:type="dxa"/>
              <w:end w:w="120" w:type="dxa"/>
            </w:tcMar>
            <w:vAlign w:val="center"/>
          </w:tcPr>
          <w:p>
            <w:pPr>
              <w:spacing w:after="0" w:line="240" w:lineRule="auto"/>
            </w:pPr>
            <w:r>
              <w:rPr>
                <w:color w:val="16212B"/>
                <w:sz w:val="17"/>
              </w:rPr>
              <w:t>Candidate</w:t>
            </w:r>
          </w:p>
        </w:tc>
        <w:tc>
          <w:tcPr>
            <w:tcW w:type="dxa" w:w="3744"/>
            <w:tcMar>
              <w:top w:w="100" w:type="dxa"/>
              <w:start w:w="120" w:type="dxa"/>
              <w:bottom w:w="100" w:type="dxa"/>
              <w:end w:w="120" w:type="dxa"/>
            </w:tcMar>
            <w:vAlign w:val="center"/>
          </w:tcPr>
          <w:p>
            <w:pPr>
              <w:spacing w:after="0" w:line="240" w:lineRule="auto"/>
            </w:pPr>
            <w:r>
              <w:rPr>
                <w:color w:val="16212B"/>
                <w:sz w:val="17"/>
              </w:rPr>
              <w:t>Light outlined badge + “Candidate”</w:t>
            </w:r>
          </w:p>
        </w:tc>
        <w:tc>
          <w:tcPr>
            <w:tcW w:type="dxa" w:w="4320"/>
            <w:tcMar>
              <w:top w:w="100" w:type="dxa"/>
              <w:start w:w="120" w:type="dxa"/>
              <w:bottom w:w="100" w:type="dxa"/>
              <w:end w:w="120" w:type="dxa"/>
            </w:tcMar>
            <w:vAlign w:val="center"/>
          </w:tcPr>
          <w:p>
            <w:pPr>
              <w:spacing w:after="0" w:line="240" w:lineRule="auto"/>
            </w:pPr>
            <w:r>
              <w:rPr>
                <w:color w:val="16212B"/>
                <w:sz w:val="17"/>
              </w:rPr>
              <w:t>Suggested entity/match/relationship awaiting review</w:t>
            </w:r>
          </w:p>
        </w:tc>
      </w:tr>
    </w:tbl>
    <w:p>
      <w:pPr>
        <w:spacing w:after="0"/>
      </w:pPr>
    </w:p>
    <w:p>
      <w:pPr>
        <w:pStyle w:val="Heading2"/>
      </w:pPr>
      <w:r>
        <w:t>10.2 Confidence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5"/>
            <w:shd w:fill="17324D"/>
            <w:tcMar>
              <w:top w:w="100" w:type="dxa"/>
              <w:start w:w="120" w:type="dxa"/>
              <w:bottom w:w="100" w:type="dxa"/>
              <w:end w:w="120" w:type="dxa"/>
            </w:tcMar>
            <w:vAlign w:val="center"/>
          </w:tcPr>
          <w:p>
            <w:pPr>
              <w:jc w:val="center"/>
            </w:pPr>
            <w:r>
              <w:rPr>
                <w:b/>
                <w:color w:val="FFFFFF"/>
                <w:sz w:val="18"/>
              </w:rPr>
              <w:t>Level</w:t>
            </w:r>
          </w:p>
        </w:tc>
        <w:tc>
          <w:tcPr>
            <w:tcW w:type="dxa" w:w="3456"/>
            <w:shd w:fill="17324D"/>
            <w:tcMar>
              <w:top w:w="100" w:type="dxa"/>
              <w:start w:w="120" w:type="dxa"/>
              <w:bottom w:w="100" w:type="dxa"/>
              <w:end w:w="120" w:type="dxa"/>
            </w:tcMar>
            <w:vAlign w:val="center"/>
          </w:tcPr>
          <w:p>
            <w:pPr>
              <w:jc w:val="center"/>
            </w:pPr>
            <w:r>
              <w:rPr>
                <w:b/>
                <w:color w:val="FFFFFF"/>
                <w:sz w:val="18"/>
              </w:rPr>
              <w:t>Treatment</w:t>
            </w:r>
          </w:p>
        </w:tc>
        <w:tc>
          <w:tcPr>
            <w:tcW w:type="dxa" w:w="4320"/>
            <w:shd w:fill="17324D"/>
            <w:tcMar>
              <w:top w:w="100" w:type="dxa"/>
              <w:start w:w="120" w:type="dxa"/>
              <w:bottom w:w="100" w:type="dxa"/>
              <w:end w:w="120" w:type="dxa"/>
            </w:tcMar>
            <w:vAlign w:val="center"/>
          </w:tcPr>
          <w:p>
            <w:pPr>
              <w:jc w:val="center"/>
            </w:pPr>
            <w:r>
              <w:rPr>
                <w:b/>
                <w:color w:val="FFFFFF"/>
                <w:sz w:val="18"/>
              </w:rPr>
              <w:t>Constraint</w:t>
            </w:r>
          </w:p>
        </w:tc>
      </w:tr>
      <w:tr>
        <w:tc>
          <w:tcPr>
            <w:tcW w:type="dxa" w:w="2015"/>
            <w:tcMar>
              <w:top w:w="100" w:type="dxa"/>
              <w:start w:w="120" w:type="dxa"/>
              <w:bottom w:w="100" w:type="dxa"/>
              <w:end w:w="120" w:type="dxa"/>
            </w:tcMar>
            <w:vAlign w:val="center"/>
          </w:tcPr>
          <w:p>
            <w:pPr>
              <w:spacing w:after="0" w:line="240" w:lineRule="auto"/>
            </w:pPr>
            <w:r>
              <w:rPr>
                <w:color w:val="16212B"/>
                <w:sz w:val="18"/>
              </w:rPr>
              <w:t>High</w:t>
            </w:r>
          </w:p>
        </w:tc>
        <w:tc>
          <w:tcPr>
            <w:tcW w:type="dxa" w:w="3456"/>
            <w:tcMar>
              <w:top w:w="100" w:type="dxa"/>
              <w:start w:w="120" w:type="dxa"/>
              <w:bottom w:w="100" w:type="dxa"/>
              <w:end w:w="120" w:type="dxa"/>
            </w:tcMar>
            <w:vAlign w:val="center"/>
          </w:tcPr>
          <w:p>
            <w:pPr>
              <w:spacing w:after="0" w:line="240" w:lineRule="auto"/>
            </w:pPr>
            <w:r>
              <w:rPr>
                <w:color w:val="16212B"/>
                <w:sz w:val="18"/>
              </w:rPr>
              <w:t>Label + strong border</w:t>
            </w:r>
          </w:p>
        </w:tc>
        <w:tc>
          <w:tcPr>
            <w:tcW w:type="dxa" w:w="4320"/>
            <w:tcMar>
              <w:top w:w="100" w:type="dxa"/>
              <w:start w:w="120" w:type="dxa"/>
              <w:bottom w:w="100" w:type="dxa"/>
              <w:end w:w="120" w:type="dxa"/>
            </w:tcMar>
            <w:vAlign w:val="center"/>
          </w:tcPr>
          <w:p>
            <w:pPr>
              <w:spacing w:after="0" w:line="240" w:lineRule="auto"/>
            </w:pPr>
            <w:r>
              <w:rPr>
                <w:color w:val="16212B"/>
                <w:sz w:val="18"/>
              </w:rPr>
              <w:t>Never represented as certainty/proof</w:t>
            </w:r>
          </w:p>
        </w:tc>
      </w:tr>
      <w:tr>
        <w:tc>
          <w:tcPr>
            <w:tcW w:type="dxa" w:w="2015"/>
            <w:tcMar>
              <w:top w:w="100" w:type="dxa"/>
              <w:start w:w="120" w:type="dxa"/>
              <w:bottom w:w="100" w:type="dxa"/>
              <w:end w:w="120" w:type="dxa"/>
            </w:tcMar>
            <w:vAlign w:val="center"/>
          </w:tcPr>
          <w:p>
            <w:pPr>
              <w:spacing w:after="0" w:line="240" w:lineRule="auto"/>
            </w:pPr>
            <w:r>
              <w:rPr>
                <w:color w:val="16212B"/>
                <w:sz w:val="18"/>
              </w:rPr>
              <w:t>Moderate</w:t>
            </w:r>
          </w:p>
        </w:tc>
        <w:tc>
          <w:tcPr>
            <w:tcW w:type="dxa" w:w="3456"/>
            <w:tcMar>
              <w:top w:w="100" w:type="dxa"/>
              <w:start w:w="120" w:type="dxa"/>
              <w:bottom w:w="100" w:type="dxa"/>
              <w:end w:w="120" w:type="dxa"/>
            </w:tcMar>
            <w:vAlign w:val="center"/>
          </w:tcPr>
          <w:p>
            <w:pPr>
              <w:spacing w:after="0" w:line="240" w:lineRule="auto"/>
            </w:pPr>
            <w:r>
              <w:rPr>
                <w:color w:val="16212B"/>
                <w:sz w:val="18"/>
              </w:rPr>
              <w:t>Label + medium border</w:t>
            </w:r>
          </w:p>
        </w:tc>
        <w:tc>
          <w:tcPr>
            <w:tcW w:type="dxa" w:w="4320"/>
            <w:tcMar>
              <w:top w:w="100" w:type="dxa"/>
              <w:start w:w="120" w:type="dxa"/>
              <w:bottom w:w="100" w:type="dxa"/>
              <w:end w:w="120" w:type="dxa"/>
            </w:tcMar>
            <w:vAlign w:val="center"/>
          </w:tcPr>
          <w:p>
            <w:pPr>
              <w:spacing w:after="0" w:line="240" w:lineRule="auto"/>
            </w:pPr>
            <w:r>
              <w:rPr>
                <w:color w:val="16212B"/>
                <w:sz w:val="18"/>
              </w:rPr>
              <w:t>Basis must remain inspectable</w:t>
            </w:r>
          </w:p>
        </w:tc>
      </w:tr>
      <w:tr>
        <w:tc>
          <w:tcPr>
            <w:tcW w:type="dxa" w:w="2015"/>
            <w:tcMar>
              <w:top w:w="100" w:type="dxa"/>
              <w:start w:w="120" w:type="dxa"/>
              <w:bottom w:w="100" w:type="dxa"/>
              <w:end w:w="120" w:type="dxa"/>
            </w:tcMar>
            <w:vAlign w:val="center"/>
          </w:tcPr>
          <w:p>
            <w:pPr>
              <w:spacing w:after="0" w:line="240" w:lineRule="auto"/>
            </w:pPr>
            <w:r>
              <w:rPr>
                <w:color w:val="16212B"/>
                <w:sz w:val="18"/>
              </w:rPr>
              <w:t>Low</w:t>
            </w:r>
          </w:p>
        </w:tc>
        <w:tc>
          <w:tcPr>
            <w:tcW w:type="dxa" w:w="3456"/>
            <w:tcMar>
              <w:top w:w="100" w:type="dxa"/>
              <w:start w:w="120" w:type="dxa"/>
              <w:bottom w:w="100" w:type="dxa"/>
              <w:end w:w="120" w:type="dxa"/>
            </w:tcMar>
            <w:vAlign w:val="center"/>
          </w:tcPr>
          <w:p>
            <w:pPr>
              <w:spacing w:after="0" w:line="240" w:lineRule="auto"/>
            </w:pPr>
            <w:r>
              <w:rPr>
                <w:color w:val="16212B"/>
                <w:sz w:val="18"/>
              </w:rPr>
              <w:t>Label + light/dashed border</w:t>
            </w:r>
          </w:p>
        </w:tc>
        <w:tc>
          <w:tcPr>
            <w:tcW w:type="dxa" w:w="4320"/>
            <w:tcMar>
              <w:top w:w="100" w:type="dxa"/>
              <w:start w:w="120" w:type="dxa"/>
              <w:bottom w:w="100" w:type="dxa"/>
              <w:end w:w="120" w:type="dxa"/>
            </w:tcMar>
            <w:vAlign w:val="center"/>
          </w:tcPr>
          <w:p>
            <w:pPr>
              <w:spacing w:after="0" w:line="240" w:lineRule="auto"/>
            </w:pPr>
            <w:r>
              <w:rPr>
                <w:color w:val="16212B"/>
                <w:sz w:val="18"/>
              </w:rPr>
              <w:t>Do not hide as secondary metadata</w:t>
            </w:r>
          </w:p>
        </w:tc>
      </w:tr>
      <w:tr>
        <w:tc>
          <w:tcPr>
            <w:tcW w:type="dxa" w:w="2015"/>
            <w:tcMar>
              <w:top w:w="100" w:type="dxa"/>
              <w:start w:w="120" w:type="dxa"/>
              <w:bottom w:w="100" w:type="dxa"/>
              <w:end w:w="120" w:type="dxa"/>
            </w:tcMar>
            <w:vAlign w:val="center"/>
          </w:tcPr>
          <w:p>
            <w:pPr>
              <w:spacing w:after="0" w:line="240" w:lineRule="auto"/>
            </w:pPr>
            <w:r>
              <w:rPr>
                <w:color w:val="16212B"/>
                <w:sz w:val="18"/>
              </w:rPr>
              <w:t>Insufficient basis</w:t>
            </w:r>
          </w:p>
        </w:tc>
        <w:tc>
          <w:tcPr>
            <w:tcW w:type="dxa" w:w="3456"/>
            <w:tcMar>
              <w:top w:w="100" w:type="dxa"/>
              <w:start w:w="120" w:type="dxa"/>
              <w:bottom w:w="100" w:type="dxa"/>
              <w:end w:w="120" w:type="dxa"/>
            </w:tcMar>
            <w:vAlign w:val="center"/>
          </w:tcPr>
          <w:p>
            <w:pPr>
              <w:spacing w:after="0" w:line="240" w:lineRule="auto"/>
            </w:pPr>
            <w:r>
              <w:rPr>
                <w:color w:val="16212B"/>
                <w:sz w:val="18"/>
              </w:rPr>
              <w:t>Neutral warning-style label</w:t>
            </w:r>
          </w:p>
        </w:tc>
        <w:tc>
          <w:tcPr>
            <w:tcW w:type="dxa" w:w="4320"/>
            <w:tcMar>
              <w:top w:w="100" w:type="dxa"/>
              <w:start w:w="120" w:type="dxa"/>
              <w:bottom w:w="100" w:type="dxa"/>
              <w:end w:w="120" w:type="dxa"/>
            </w:tcMar>
            <w:vAlign w:val="center"/>
          </w:tcPr>
          <w:p>
            <w:pPr>
              <w:spacing w:after="0" w:line="240" w:lineRule="auto"/>
            </w:pPr>
            <w:r>
              <w:rPr>
                <w:color w:val="16212B"/>
                <w:sz w:val="18"/>
              </w:rPr>
              <w:t>Must not look like adverse result</w:t>
            </w:r>
          </w:p>
        </w:tc>
      </w:tr>
    </w:tbl>
    <w:p>
      <w:pPr>
        <w:spacing w:after="0"/>
      </w:pPr>
    </w:p>
    <w:tbl>
      <w:tblPr>
        <w:tblW w:type="auto" w:w="0"/>
        <w:jc w:val="center"/>
        <w:tblLook w:firstColumn="1" w:firstRow="1" w:lastColumn="0" w:lastRow="0" w:noHBand="0" w:noVBand="1" w:val="04A0"/>
      </w:tblPr>
      <w:tblGrid>
        <w:gridCol w:w="9994"/>
      </w:tblGrid>
      <w:tr>
        <w:tc>
          <w:tcPr>
            <w:tcW w:type="dxa" w:w="9994"/>
            <w:shd w:fill="F0EDF9"/>
            <w:tcMar>
              <w:top w:w="140" w:type="dxa"/>
              <w:start w:w="160" w:type="dxa"/>
              <w:bottom w:w="140" w:type="dxa"/>
              <w:end w:w="160" w:type="dxa"/>
            </w:tcMar>
          </w:tcPr>
          <w:p>
            <w:pPr>
              <w:spacing w:after="80"/>
            </w:pPr>
            <w:r>
              <w:rPr>
                <w:b/>
                <w:color w:val="5B4B8A"/>
                <w:sz w:val="21"/>
              </w:rPr>
              <w:t>Confidence rule</w:t>
            </w:r>
          </w:p>
          <w:p>
            <w:pPr>
              <w:spacing w:after="0" w:line="264" w:lineRule="auto"/>
            </w:pPr>
            <w:r>
              <w:rPr>
                <w:color w:val="16212B"/>
                <w:sz w:val="20"/>
              </w:rPr>
              <w:t>Confidence is confidence in an assessment, not a probability of guilt. The UI SHALL NOT convert confidence language into a “risk meter”, percentage gauge, or threat score unless a separately validated model explicitly requires it.</w:t>
            </w:r>
          </w:p>
        </w:tc>
      </w:tr>
    </w:tbl>
    <w:p>
      <w:pPr>
        <w:spacing w:after="0"/>
      </w:pPr>
    </w:p>
    <w:p>
      <w:pPr>
        <w:pStyle w:val="Heading1"/>
      </w:pPr>
      <w:r>
        <w:t>11. Value-Flow Visual Semantics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shd w:fill="17324D"/>
            <w:tcMar>
              <w:top w:w="100" w:type="dxa"/>
              <w:start w:w="120" w:type="dxa"/>
              <w:bottom w:w="100" w:type="dxa"/>
              <w:end w:w="120" w:type="dxa"/>
            </w:tcMar>
            <w:vAlign w:val="center"/>
          </w:tcPr>
          <w:p>
            <w:pPr>
              <w:jc w:val="center"/>
            </w:pPr>
            <w:r>
              <w:rPr>
                <w:b/>
                <w:color w:val="FFFFFF"/>
                <w:sz w:val="17"/>
              </w:rPr>
              <w:t>Class</w:t>
            </w:r>
          </w:p>
        </w:tc>
        <w:tc>
          <w:tcPr>
            <w:tcW w:type="dxa" w:w="2304"/>
            <w:shd w:fill="17324D"/>
            <w:tcMar>
              <w:top w:w="100" w:type="dxa"/>
              <w:start w:w="120" w:type="dxa"/>
              <w:bottom w:w="100" w:type="dxa"/>
              <w:end w:w="120" w:type="dxa"/>
            </w:tcMar>
            <w:vAlign w:val="center"/>
          </w:tcPr>
          <w:p>
            <w:pPr>
              <w:jc w:val="center"/>
            </w:pPr>
            <w:r>
              <w:rPr>
                <w:b/>
                <w:color w:val="FFFFFF"/>
                <w:sz w:val="17"/>
              </w:rPr>
              <w:t>Line token</w:t>
            </w:r>
          </w:p>
        </w:tc>
        <w:tc>
          <w:tcPr>
            <w:tcW w:type="dxa" w:w="2232"/>
            <w:shd w:fill="17324D"/>
            <w:tcMar>
              <w:top w:w="100" w:type="dxa"/>
              <w:start w:w="120" w:type="dxa"/>
              <w:bottom w:w="100" w:type="dxa"/>
              <w:end w:w="120" w:type="dxa"/>
            </w:tcMar>
            <w:vAlign w:val="center"/>
          </w:tcPr>
          <w:p>
            <w:pPr>
              <w:jc w:val="center"/>
            </w:pPr>
            <w:r>
              <w:rPr>
                <w:b/>
                <w:color w:val="FFFFFF"/>
                <w:sz w:val="17"/>
              </w:rPr>
              <w:t>Mandatory text cue</w:t>
            </w:r>
          </w:p>
        </w:tc>
        <w:tc>
          <w:tcPr>
            <w:tcW w:type="dxa" w:w="3744"/>
            <w:shd w:fill="17324D"/>
            <w:tcMar>
              <w:top w:w="100" w:type="dxa"/>
              <w:start w:w="120" w:type="dxa"/>
              <w:bottom w:w="100" w:type="dxa"/>
              <w:end w:w="120" w:type="dxa"/>
            </w:tcMar>
            <w:vAlign w:val="center"/>
          </w:tcPr>
          <w:p>
            <w:pPr>
              <w:jc w:val="center"/>
            </w:pPr>
            <w:r>
              <w:rPr>
                <w:b/>
                <w:color w:val="FFFFFF"/>
                <w:sz w:val="17"/>
              </w:rPr>
              <w:t>Meaning</w:t>
            </w:r>
          </w:p>
        </w:tc>
      </w:tr>
      <w:tr>
        <w:tc>
          <w:tcPr>
            <w:tcW w:type="dxa" w:w="1728"/>
            <w:tcMar>
              <w:top w:w="100" w:type="dxa"/>
              <w:start w:w="120" w:type="dxa"/>
              <w:bottom w:w="100" w:type="dxa"/>
              <w:end w:w="120" w:type="dxa"/>
            </w:tcMar>
            <w:vAlign w:val="center"/>
          </w:tcPr>
          <w:p>
            <w:pPr>
              <w:spacing w:after="0" w:line="240" w:lineRule="auto"/>
            </w:pPr>
            <w:r>
              <w:rPr>
                <w:color w:val="16212B"/>
                <w:sz w:val="17"/>
              </w:rPr>
              <w:t>DIRECT</w:t>
            </w:r>
          </w:p>
        </w:tc>
        <w:tc>
          <w:tcPr>
            <w:tcW w:type="dxa" w:w="2304"/>
            <w:tcMar>
              <w:top w:w="100" w:type="dxa"/>
              <w:start w:w="120" w:type="dxa"/>
              <w:bottom w:w="100" w:type="dxa"/>
              <w:end w:w="120" w:type="dxa"/>
            </w:tcMar>
            <w:vAlign w:val="center"/>
          </w:tcPr>
          <w:p>
            <w:pPr>
              <w:spacing w:after="0" w:line="240" w:lineRule="auto"/>
            </w:pPr>
            <w:r>
              <w:rPr>
                <w:color w:val="16212B"/>
                <w:sz w:val="17"/>
              </w:rPr>
              <w:t>Solid line</w:t>
            </w:r>
          </w:p>
        </w:tc>
        <w:tc>
          <w:tcPr>
            <w:tcW w:type="dxa" w:w="2232"/>
            <w:tcMar>
              <w:top w:w="100" w:type="dxa"/>
              <w:start w:w="120" w:type="dxa"/>
              <w:bottom w:w="100" w:type="dxa"/>
              <w:end w:w="120" w:type="dxa"/>
            </w:tcMar>
            <w:vAlign w:val="center"/>
          </w:tcPr>
          <w:p>
            <w:pPr>
              <w:spacing w:after="0" w:line="240" w:lineRule="auto"/>
            </w:pPr>
            <w:r>
              <w:rPr>
                <w:color w:val="16212B"/>
                <w:sz w:val="17"/>
              </w:rPr>
              <w:t>DIRECT label</w:t>
            </w:r>
          </w:p>
        </w:tc>
        <w:tc>
          <w:tcPr>
            <w:tcW w:type="dxa" w:w="3744"/>
            <w:tcMar>
              <w:top w:w="100" w:type="dxa"/>
              <w:start w:w="120" w:type="dxa"/>
              <w:bottom w:w="100" w:type="dxa"/>
              <w:end w:w="120" w:type="dxa"/>
            </w:tcMar>
            <w:vAlign w:val="center"/>
          </w:tcPr>
          <w:p>
            <w:pPr>
              <w:spacing w:after="0" w:line="240" w:lineRule="auto"/>
            </w:pPr>
            <w:r>
              <w:rPr>
                <w:color w:val="16212B"/>
                <w:sz w:val="17"/>
              </w:rPr>
              <w:t>Direct transaction/value evidence where authoritative evidence supports it</w:t>
            </w:r>
          </w:p>
        </w:tc>
      </w:tr>
      <w:tr>
        <w:tc>
          <w:tcPr>
            <w:tcW w:type="dxa" w:w="1728"/>
            <w:tcMar>
              <w:top w:w="100" w:type="dxa"/>
              <w:start w:w="120" w:type="dxa"/>
              <w:bottom w:w="100" w:type="dxa"/>
              <w:end w:w="120" w:type="dxa"/>
            </w:tcMar>
            <w:vAlign w:val="center"/>
          </w:tcPr>
          <w:p>
            <w:pPr>
              <w:spacing w:after="0" w:line="240" w:lineRule="auto"/>
            </w:pPr>
            <w:r>
              <w:rPr>
                <w:color w:val="16212B"/>
                <w:sz w:val="17"/>
              </w:rPr>
              <w:t>DOCUMENTED</w:t>
            </w:r>
          </w:p>
        </w:tc>
        <w:tc>
          <w:tcPr>
            <w:tcW w:type="dxa" w:w="2304"/>
            <w:tcMar>
              <w:top w:w="100" w:type="dxa"/>
              <w:start w:w="120" w:type="dxa"/>
              <w:bottom w:w="100" w:type="dxa"/>
              <w:end w:w="120" w:type="dxa"/>
            </w:tcMar>
            <w:vAlign w:val="center"/>
          </w:tcPr>
          <w:p>
            <w:pPr>
              <w:spacing w:after="0" w:line="240" w:lineRule="auto"/>
            </w:pPr>
            <w:r>
              <w:rPr>
                <w:color w:val="16212B"/>
                <w:sz w:val="17"/>
              </w:rPr>
              <w:t>Solid/double-accent line</w:t>
            </w:r>
          </w:p>
        </w:tc>
        <w:tc>
          <w:tcPr>
            <w:tcW w:type="dxa" w:w="2232"/>
            <w:tcMar>
              <w:top w:w="100" w:type="dxa"/>
              <w:start w:w="120" w:type="dxa"/>
              <w:bottom w:w="100" w:type="dxa"/>
              <w:end w:w="120" w:type="dxa"/>
            </w:tcMar>
            <w:vAlign w:val="center"/>
          </w:tcPr>
          <w:p>
            <w:pPr>
              <w:spacing w:after="0" w:line="240" w:lineRule="auto"/>
            </w:pPr>
            <w:r>
              <w:rPr>
                <w:color w:val="16212B"/>
                <w:sz w:val="17"/>
              </w:rPr>
              <w:t>DOCUMENTED label</w:t>
            </w:r>
          </w:p>
        </w:tc>
        <w:tc>
          <w:tcPr>
            <w:tcW w:type="dxa" w:w="3744"/>
            <w:tcMar>
              <w:top w:w="100" w:type="dxa"/>
              <w:start w:w="120" w:type="dxa"/>
              <w:bottom w:w="100" w:type="dxa"/>
              <w:end w:w="120" w:type="dxa"/>
            </w:tcMar>
            <w:vAlign w:val="center"/>
          </w:tcPr>
          <w:p>
            <w:pPr>
              <w:spacing w:after="0" w:line="240" w:lineRule="auto"/>
            </w:pPr>
            <w:r>
              <w:rPr>
                <w:color w:val="16212B"/>
                <w:sz w:val="17"/>
              </w:rPr>
              <w:t>Documented value relationship such as contract, award, purchase</w:t>
            </w:r>
          </w:p>
        </w:tc>
      </w:tr>
      <w:tr>
        <w:tc>
          <w:tcPr>
            <w:tcW w:type="dxa" w:w="1728"/>
            <w:tcMar>
              <w:top w:w="100" w:type="dxa"/>
              <w:start w:w="120" w:type="dxa"/>
              <w:bottom w:w="100" w:type="dxa"/>
              <w:end w:w="120" w:type="dxa"/>
            </w:tcMar>
            <w:vAlign w:val="center"/>
          </w:tcPr>
          <w:p>
            <w:pPr>
              <w:spacing w:after="0" w:line="240" w:lineRule="auto"/>
            </w:pPr>
            <w:r>
              <w:rPr>
                <w:color w:val="16212B"/>
                <w:sz w:val="17"/>
              </w:rPr>
              <w:t>RECONSTRUCTED</w:t>
            </w:r>
          </w:p>
        </w:tc>
        <w:tc>
          <w:tcPr>
            <w:tcW w:type="dxa" w:w="2304"/>
            <w:tcMar>
              <w:top w:w="100" w:type="dxa"/>
              <w:start w:w="120" w:type="dxa"/>
              <w:bottom w:w="100" w:type="dxa"/>
              <w:end w:w="120" w:type="dxa"/>
            </w:tcMar>
            <w:vAlign w:val="center"/>
          </w:tcPr>
          <w:p>
            <w:pPr>
              <w:spacing w:after="0" w:line="240" w:lineRule="auto"/>
            </w:pPr>
            <w:r>
              <w:rPr>
                <w:color w:val="16212B"/>
                <w:sz w:val="17"/>
              </w:rPr>
              <w:t>Dashed line</w:t>
            </w:r>
          </w:p>
        </w:tc>
        <w:tc>
          <w:tcPr>
            <w:tcW w:type="dxa" w:w="2232"/>
            <w:tcMar>
              <w:top w:w="100" w:type="dxa"/>
              <w:start w:w="120" w:type="dxa"/>
              <w:bottom w:w="100" w:type="dxa"/>
              <w:end w:w="120" w:type="dxa"/>
            </w:tcMar>
            <w:vAlign w:val="center"/>
          </w:tcPr>
          <w:p>
            <w:pPr>
              <w:spacing w:after="0" w:line="240" w:lineRule="auto"/>
            </w:pPr>
            <w:r>
              <w:rPr>
                <w:color w:val="16212B"/>
                <w:sz w:val="17"/>
              </w:rPr>
              <w:t>RECONSTRUCTED label</w:t>
            </w:r>
          </w:p>
        </w:tc>
        <w:tc>
          <w:tcPr>
            <w:tcW w:type="dxa" w:w="3744"/>
            <w:tcMar>
              <w:top w:w="100" w:type="dxa"/>
              <w:start w:w="120" w:type="dxa"/>
              <w:bottom w:w="100" w:type="dxa"/>
              <w:end w:w="120" w:type="dxa"/>
            </w:tcMar>
            <w:vAlign w:val="center"/>
          </w:tcPr>
          <w:p>
            <w:pPr>
              <w:spacing w:after="0" w:line="240" w:lineRule="auto"/>
            </w:pPr>
            <w:r>
              <w:rPr>
                <w:color w:val="16212B"/>
                <w:sz w:val="17"/>
              </w:rPr>
              <w:t>Analyst reconstruction from multiple records</w:t>
            </w:r>
          </w:p>
        </w:tc>
      </w:tr>
      <w:tr>
        <w:tc>
          <w:tcPr>
            <w:tcW w:type="dxa" w:w="1728"/>
            <w:tcMar>
              <w:top w:w="100" w:type="dxa"/>
              <w:start w:w="120" w:type="dxa"/>
              <w:bottom w:w="100" w:type="dxa"/>
              <w:end w:w="120" w:type="dxa"/>
            </w:tcMar>
            <w:vAlign w:val="center"/>
          </w:tcPr>
          <w:p>
            <w:pPr>
              <w:spacing w:after="0" w:line="240" w:lineRule="auto"/>
            </w:pPr>
            <w:r>
              <w:rPr>
                <w:color w:val="16212B"/>
                <w:sz w:val="17"/>
              </w:rPr>
              <w:t>HYPOTHETICAL</w:t>
            </w:r>
          </w:p>
        </w:tc>
        <w:tc>
          <w:tcPr>
            <w:tcW w:type="dxa" w:w="2304"/>
            <w:tcMar>
              <w:top w:w="100" w:type="dxa"/>
              <w:start w:w="120" w:type="dxa"/>
              <w:bottom w:w="100" w:type="dxa"/>
              <w:end w:w="120" w:type="dxa"/>
            </w:tcMar>
            <w:vAlign w:val="center"/>
          </w:tcPr>
          <w:p>
            <w:pPr>
              <w:spacing w:after="0" w:line="240" w:lineRule="auto"/>
            </w:pPr>
            <w:r>
              <w:rPr>
                <w:color w:val="16212B"/>
                <w:sz w:val="17"/>
              </w:rPr>
              <w:t>Dotted line</w:t>
            </w:r>
          </w:p>
        </w:tc>
        <w:tc>
          <w:tcPr>
            <w:tcW w:type="dxa" w:w="2232"/>
            <w:tcMar>
              <w:top w:w="100" w:type="dxa"/>
              <w:start w:w="120" w:type="dxa"/>
              <w:bottom w:w="100" w:type="dxa"/>
              <w:end w:w="120" w:type="dxa"/>
            </w:tcMar>
            <w:vAlign w:val="center"/>
          </w:tcPr>
          <w:p>
            <w:pPr>
              <w:spacing w:after="0" w:line="240" w:lineRule="auto"/>
            </w:pPr>
            <w:r>
              <w:rPr>
                <w:color w:val="16212B"/>
                <w:sz w:val="17"/>
              </w:rPr>
              <w:t>HYPOTHETICAL label</w:t>
            </w:r>
          </w:p>
        </w:tc>
        <w:tc>
          <w:tcPr>
            <w:tcW w:type="dxa" w:w="3744"/>
            <w:tcMar>
              <w:top w:w="100" w:type="dxa"/>
              <w:start w:w="120" w:type="dxa"/>
              <w:bottom w:w="100" w:type="dxa"/>
              <w:end w:w="120" w:type="dxa"/>
            </w:tcMar>
            <w:vAlign w:val="center"/>
          </w:tcPr>
          <w:p>
            <w:pPr>
              <w:spacing w:after="0" w:line="240" w:lineRule="auto"/>
            </w:pPr>
            <w:r>
              <w:rPr>
                <w:color w:val="16212B"/>
                <w:sz w:val="17"/>
              </w:rPr>
              <w:t>Analytical possibility/hypothesis</w:t>
            </w:r>
          </w:p>
        </w:tc>
      </w:tr>
    </w:tbl>
    <w:p>
      <w:pPr>
        <w:spacing w:after="0"/>
      </w:pPr>
    </w:p>
    <w:p>
      <w:pPr>
        <w:pStyle w:val="ListBullet"/>
        <w:spacing w:after="40" w:line="259" w:lineRule="auto"/>
      </w:pPr>
      <w:r>
        <w:rPr>
          <w:sz w:val="20"/>
        </w:rPr>
        <w:t>Color MAY supplement but SHALL NOT replace line style and text label.</w:t>
      </w:r>
    </w:p>
    <w:p>
      <w:pPr>
        <w:pStyle w:val="ListBullet"/>
        <w:spacing w:after="40" w:line="259" w:lineRule="auto"/>
      </w:pPr>
      <w:r>
        <w:rPr>
          <w:sz w:val="20"/>
        </w:rPr>
        <w:t>Legends SHALL remain visible or easily accessible in analytical workspaces and exports.</w:t>
      </w:r>
    </w:p>
    <w:p>
      <w:pPr>
        <w:pStyle w:val="ListBullet"/>
        <w:spacing w:after="40" w:line="259" w:lineRule="auto"/>
      </w:pPr>
      <w:r>
        <w:rPr>
          <w:sz w:val="20"/>
        </w:rPr>
        <w:t>Unknown values SHALL display “Unknown”, not 0.</w:t>
      </w:r>
    </w:p>
    <w:p>
      <w:pPr>
        <w:pStyle w:val="ListBullet"/>
        <w:spacing w:after="40" w:line="259" w:lineRule="auto"/>
      </w:pPr>
      <w:r>
        <w:rPr>
          <w:sz w:val="20"/>
        </w:rPr>
        <w:t>Ranges and approximate values SHALL retain approximation markers.</w:t>
      </w:r>
    </w:p>
    <w:p>
      <w:pPr>
        <w:pStyle w:val="ListBullet"/>
        <w:spacing w:after="40" w:line="259" w:lineRule="auto"/>
      </w:pPr>
      <w:r>
        <w:rPr>
          <w:sz w:val="20"/>
        </w:rPr>
        <w:t>A chain containing mixed epistemic classes SHALL preserve the class of each leg; the whole chain SHALL NOT inherit the strongest class.</w:t>
      </w:r>
    </w:p>
    <w:p>
      <w:pPr>
        <w:pStyle w:val="Heading1"/>
      </w:pPr>
      <w:r>
        <w:t>12. Investigation Graph Design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24D"/>
            <w:tcMar>
              <w:top w:w="100" w:type="dxa"/>
              <w:start w:w="120" w:type="dxa"/>
              <w:bottom w:w="100" w:type="dxa"/>
              <w:end w:w="120" w:type="dxa"/>
            </w:tcMar>
            <w:vAlign w:val="center"/>
          </w:tcPr>
          <w:p>
            <w:pPr>
              <w:jc w:val="center"/>
            </w:pPr>
            <w:r>
              <w:rPr>
                <w:b/>
                <w:color w:val="FFFFFF"/>
                <w:sz w:val="18"/>
              </w:rPr>
              <w:t>Element</w:t>
            </w:r>
          </w:p>
        </w:tc>
        <w:tc>
          <w:tcPr>
            <w:tcW w:type="dxa" w:w="7488"/>
            <w:shd w:fill="17324D"/>
            <w:tcMar>
              <w:top w:w="100" w:type="dxa"/>
              <w:start w:w="120" w:type="dxa"/>
              <w:bottom w:w="100" w:type="dxa"/>
              <w:end w:w="120" w:type="dxa"/>
            </w:tcMar>
            <w:vAlign w:val="center"/>
          </w:tcPr>
          <w:p>
            <w:pPr>
              <w:jc w:val="center"/>
            </w:pPr>
            <w:r>
              <w:rPr>
                <w:b/>
                <w:color w:val="FFFFFF"/>
                <w:sz w:val="18"/>
              </w:rPr>
              <w:t>Design rule</w:t>
            </w:r>
          </w:p>
        </w:tc>
      </w:tr>
      <w:tr>
        <w:tc>
          <w:tcPr>
            <w:tcW w:type="dxa" w:w="2304"/>
            <w:tcMar>
              <w:top w:w="100" w:type="dxa"/>
              <w:start w:w="120" w:type="dxa"/>
              <w:bottom w:w="100" w:type="dxa"/>
              <w:end w:w="120" w:type="dxa"/>
            </w:tcMar>
            <w:vAlign w:val="center"/>
          </w:tcPr>
          <w:p>
            <w:pPr>
              <w:spacing w:after="0" w:line="240" w:lineRule="auto"/>
            </w:pPr>
            <w:r>
              <w:rPr>
                <w:color w:val="16212B"/>
                <w:sz w:val="18"/>
              </w:rPr>
              <w:t>Node type</w:t>
            </w:r>
          </w:p>
        </w:tc>
        <w:tc>
          <w:tcPr>
            <w:tcW w:type="dxa" w:w="7488"/>
            <w:tcMar>
              <w:top w:w="100" w:type="dxa"/>
              <w:start w:w="120" w:type="dxa"/>
              <w:bottom w:w="100" w:type="dxa"/>
              <w:end w:w="120" w:type="dxa"/>
            </w:tcMar>
            <w:vAlign w:val="center"/>
          </w:tcPr>
          <w:p>
            <w:pPr>
              <w:spacing w:after="0" w:line="240" w:lineRule="auto"/>
            </w:pPr>
            <w:r>
              <w:rPr>
                <w:color w:val="16212B"/>
                <w:sz w:val="18"/>
              </w:rPr>
              <w:t>Use neutral type-specific icon/shape; do not encode suspicion.</w:t>
            </w:r>
          </w:p>
        </w:tc>
      </w:tr>
      <w:tr>
        <w:tc>
          <w:tcPr>
            <w:tcW w:type="dxa" w:w="2304"/>
            <w:tcMar>
              <w:top w:w="100" w:type="dxa"/>
              <w:start w:w="120" w:type="dxa"/>
              <w:bottom w:w="100" w:type="dxa"/>
              <w:end w:w="120" w:type="dxa"/>
            </w:tcMar>
            <w:vAlign w:val="center"/>
          </w:tcPr>
          <w:p>
            <w:pPr>
              <w:spacing w:after="0" w:line="240" w:lineRule="auto"/>
            </w:pPr>
            <w:r>
              <w:rPr>
                <w:color w:val="16212B"/>
                <w:sz w:val="18"/>
              </w:rPr>
              <w:t>Node size</w:t>
            </w:r>
          </w:p>
        </w:tc>
        <w:tc>
          <w:tcPr>
            <w:tcW w:type="dxa" w:w="7488"/>
            <w:tcMar>
              <w:top w:w="100" w:type="dxa"/>
              <w:start w:w="120" w:type="dxa"/>
              <w:bottom w:w="100" w:type="dxa"/>
              <w:end w:w="120" w:type="dxa"/>
            </w:tcMar>
            <w:vAlign w:val="center"/>
          </w:tcPr>
          <w:p>
            <w:pPr>
              <w:spacing w:after="0" w:line="240" w:lineRule="auto"/>
            </w:pPr>
            <w:r>
              <w:rPr>
                <w:color w:val="16212B"/>
                <w:sz w:val="18"/>
              </w:rPr>
              <w:t>Default size SHOULD be stable. Centrality MAY be optional analytic overlay, not default guilt cue.</w:t>
            </w:r>
          </w:p>
        </w:tc>
      </w:tr>
      <w:tr>
        <w:tc>
          <w:tcPr>
            <w:tcW w:type="dxa" w:w="2304"/>
            <w:tcMar>
              <w:top w:w="100" w:type="dxa"/>
              <w:start w:w="120" w:type="dxa"/>
              <w:bottom w:w="100" w:type="dxa"/>
              <w:end w:w="120" w:type="dxa"/>
            </w:tcMar>
            <w:vAlign w:val="center"/>
          </w:tcPr>
          <w:p>
            <w:pPr>
              <w:spacing w:after="0" w:line="240" w:lineRule="auto"/>
            </w:pPr>
            <w:r>
              <w:rPr>
                <w:color w:val="16212B"/>
                <w:sz w:val="18"/>
              </w:rPr>
              <w:t>Edge</w:t>
            </w:r>
          </w:p>
        </w:tc>
        <w:tc>
          <w:tcPr>
            <w:tcW w:type="dxa" w:w="7488"/>
            <w:tcMar>
              <w:top w:w="100" w:type="dxa"/>
              <w:start w:w="120" w:type="dxa"/>
              <w:bottom w:w="100" w:type="dxa"/>
              <w:end w:w="120" w:type="dxa"/>
            </w:tcMar>
            <w:vAlign w:val="center"/>
          </w:tcPr>
          <w:p>
            <w:pPr>
              <w:spacing w:after="0" w:line="240" w:lineRule="auto"/>
            </w:pPr>
            <w:r>
              <w:rPr>
                <w:color w:val="16212B"/>
                <w:sz w:val="18"/>
              </w:rPr>
              <w:t>Type + status + evidence availability must be inspectable.</w:t>
            </w:r>
          </w:p>
        </w:tc>
      </w:tr>
      <w:tr>
        <w:tc>
          <w:tcPr>
            <w:tcW w:type="dxa" w:w="2304"/>
            <w:tcMar>
              <w:top w:w="100" w:type="dxa"/>
              <w:start w:w="120" w:type="dxa"/>
              <w:bottom w:w="100" w:type="dxa"/>
              <w:end w:w="120" w:type="dxa"/>
            </w:tcMar>
            <w:vAlign w:val="center"/>
          </w:tcPr>
          <w:p>
            <w:pPr>
              <w:spacing w:after="0" w:line="240" w:lineRule="auto"/>
            </w:pPr>
            <w:r>
              <w:rPr>
                <w:color w:val="16212B"/>
                <w:sz w:val="18"/>
              </w:rPr>
              <w:t>Inferred edge</w:t>
            </w:r>
          </w:p>
        </w:tc>
        <w:tc>
          <w:tcPr>
            <w:tcW w:type="dxa" w:w="7488"/>
            <w:tcMar>
              <w:top w:w="100" w:type="dxa"/>
              <w:start w:w="120" w:type="dxa"/>
              <w:bottom w:w="100" w:type="dxa"/>
              <w:end w:w="120" w:type="dxa"/>
            </w:tcMar>
            <w:vAlign w:val="center"/>
          </w:tcPr>
          <w:p>
            <w:pPr>
              <w:spacing w:after="0" w:line="240" w:lineRule="auto"/>
            </w:pPr>
            <w:r>
              <w:rPr>
                <w:color w:val="16212B"/>
                <w:sz w:val="18"/>
              </w:rPr>
              <w:t>Use distinct analytical styling and label.</w:t>
            </w:r>
          </w:p>
        </w:tc>
      </w:tr>
      <w:tr>
        <w:tc>
          <w:tcPr>
            <w:tcW w:type="dxa" w:w="2304"/>
            <w:tcMar>
              <w:top w:w="100" w:type="dxa"/>
              <w:start w:w="120" w:type="dxa"/>
              <w:bottom w:w="100" w:type="dxa"/>
              <w:end w:w="120" w:type="dxa"/>
            </w:tcMar>
            <w:vAlign w:val="center"/>
          </w:tcPr>
          <w:p>
            <w:pPr>
              <w:spacing w:after="0" w:line="240" w:lineRule="auto"/>
            </w:pPr>
            <w:r>
              <w:rPr>
                <w:color w:val="16212B"/>
                <w:sz w:val="18"/>
              </w:rPr>
              <w:t>Selection</w:t>
            </w:r>
          </w:p>
        </w:tc>
        <w:tc>
          <w:tcPr>
            <w:tcW w:type="dxa" w:w="7488"/>
            <w:tcMar>
              <w:top w:w="100" w:type="dxa"/>
              <w:start w:w="120" w:type="dxa"/>
              <w:bottom w:w="100" w:type="dxa"/>
              <w:end w:w="120" w:type="dxa"/>
            </w:tcMar>
            <w:vAlign w:val="center"/>
          </w:tcPr>
          <w:p>
            <w:pPr>
              <w:spacing w:after="0" w:line="240" w:lineRule="auto"/>
            </w:pPr>
            <w:r>
              <w:rPr>
                <w:color w:val="16212B"/>
                <w:sz w:val="18"/>
              </w:rPr>
              <w:t>High-contrast outline; do not change semantic status.</w:t>
            </w:r>
          </w:p>
        </w:tc>
      </w:tr>
      <w:tr>
        <w:tc>
          <w:tcPr>
            <w:tcW w:type="dxa" w:w="2304"/>
            <w:tcMar>
              <w:top w:w="100" w:type="dxa"/>
              <w:start w:w="120" w:type="dxa"/>
              <w:bottom w:w="100" w:type="dxa"/>
              <w:end w:w="120" w:type="dxa"/>
            </w:tcMar>
            <w:vAlign w:val="center"/>
          </w:tcPr>
          <w:p>
            <w:pPr>
              <w:spacing w:after="0" w:line="240" w:lineRule="auto"/>
            </w:pPr>
            <w:r>
              <w:rPr>
                <w:color w:val="16212B"/>
                <w:sz w:val="18"/>
              </w:rPr>
              <w:t>Restricted object</w:t>
            </w:r>
          </w:p>
        </w:tc>
        <w:tc>
          <w:tcPr>
            <w:tcW w:type="dxa" w:w="7488"/>
            <w:tcMar>
              <w:top w:w="100" w:type="dxa"/>
              <w:start w:w="120" w:type="dxa"/>
              <w:bottom w:w="100" w:type="dxa"/>
              <w:end w:w="120" w:type="dxa"/>
            </w:tcMar>
            <w:vAlign w:val="center"/>
          </w:tcPr>
          <w:p>
            <w:pPr>
              <w:spacing w:after="0" w:line="240" w:lineRule="auto"/>
            </w:pPr>
            <w:r>
              <w:rPr>
                <w:color w:val="16212B"/>
                <w:sz w:val="18"/>
              </w:rPr>
              <w:t>Render only according to permission policy; never reveal hidden node count if prohibited.</w:t>
            </w:r>
          </w:p>
        </w:tc>
      </w:tr>
      <w:tr>
        <w:tc>
          <w:tcPr>
            <w:tcW w:type="dxa" w:w="2304"/>
            <w:tcMar>
              <w:top w:w="100" w:type="dxa"/>
              <w:start w:w="120" w:type="dxa"/>
              <w:bottom w:w="100" w:type="dxa"/>
              <w:end w:w="120" w:type="dxa"/>
            </w:tcMar>
            <w:vAlign w:val="center"/>
          </w:tcPr>
          <w:p>
            <w:pPr>
              <w:spacing w:after="0" w:line="240" w:lineRule="auto"/>
            </w:pPr>
            <w:r>
              <w:rPr>
                <w:color w:val="16212B"/>
                <w:sz w:val="18"/>
              </w:rPr>
              <w:t>Provenance</w:t>
            </w:r>
          </w:p>
        </w:tc>
        <w:tc>
          <w:tcPr>
            <w:tcW w:type="dxa" w:w="7488"/>
            <w:tcMar>
              <w:top w:w="100" w:type="dxa"/>
              <w:start w:w="120" w:type="dxa"/>
              <w:bottom w:w="100" w:type="dxa"/>
              <w:end w:w="120" w:type="dxa"/>
            </w:tcMar>
            <w:vAlign w:val="center"/>
          </w:tcPr>
          <w:p>
            <w:pPr>
              <w:spacing w:after="0" w:line="240" w:lineRule="auto"/>
            </w:pPr>
            <w:r>
              <w:rPr>
                <w:color w:val="16212B"/>
                <w:sz w:val="18"/>
              </w:rPr>
              <w:t>Inspector SHALL expose relationship record and supporting evidence.</w:t>
            </w:r>
          </w:p>
        </w:tc>
      </w:tr>
      <w:tr>
        <w:tc>
          <w:tcPr>
            <w:tcW w:type="dxa" w:w="2304"/>
            <w:tcMar>
              <w:top w:w="100" w:type="dxa"/>
              <w:start w:w="120" w:type="dxa"/>
              <w:bottom w:w="100" w:type="dxa"/>
              <w:end w:w="120" w:type="dxa"/>
            </w:tcMar>
            <w:vAlign w:val="center"/>
          </w:tcPr>
          <w:p>
            <w:pPr>
              <w:spacing w:after="0" w:line="240" w:lineRule="auto"/>
            </w:pPr>
            <w:r>
              <w:rPr>
                <w:color w:val="16212B"/>
                <w:sz w:val="18"/>
              </w:rPr>
              <w:t>Community colors</w:t>
            </w:r>
          </w:p>
        </w:tc>
        <w:tc>
          <w:tcPr>
            <w:tcW w:type="dxa" w:w="7488"/>
            <w:tcMar>
              <w:top w:w="100" w:type="dxa"/>
              <w:start w:w="120" w:type="dxa"/>
              <w:bottom w:w="100" w:type="dxa"/>
              <w:end w:w="120" w:type="dxa"/>
            </w:tcMar>
            <w:vAlign w:val="center"/>
          </w:tcPr>
          <w:p>
            <w:pPr>
              <w:spacing w:after="0" w:line="240" w:lineRule="auto"/>
            </w:pPr>
            <w:r>
              <w:rPr>
                <w:color w:val="16212B"/>
                <w:sz w:val="18"/>
              </w:rPr>
              <w:t>Exploratory palette only; legend states algorithmic grouping, not culpability.</w:t>
            </w:r>
          </w:p>
        </w:tc>
      </w:tr>
    </w:tbl>
    <w:p>
      <w:pPr>
        <w:spacing w:after="0"/>
      </w:pPr>
    </w:p>
    <w:tbl>
      <w:tblPr>
        <w:tblW w:type="auto" w:w="0"/>
        <w:jc w:val="center"/>
        <w:tblLook w:firstColumn="1" w:firstRow="1" w:lastColumn="0" w:lastRow="0" w:noHBand="0" w:noVBand="1" w:val="04A0"/>
      </w:tblPr>
      <w:tblGrid>
        <w:gridCol w:w="9994"/>
      </w:tblGrid>
      <w:tr>
        <w:tc>
          <w:tcPr>
            <w:tcW w:type="dxa" w:w="9994"/>
            <w:shd w:fill="FBEDED"/>
            <w:tcMar>
              <w:top w:w="140" w:type="dxa"/>
              <w:start w:w="160" w:type="dxa"/>
              <w:bottom w:w="140" w:type="dxa"/>
              <w:end w:w="160" w:type="dxa"/>
            </w:tcMar>
          </w:tcPr>
          <w:p>
            <w:pPr>
              <w:spacing w:after="80"/>
            </w:pPr>
            <w:r>
              <w:rPr>
                <w:b/>
                <w:color w:val="A13333"/>
                <w:sz w:val="21"/>
              </w:rPr>
              <w:t>Graph prohibition</w:t>
            </w:r>
          </w:p>
          <w:p>
            <w:pPr>
              <w:spacing w:after="0" w:line="264" w:lineRule="auto"/>
            </w:pPr>
            <w:r>
              <w:rPr>
                <w:color w:val="16212B"/>
                <w:sz w:val="20"/>
              </w:rPr>
              <w:t>Red nodes, skull icons, target rings, heat-map threat coloring, or automatic “high risk” styling SHALL NOT be assigned solely from degree, centrality, path proximity, typology match, or presence in a case.</w:t>
            </w:r>
          </w:p>
        </w:tc>
      </w:tr>
    </w:tbl>
    <w:p>
      <w:pPr>
        <w:spacing w:after="0"/>
      </w:pPr>
    </w:p>
    <w:p>
      <w:pPr>
        <w:pStyle w:val="Heading1"/>
      </w:pPr>
      <w:r>
        <w:t>13. Timeline Design Rules</w:t>
      </w:r>
    </w:p>
    <w:p>
      <w:pPr>
        <w:pStyle w:val="ListBullet"/>
        <w:spacing w:after="40" w:line="259" w:lineRule="auto"/>
      </w:pPr>
      <w:r>
        <w:rPr>
          <w:sz w:val="20"/>
        </w:rPr>
        <w:t>Exact, approximate, month-only, year-only, range, and unknown date precision SHALL be visually distinguishable.</w:t>
      </w:r>
    </w:p>
    <w:p>
      <w:pPr>
        <w:pStyle w:val="ListBullet"/>
        <w:spacing w:after="40" w:line="259" w:lineRule="auto"/>
      </w:pPr>
      <w:r>
        <w:rPr>
          <w:sz w:val="20"/>
        </w:rPr>
        <w:t>Events SHALL expose type, involved objects, date precision, and evidence/provenance.</w:t>
      </w:r>
    </w:p>
    <w:p>
      <w:pPr>
        <w:pStyle w:val="ListBullet"/>
        <w:spacing w:after="40" w:line="259" w:lineRule="auto"/>
      </w:pPr>
      <w:r>
        <w:rPr>
          <w:sz w:val="20"/>
        </w:rPr>
        <w:t>Current versus historical relationship state SHALL be distinguishable without requiring hover.</w:t>
      </w:r>
    </w:p>
    <w:p>
      <w:pPr>
        <w:pStyle w:val="ListBullet"/>
        <w:spacing w:after="40" w:line="259" w:lineRule="auto"/>
      </w:pPr>
      <w:r>
        <w:rPr>
          <w:sz w:val="20"/>
        </w:rPr>
        <w:t>Dense timelines MAY collapse low-priority items, but hidden count and filtering logic SHALL be visible.</w:t>
      </w:r>
    </w:p>
    <w:p>
      <w:pPr>
        <w:pStyle w:val="ListBullet"/>
        <w:spacing w:after="40" w:line="259" w:lineRule="auto"/>
      </w:pPr>
      <w:r>
        <w:rPr>
          <w:sz w:val="20"/>
        </w:rPr>
        <w:t>Timeline color SHOULD primarily encode event category or selection, not adverse status.</w:t>
      </w:r>
    </w:p>
    <w:p>
      <w:pPr>
        <w:pStyle w:val="Heading1"/>
      </w:pPr>
      <w:r>
        <w:t>14. Component Catalogue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6"/>
              </w:rPr>
              <w:t>ID</w:t>
            </w:r>
          </w:p>
        </w:tc>
        <w:tc>
          <w:tcPr>
            <w:tcW w:type="dxa" w:w="2880"/>
            <w:shd w:fill="17324D"/>
            <w:tcMar>
              <w:top w:w="100" w:type="dxa"/>
              <w:start w:w="120" w:type="dxa"/>
              <w:bottom w:w="100" w:type="dxa"/>
              <w:end w:w="120" w:type="dxa"/>
            </w:tcMar>
            <w:vAlign w:val="center"/>
          </w:tcPr>
          <w:p>
            <w:pPr>
              <w:jc w:val="center"/>
            </w:pPr>
            <w:r>
              <w:rPr>
                <w:b/>
                <w:color w:val="FFFFFF"/>
                <w:sz w:val="16"/>
              </w:rPr>
              <w:t>Component</w:t>
            </w:r>
          </w:p>
        </w:tc>
        <w:tc>
          <w:tcPr>
            <w:tcW w:type="dxa" w:w="5472"/>
            <w:shd w:fill="17324D"/>
            <w:tcMar>
              <w:top w:w="100" w:type="dxa"/>
              <w:start w:w="120" w:type="dxa"/>
              <w:bottom w:w="100" w:type="dxa"/>
              <w:end w:w="120" w:type="dxa"/>
            </w:tcMar>
            <w:vAlign w:val="center"/>
          </w:tcPr>
          <w:p>
            <w:pPr>
              <w:jc w:val="center"/>
            </w:pPr>
            <w:r>
              <w:rPr>
                <w:b/>
                <w:color w:val="FFFFFF"/>
                <w:sz w:val="16"/>
              </w:rPr>
              <w:t>Primary use</w:t>
            </w:r>
          </w:p>
        </w:tc>
      </w:tr>
      <w:tr>
        <w:tc>
          <w:tcPr>
            <w:tcW w:type="dxa" w:w="1440"/>
            <w:tcMar>
              <w:top w:w="100" w:type="dxa"/>
              <w:start w:w="120" w:type="dxa"/>
              <w:bottom w:w="100" w:type="dxa"/>
              <w:end w:w="120" w:type="dxa"/>
            </w:tcMar>
            <w:vAlign w:val="center"/>
          </w:tcPr>
          <w:p>
            <w:pPr>
              <w:spacing w:after="0" w:line="240" w:lineRule="auto"/>
            </w:pPr>
            <w:r>
              <w:rPr>
                <w:color w:val="16212B"/>
                <w:sz w:val="16"/>
              </w:rPr>
              <w:t>DS-C001</w:t>
            </w:r>
          </w:p>
        </w:tc>
        <w:tc>
          <w:tcPr>
            <w:tcW w:type="dxa" w:w="2880"/>
            <w:tcMar>
              <w:top w:w="100" w:type="dxa"/>
              <w:start w:w="120" w:type="dxa"/>
              <w:bottom w:w="100" w:type="dxa"/>
              <w:end w:w="120" w:type="dxa"/>
            </w:tcMar>
            <w:vAlign w:val="center"/>
          </w:tcPr>
          <w:p>
            <w:pPr>
              <w:spacing w:after="0" w:line="240" w:lineRule="auto"/>
            </w:pPr>
            <w:r>
              <w:rPr>
                <w:color w:val="16212B"/>
                <w:sz w:val="16"/>
              </w:rPr>
              <w:t>Button</w:t>
            </w:r>
          </w:p>
        </w:tc>
        <w:tc>
          <w:tcPr>
            <w:tcW w:type="dxa" w:w="5472"/>
            <w:tcMar>
              <w:top w:w="100" w:type="dxa"/>
              <w:start w:w="120" w:type="dxa"/>
              <w:bottom w:w="100" w:type="dxa"/>
              <w:end w:w="120" w:type="dxa"/>
            </w:tcMar>
            <w:vAlign w:val="center"/>
          </w:tcPr>
          <w:p>
            <w:pPr>
              <w:spacing w:after="0" w:line="240" w:lineRule="auto"/>
            </w:pPr>
            <w:r>
              <w:rPr>
                <w:color w:val="16212B"/>
                <w:sz w:val="16"/>
              </w:rPr>
              <w:t>Primary, secondary, tertiary, danger, icon</w:t>
            </w:r>
          </w:p>
        </w:tc>
      </w:tr>
      <w:tr>
        <w:tc>
          <w:tcPr>
            <w:tcW w:type="dxa" w:w="1440"/>
            <w:tcMar>
              <w:top w:w="100" w:type="dxa"/>
              <w:start w:w="120" w:type="dxa"/>
              <w:bottom w:w="100" w:type="dxa"/>
              <w:end w:w="120" w:type="dxa"/>
            </w:tcMar>
            <w:vAlign w:val="center"/>
          </w:tcPr>
          <w:p>
            <w:pPr>
              <w:spacing w:after="0" w:line="240" w:lineRule="auto"/>
            </w:pPr>
            <w:r>
              <w:rPr>
                <w:color w:val="16212B"/>
                <w:sz w:val="16"/>
              </w:rPr>
              <w:t>DS-C002</w:t>
            </w:r>
          </w:p>
        </w:tc>
        <w:tc>
          <w:tcPr>
            <w:tcW w:type="dxa" w:w="2880"/>
            <w:tcMar>
              <w:top w:w="100" w:type="dxa"/>
              <w:start w:w="120" w:type="dxa"/>
              <w:bottom w:w="100" w:type="dxa"/>
              <w:end w:w="120" w:type="dxa"/>
            </w:tcMar>
            <w:vAlign w:val="center"/>
          </w:tcPr>
          <w:p>
            <w:pPr>
              <w:spacing w:after="0" w:line="240" w:lineRule="auto"/>
            </w:pPr>
            <w:r>
              <w:rPr>
                <w:color w:val="16212B"/>
                <w:sz w:val="16"/>
              </w:rPr>
              <w:t>Text input</w:t>
            </w:r>
          </w:p>
        </w:tc>
        <w:tc>
          <w:tcPr>
            <w:tcW w:type="dxa" w:w="5472"/>
            <w:tcMar>
              <w:top w:w="100" w:type="dxa"/>
              <w:start w:w="120" w:type="dxa"/>
              <w:bottom w:w="100" w:type="dxa"/>
              <w:end w:w="120" w:type="dxa"/>
            </w:tcMar>
            <w:vAlign w:val="center"/>
          </w:tcPr>
          <w:p>
            <w:pPr>
              <w:spacing w:after="0" w:line="240" w:lineRule="auto"/>
            </w:pPr>
            <w:r>
              <w:rPr>
                <w:color w:val="16212B"/>
                <w:sz w:val="16"/>
              </w:rPr>
              <w:t>Text, URL, identifier, amount</w:t>
            </w:r>
          </w:p>
        </w:tc>
      </w:tr>
      <w:tr>
        <w:tc>
          <w:tcPr>
            <w:tcW w:type="dxa" w:w="1440"/>
            <w:tcMar>
              <w:top w:w="100" w:type="dxa"/>
              <w:start w:w="120" w:type="dxa"/>
              <w:bottom w:w="100" w:type="dxa"/>
              <w:end w:w="120" w:type="dxa"/>
            </w:tcMar>
            <w:vAlign w:val="center"/>
          </w:tcPr>
          <w:p>
            <w:pPr>
              <w:spacing w:after="0" w:line="240" w:lineRule="auto"/>
            </w:pPr>
            <w:r>
              <w:rPr>
                <w:color w:val="16212B"/>
                <w:sz w:val="16"/>
              </w:rPr>
              <w:t>DS-C003</w:t>
            </w:r>
          </w:p>
        </w:tc>
        <w:tc>
          <w:tcPr>
            <w:tcW w:type="dxa" w:w="2880"/>
            <w:tcMar>
              <w:top w:w="100" w:type="dxa"/>
              <w:start w:w="120" w:type="dxa"/>
              <w:bottom w:w="100" w:type="dxa"/>
              <w:end w:w="120" w:type="dxa"/>
            </w:tcMar>
            <w:vAlign w:val="center"/>
          </w:tcPr>
          <w:p>
            <w:pPr>
              <w:spacing w:after="0" w:line="240" w:lineRule="auto"/>
            </w:pPr>
            <w:r>
              <w:rPr>
                <w:color w:val="16212B"/>
                <w:sz w:val="16"/>
              </w:rPr>
              <w:t>Select / combobox</w:t>
            </w:r>
          </w:p>
        </w:tc>
        <w:tc>
          <w:tcPr>
            <w:tcW w:type="dxa" w:w="5472"/>
            <w:tcMar>
              <w:top w:w="100" w:type="dxa"/>
              <w:start w:w="120" w:type="dxa"/>
              <w:bottom w:w="100" w:type="dxa"/>
              <w:end w:w="120" w:type="dxa"/>
            </w:tcMar>
            <w:vAlign w:val="center"/>
          </w:tcPr>
          <w:p>
            <w:pPr>
              <w:spacing w:after="0" w:line="240" w:lineRule="auto"/>
            </w:pPr>
            <w:r>
              <w:rPr>
                <w:color w:val="16212B"/>
                <w:sz w:val="16"/>
              </w:rPr>
              <w:t>Controlled vocabulary, entity picker</w:t>
            </w:r>
          </w:p>
        </w:tc>
      </w:tr>
      <w:tr>
        <w:tc>
          <w:tcPr>
            <w:tcW w:type="dxa" w:w="1440"/>
            <w:tcMar>
              <w:top w:w="100" w:type="dxa"/>
              <w:start w:w="120" w:type="dxa"/>
              <w:bottom w:w="100" w:type="dxa"/>
              <w:end w:w="120" w:type="dxa"/>
            </w:tcMar>
            <w:vAlign w:val="center"/>
          </w:tcPr>
          <w:p>
            <w:pPr>
              <w:spacing w:after="0" w:line="240" w:lineRule="auto"/>
            </w:pPr>
            <w:r>
              <w:rPr>
                <w:color w:val="16212B"/>
                <w:sz w:val="16"/>
              </w:rPr>
              <w:t>DS-C004</w:t>
            </w:r>
          </w:p>
        </w:tc>
        <w:tc>
          <w:tcPr>
            <w:tcW w:type="dxa" w:w="2880"/>
            <w:tcMar>
              <w:top w:w="100" w:type="dxa"/>
              <w:start w:w="120" w:type="dxa"/>
              <w:bottom w:w="100" w:type="dxa"/>
              <w:end w:w="120" w:type="dxa"/>
            </w:tcMar>
            <w:vAlign w:val="center"/>
          </w:tcPr>
          <w:p>
            <w:pPr>
              <w:spacing w:after="0" w:line="240" w:lineRule="auto"/>
            </w:pPr>
            <w:r>
              <w:rPr>
                <w:color w:val="16212B"/>
                <w:sz w:val="16"/>
              </w:rPr>
              <w:t>Date / date precision</w:t>
            </w:r>
          </w:p>
        </w:tc>
        <w:tc>
          <w:tcPr>
            <w:tcW w:type="dxa" w:w="5472"/>
            <w:tcMar>
              <w:top w:w="100" w:type="dxa"/>
              <w:start w:w="120" w:type="dxa"/>
              <w:bottom w:w="100" w:type="dxa"/>
              <w:end w:w="120" w:type="dxa"/>
            </w:tcMar>
            <w:vAlign w:val="center"/>
          </w:tcPr>
          <w:p>
            <w:pPr>
              <w:spacing w:after="0" w:line="240" w:lineRule="auto"/>
            </w:pPr>
            <w:r>
              <w:rPr>
                <w:color w:val="16212B"/>
                <w:sz w:val="16"/>
              </w:rPr>
              <w:t>Exact/approximate/range/unknown</w:t>
            </w:r>
          </w:p>
        </w:tc>
      </w:tr>
      <w:tr>
        <w:tc>
          <w:tcPr>
            <w:tcW w:type="dxa" w:w="1440"/>
            <w:tcMar>
              <w:top w:w="100" w:type="dxa"/>
              <w:start w:w="120" w:type="dxa"/>
              <w:bottom w:w="100" w:type="dxa"/>
              <w:end w:w="120" w:type="dxa"/>
            </w:tcMar>
            <w:vAlign w:val="center"/>
          </w:tcPr>
          <w:p>
            <w:pPr>
              <w:spacing w:after="0" w:line="240" w:lineRule="auto"/>
            </w:pPr>
            <w:r>
              <w:rPr>
                <w:color w:val="16212B"/>
                <w:sz w:val="16"/>
              </w:rPr>
              <w:t>DS-C005</w:t>
            </w:r>
          </w:p>
        </w:tc>
        <w:tc>
          <w:tcPr>
            <w:tcW w:type="dxa" w:w="2880"/>
            <w:tcMar>
              <w:top w:w="100" w:type="dxa"/>
              <w:start w:w="120" w:type="dxa"/>
              <w:bottom w:w="100" w:type="dxa"/>
              <w:end w:w="120" w:type="dxa"/>
            </w:tcMar>
            <w:vAlign w:val="center"/>
          </w:tcPr>
          <w:p>
            <w:pPr>
              <w:spacing w:after="0" w:line="240" w:lineRule="auto"/>
            </w:pPr>
            <w:r>
              <w:rPr>
                <w:color w:val="16212B"/>
                <w:sz w:val="16"/>
              </w:rPr>
              <w:t>Checkbox / radio / switch</w:t>
            </w:r>
          </w:p>
        </w:tc>
        <w:tc>
          <w:tcPr>
            <w:tcW w:type="dxa" w:w="5472"/>
            <w:tcMar>
              <w:top w:w="100" w:type="dxa"/>
              <w:start w:w="120" w:type="dxa"/>
              <w:bottom w:w="100" w:type="dxa"/>
              <w:end w:w="120" w:type="dxa"/>
            </w:tcMar>
            <w:vAlign w:val="center"/>
          </w:tcPr>
          <w:p>
            <w:pPr>
              <w:spacing w:after="0" w:line="240" w:lineRule="auto"/>
            </w:pPr>
            <w:r>
              <w:rPr>
                <w:color w:val="16212B"/>
                <w:sz w:val="16"/>
              </w:rPr>
              <w:t>Explicit state controls</w:t>
            </w:r>
          </w:p>
        </w:tc>
      </w:tr>
      <w:tr>
        <w:tc>
          <w:tcPr>
            <w:tcW w:type="dxa" w:w="1440"/>
            <w:tcMar>
              <w:top w:w="100" w:type="dxa"/>
              <w:start w:w="120" w:type="dxa"/>
              <w:bottom w:w="100" w:type="dxa"/>
              <w:end w:w="120" w:type="dxa"/>
            </w:tcMar>
            <w:vAlign w:val="center"/>
          </w:tcPr>
          <w:p>
            <w:pPr>
              <w:spacing w:after="0" w:line="240" w:lineRule="auto"/>
            </w:pPr>
            <w:r>
              <w:rPr>
                <w:color w:val="16212B"/>
                <w:sz w:val="16"/>
              </w:rPr>
              <w:t>DS-C006</w:t>
            </w:r>
          </w:p>
        </w:tc>
        <w:tc>
          <w:tcPr>
            <w:tcW w:type="dxa" w:w="2880"/>
            <w:tcMar>
              <w:top w:w="100" w:type="dxa"/>
              <w:start w:w="120" w:type="dxa"/>
              <w:bottom w:w="100" w:type="dxa"/>
              <w:end w:w="120" w:type="dxa"/>
            </w:tcMar>
            <w:vAlign w:val="center"/>
          </w:tcPr>
          <w:p>
            <w:pPr>
              <w:spacing w:after="0" w:line="240" w:lineRule="auto"/>
            </w:pPr>
            <w:r>
              <w:rPr>
                <w:color w:val="16212B"/>
                <w:sz w:val="16"/>
              </w:rPr>
              <w:t>Badge / status pill</w:t>
            </w:r>
          </w:p>
        </w:tc>
        <w:tc>
          <w:tcPr>
            <w:tcW w:type="dxa" w:w="5472"/>
            <w:tcMar>
              <w:top w:w="100" w:type="dxa"/>
              <w:start w:w="120" w:type="dxa"/>
              <w:bottom w:w="100" w:type="dxa"/>
              <w:end w:w="120" w:type="dxa"/>
            </w:tcMar>
            <w:vAlign w:val="center"/>
          </w:tcPr>
          <w:p>
            <w:pPr>
              <w:spacing w:after="0" w:line="240" w:lineRule="auto"/>
            </w:pPr>
            <w:r>
              <w:rPr>
                <w:color w:val="16212B"/>
                <w:sz w:val="16"/>
              </w:rPr>
              <w:t>Lifecycle, analytical state, classification</w:t>
            </w:r>
          </w:p>
        </w:tc>
      </w:tr>
      <w:tr>
        <w:tc>
          <w:tcPr>
            <w:tcW w:type="dxa" w:w="1440"/>
            <w:tcMar>
              <w:top w:w="100" w:type="dxa"/>
              <w:start w:w="120" w:type="dxa"/>
              <w:bottom w:w="100" w:type="dxa"/>
              <w:end w:w="120" w:type="dxa"/>
            </w:tcMar>
            <w:vAlign w:val="center"/>
          </w:tcPr>
          <w:p>
            <w:pPr>
              <w:spacing w:after="0" w:line="240" w:lineRule="auto"/>
            </w:pPr>
            <w:r>
              <w:rPr>
                <w:color w:val="16212B"/>
                <w:sz w:val="16"/>
              </w:rPr>
              <w:t>DS-C007</w:t>
            </w:r>
          </w:p>
        </w:tc>
        <w:tc>
          <w:tcPr>
            <w:tcW w:type="dxa" w:w="2880"/>
            <w:tcMar>
              <w:top w:w="100" w:type="dxa"/>
              <w:start w:w="120" w:type="dxa"/>
              <w:bottom w:w="100" w:type="dxa"/>
              <w:end w:w="120" w:type="dxa"/>
            </w:tcMar>
            <w:vAlign w:val="center"/>
          </w:tcPr>
          <w:p>
            <w:pPr>
              <w:spacing w:after="0" w:line="240" w:lineRule="auto"/>
            </w:pPr>
            <w:r>
              <w:rPr>
                <w:color w:val="16212B"/>
                <w:sz w:val="16"/>
              </w:rPr>
              <w:t>Chip / token</w:t>
            </w:r>
          </w:p>
        </w:tc>
        <w:tc>
          <w:tcPr>
            <w:tcW w:type="dxa" w:w="5472"/>
            <w:tcMar>
              <w:top w:w="100" w:type="dxa"/>
              <w:start w:w="120" w:type="dxa"/>
              <w:bottom w:w="100" w:type="dxa"/>
              <w:end w:w="120" w:type="dxa"/>
            </w:tcMar>
            <w:vAlign w:val="center"/>
          </w:tcPr>
          <w:p>
            <w:pPr>
              <w:spacing w:after="0" w:line="240" w:lineRule="auto"/>
            </w:pPr>
            <w:r>
              <w:rPr>
                <w:color w:val="16212B"/>
                <w:sz w:val="16"/>
              </w:rPr>
              <w:t>Filters, entity/relationship tags</w:t>
            </w:r>
          </w:p>
        </w:tc>
      </w:tr>
      <w:tr>
        <w:tc>
          <w:tcPr>
            <w:tcW w:type="dxa" w:w="1440"/>
            <w:tcMar>
              <w:top w:w="100" w:type="dxa"/>
              <w:start w:w="120" w:type="dxa"/>
              <w:bottom w:w="100" w:type="dxa"/>
              <w:end w:w="120" w:type="dxa"/>
            </w:tcMar>
            <w:vAlign w:val="center"/>
          </w:tcPr>
          <w:p>
            <w:pPr>
              <w:spacing w:after="0" w:line="240" w:lineRule="auto"/>
            </w:pPr>
            <w:r>
              <w:rPr>
                <w:color w:val="16212B"/>
                <w:sz w:val="16"/>
              </w:rPr>
              <w:t>DS-C008</w:t>
            </w:r>
          </w:p>
        </w:tc>
        <w:tc>
          <w:tcPr>
            <w:tcW w:type="dxa" w:w="2880"/>
            <w:tcMar>
              <w:top w:w="100" w:type="dxa"/>
              <w:start w:w="120" w:type="dxa"/>
              <w:bottom w:w="100" w:type="dxa"/>
              <w:end w:w="120" w:type="dxa"/>
            </w:tcMar>
            <w:vAlign w:val="center"/>
          </w:tcPr>
          <w:p>
            <w:pPr>
              <w:spacing w:after="0" w:line="240" w:lineRule="auto"/>
            </w:pPr>
            <w:r>
              <w:rPr>
                <w:color w:val="16212B"/>
                <w:sz w:val="16"/>
              </w:rPr>
              <w:t>Alert / callout</w:t>
            </w:r>
          </w:p>
        </w:tc>
        <w:tc>
          <w:tcPr>
            <w:tcW w:type="dxa" w:w="5472"/>
            <w:tcMar>
              <w:top w:w="100" w:type="dxa"/>
              <w:start w:w="120" w:type="dxa"/>
              <w:bottom w:w="100" w:type="dxa"/>
              <w:end w:w="120" w:type="dxa"/>
            </w:tcMar>
            <w:vAlign w:val="center"/>
          </w:tcPr>
          <w:p>
            <w:pPr>
              <w:spacing w:after="0" w:line="240" w:lineRule="auto"/>
            </w:pPr>
            <w:r>
              <w:rPr>
                <w:color w:val="16212B"/>
                <w:sz w:val="16"/>
              </w:rPr>
              <w:t>Error, warning, info, integrity</w:t>
            </w:r>
          </w:p>
        </w:tc>
      </w:tr>
      <w:tr>
        <w:tc>
          <w:tcPr>
            <w:tcW w:type="dxa" w:w="1440"/>
            <w:tcMar>
              <w:top w:w="100" w:type="dxa"/>
              <w:start w:w="120" w:type="dxa"/>
              <w:bottom w:w="100" w:type="dxa"/>
              <w:end w:w="120" w:type="dxa"/>
            </w:tcMar>
            <w:vAlign w:val="center"/>
          </w:tcPr>
          <w:p>
            <w:pPr>
              <w:spacing w:after="0" w:line="240" w:lineRule="auto"/>
            </w:pPr>
            <w:r>
              <w:rPr>
                <w:color w:val="16212B"/>
                <w:sz w:val="16"/>
              </w:rPr>
              <w:t>DS-C009</w:t>
            </w:r>
          </w:p>
        </w:tc>
        <w:tc>
          <w:tcPr>
            <w:tcW w:type="dxa" w:w="2880"/>
            <w:tcMar>
              <w:top w:w="100" w:type="dxa"/>
              <w:start w:w="120" w:type="dxa"/>
              <w:bottom w:w="100" w:type="dxa"/>
              <w:end w:w="120" w:type="dxa"/>
            </w:tcMar>
            <w:vAlign w:val="center"/>
          </w:tcPr>
          <w:p>
            <w:pPr>
              <w:spacing w:after="0" w:line="240" w:lineRule="auto"/>
            </w:pPr>
            <w:r>
              <w:rPr>
                <w:color w:val="16212B"/>
                <w:sz w:val="16"/>
              </w:rPr>
              <w:t>Toast</w:t>
            </w:r>
          </w:p>
        </w:tc>
        <w:tc>
          <w:tcPr>
            <w:tcW w:type="dxa" w:w="5472"/>
            <w:tcMar>
              <w:top w:w="100" w:type="dxa"/>
              <w:start w:w="120" w:type="dxa"/>
              <w:bottom w:w="100" w:type="dxa"/>
              <w:end w:w="120" w:type="dxa"/>
            </w:tcMar>
            <w:vAlign w:val="center"/>
          </w:tcPr>
          <w:p>
            <w:pPr>
              <w:spacing w:after="0" w:line="240" w:lineRule="auto"/>
            </w:pPr>
            <w:r>
              <w:rPr>
                <w:color w:val="16212B"/>
                <w:sz w:val="16"/>
              </w:rPr>
              <w:t>Transient non-critical feedback</w:t>
            </w:r>
          </w:p>
        </w:tc>
      </w:tr>
      <w:tr>
        <w:tc>
          <w:tcPr>
            <w:tcW w:type="dxa" w:w="1440"/>
            <w:tcMar>
              <w:top w:w="100" w:type="dxa"/>
              <w:start w:w="120" w:type="dxa"/>
              <w:bottom w:w="100" w:type="dxa"/>
              <w:end w:w="120" w:type="dxa"/>
            </w:tcMar>
            <w:vAlign w:val="center"/>
          </w:tcPr>
          <w:p>
            <w:pPr>
              <w:spacing w:after="0" w:line="240" w:lineRule="auto"/>
            </w:pPr>
            <w:r>
              <w:rPr>
                <w:color w:val="16212B"/>
                <w:sz w:val="16"/>
              </w:rPr>
              <w:t>DS-C010</w:t>
            </w:r>
          </w:p>
        </w:tc>
        <w:tc>
          <w:tcPr>
            <w:tcW w:type="dxa" w:w="2880"/>
            <w:tcMar>
              <w:top w:w="100" w:type="dxa"/>
              <w:start w:w="120" w:type="dxa"/>
              <w:bottom w:w="100" w:type="dxa"/>
              <w:end w:w="120" w:type="dxa"/>
            </w:tcMar>
            <w:vAlign w:val="center"/>
          </w:tcPr>
          <w:p>
            <w:pPr>
              <w:spacing w:after="0" w:line="240" w:lineRule="auto"/>
            </w:pPr>
            <w:r>
              <w:rPr>
                <w:color w:val="16212B"/>
                <w:sz w:val="16"/>
              </w:rPr>
              <w:t>Table / data grid</w:t>
            </w:r>
          </w:p>
        </w:tc>
        <w:tc>
          <w:tcPr>
            <w:tcW w:type="dxa" w:w="5472"/>
            <w:tcMar>
              <w:top w:w="100" w:type="dxa"/>
              <w:start w:w="120" w:type="dxa"/>
              <w:bottom w:w="100" w:type="dxa"/>
              <w:end w:w="120" w:type="dxa"/>
            </w:tcMar>
            <w:vAlign w:val="center"/>
          </w:tcPr>
          <w:p>
            <w:pPr>
              <w:spacing w:after="0" w:line="240" w:lineRule="auto"/>
            </w:pPr>
            <w:r>
              <w:rPr>
                <w:color w:val="16212B"/>
                <w:sz w:val="16"/>
              </w:rPr>
              <w:t>Registers and dense object lists</w:t>
            </w:r>
          </w:p>
        </w:tc>
      </w:tr>
      <w:tr>
        <w:tc>
          <w:tcPr>
            <w:tcW w:type="dxa" w:w="1440"/>
            <w:tcMar>
              <w:top w:w="100" w:type="dxa"/>
              <w:start w:w="120" w:type="dxa"/>
              <w:bottom w:w="100" w:type="dxa"/>
              <w:end w:w="120" w:type="dxa"/>
            </w:tcMar>
            <w:vAlign w:val="center"/>
          </w:tcPr>
          <w:p>
            <w:pPr>
              <w:spacing w:after="0" w:line="240" w:lineRule="auto"/>
            </w:pPr>
            <w:r>
              <w:rPr>
                <w:color w:val="16212B"/>
                <w:sz w:val="16"/>
              </w:rPr>
              <w:t>DS-C011</w:t>
            </w:r>
          </w:p>
        </w:tc>
        <w:tc>
          <w:tcPr>
            <w:tcW w:type="dxa" w:w="2880"/>
            <w:tcMar>
              <w:top w:w="100" w:type="dxa"/>
              <w:start w:w="120" w:type="dxa"/>
              <w:bottom w:w="100" w:type="dxa"/>
              <w:end w:w="120" w:type="dxa"/>
            </w:tcMar>
            <w:vAlign w:val="center"/>
          </w:tcPr>
          <w:p>
            <w:pPr>
              <w:spacing w:after="0" w:line="240" w:lineRule="auto"/>
            </w:pPr>
            <w:r>
              <w:rPr>
                <w:color w:val="16212B"/>
                <w:sz w:val="16"/>
              </w:rPr>
              <w:t>Card / panel</w:t>
            </w:r>
          </w:p>
        </w:tc>
        <w:tc>
          <w:tcPr>
            <w:tcW w:type="dxa" w:w="5472"/>
            <w:tcMar>
              <w:top w:w="100" w:type="dxa"/>
              <w:start w:w="120" w:type="dxa"/>
              <w:bottom w:w="100" w:type="dxa"/>
              <w:end w:w="120" w:type="dxa"/>
            </w:tcMar>
            <w:vAlign w:val="center"/>
          </w:tcPr>
          <w:p>
            <w:pPr>
              <w:spacing w:after="0" w:line="240" w:lineRule="auto"/>
            </w:pPr>
            <w:r>
              <w:rPr>
                <w:color w:val="16212B"/>
                <w:sz w:val="16"/>
              </w:rPr>
              <w:t>Grouped object/detail region</w:t>
            </w:r>
          </w:p>
        </w:tc>
      </w:tr>
      <w:tr>
        <w:tc>
          <w:tcPr>
            <w:tcW w:type="dxa" w:w="1440"/>
            <w:tcMar>
              <w:top w:w="100" w:type="dxa"/>
              <w:start w:w="120" w:type="dxa"/>
              <w:bottom w:w="100" w:type="dxa"/>
              <w:end w:w="120" w:type="dxa"/>
            </w:tcMar>
            <w:vAlign w:val="center"/>
          </w:tcPr>
          <w:p>
            <w:pPr>
              <w:spacing w:after="0" w:line="240" w:lineRule="auto"/>
            </w:pPr>
            <w:r>
              <w:rPr>
                <w:color w:val="16212B"/>
                <w:sz w:val="16"/>
              </w:rPr>
              <w:t>DS-C012</w:t>
            </w:r>
          </w:p>
        </w:tc>
        <w:tc>
          <w:tcPr>
            <w:tcW w:type="dxa" w:w="2880"/>
            <w:tcMar>
              <w:top w:w="100" w:type="dxa"/>
              <w:start w:w="120" w:type="dxa"/>
              <w:bottom w:w="100" w:type="dxa"/>
              <w:end w:w="120" w:type="dxa"/>
            </w:tcMar>
            <w:vAlign w:val="center"/>
          </w:tcPr>
          <w:p>
            <w:pPr>
              <w:spacing w:after="0" w:line="240" w:lineRule="auto"/>
            </w:pPr>
            <w:r>
              <w:rPr>
                <w:color w:val="16212B"/>
                <w:sz w:val="16"/>
              </w:rPr>
              <w:t>Tabs</w:t>
            </w:r>
          </w:p>
        </w:tc>
        <w:tc>
          <w:tcPr>
            <w:tcW w:type="dxa" w:w="5472"/>
            <w:tcMar>
              <w:top w:w="100" w:type="dxa"/>
              <w:start w:w="120" w:type="dxa"/>
              <w:bottom w:w="100" w:type="dxa"/>
              <w:end w:w="120" w:type="dxa"/>
            </w:tcMar>
            <w:vAlign w:val="center"/>
          </w:tcPr>
          <w:p>
            <w:pPr>
              <w:spacing w:after="0" w:line="240" w:lineRule="auto"/>
            </w:pPr>
            <w:r>
              <w:rPr>
                <w:color w:val="16212B"/>
                <w:sz w:val="16"/>
              </w:rPr>
              <w:t>Local object/workspace sections</w:t>
            </w:r>
          </w:p>
        </w:tc>
      </w:tr>
      <w:tr>
        <w:tc>
          <w:tcPr>
            <w:tcW w:type="dxa" w:w="1440"/>
            <w:tcMar>
              <w:top w:w="100" w:type="dxa"/>
              <w:start w:w="120" w:type="dxa"/>
              <w:bottom w:w="100" w:type="dxa"/>
              <w:end w:w="120" w:type="dxa"/>
            </w:tcMar>
            <w:vAlign w:val="center"/>
          </w:tcPr>
          <w:p>
            <w:pPr>
              <w:spacing w:after="0" w:line="240" w:lineRule="auto"/>
            </w:pPr>
            <w:r>
              <w:rPr>
                <w:color w:val="16212B"/>
                <w:sz w:val="16"/>
              </w:rPr>
              <w:t>DS-C013</w:t>
            </w:r>
          </w:p>
        </w:tc>
        <w:tc>
          <w:tcPr>
            <w:tcW w:type="dxa" w:w="2880"/>
            <w:tcMar>
              <w:top w:w="100" w:type="dxa"/>
              <w:start w:w="120" w:type="dxa"/>
              <w:bottom w:w="100" w:type="dxa"/>
              <w:end w:w="120" w:type="dxa"/>
            </w:tcMar>
            <w:vAlign w:val="center"/>
          </w:tcPr>
          <w:p>
            <w:pPr>
              <w:spacing w:after="0" w:line="240" w:lineRule="auto"/>
            </w:pPr>
            <w:r>
              <w:rPr>
                <w:color w:val="16212B"/>
                <w:sz w:val="16"/>
              </w:rPr>
              <w:t>Breadcrumb / context trail</w:t>
            </w:r>
          </w:p>
        </w:tc>
        <w:tc>
          <w:tcPr>
            <w:tcW w:type="dxa" w:w="5472"/>
            <w:tcMar>
              <w:top w:w="100" w:type="dxa"/>
              <w:start w:w="120" w:type="dxa"/>
              <w:bottom w:w="100" w:type="dxa"/>
              <w:end w:w="120" w:type="dxa"/>
            </w:tcMar>
            <w:vAlign w:val="center"/>
          </w:tcPr>
          <w:p>
            <w:pPr>
              <w:spacing w:after="0" w:line="240" w:lineRule="auto"/>
            </w:pPr>
            <w:r>
              <w:rPr>
                <w:color w:val="16212B"/>
                <w:sz w:val="16"/>
              </w:rPr>
              <w:t>Context orientation; IA labels authoritative</w:t>
            </w:r>
          </w:p>
        </w:tc>
      </w:tr>
      <w:tr>
        <w:tc>
          <w:tcPr>
            <w:tcW w:type="dxa" w:w="1440"/>
            <w:tcMar>
              <w:top w:w="100" w:type="dxa"/>
              <w:start w:w="120" w:type="dxa"/>
              <w:bottom w:w="100" w:type="dxa"/>
              <w:end w:w="120" w:type="dxa"/>
            </w:tcMar>
            <w:vAlign w:val="center"/>
          </w:tcPr>
          <w:p>
            <w:pPr>
              <w:spacing w:after="0" w:line="240" w:lineRule="auto"/>
            </w:pPr>
            <w:r>
              <w:rPr>
                <w:color w:val="16212B"/>
                <w:sz w:val="16"/>
              </w:rPr>
              <w:t>DS-C014</w:t>
            </w:r>
          </w:p>
        </w:tc>
        <w:tc>
          <w:tcPr>
            <w:tcW w:type="dxa" w:w="2880"/>
            <w:tcMar>
              <w:top w:w="100" w:type="dxa"/>
              <w:start w:w="120" w:type="dxa"/>
              <w:bottom w:w="100" w:type="dxa"/>
              <w:end w:w="120" w:type="dxa"/>
            </w:tcMar>
            <w:vAlign w:val="center"/>
          </w:tcPr>
          <w:p>
            <w:pPr>
              <w:spacing w:after="0" w:line="240" w:lineRule="auto"/>
            </w:pPr>
            <w:r>
              <w:rPr>
                <w:color w:val="16212B"/>
                <w:sz w:val="16"/>
              </w:rPr>
              <w:t>Drawer / side inspector</w:t>
            </w:r>
          </w:p>
        </w:tc>
        <w:tc>
          <w:tcPr>
            <w:tcW w:type="dxa" w:w="5472"/>
            <w:tcMar>
              <w:top w:w="100" w:type="dxa"/>
              <w:start w:w="120" w:type="dxa"/>
              <w:bottom w:w="100" w:type="dxa"/>
              <w:end w:w="120" w:type="dxa"/>
            </w:tcMar>
            <w:vAlign w:val="center"/>
          </w:tcPr>
          <w:p>
            <w:pPr>
              <w:spacing w:after="0" w:line="240" w:lineRule="auto"/>
            </w:pPr>
            <w:r>
              <w:rPr>
                <w:color w:val="16212B"/>
                <w:sz w:val="16"/>
              </w:rPr>
              <w:t>Evidence/provenance/object detail</w:t>
            </w:r>
          </w:p>
        </w:tc>
      </w:tr>
      <w:tr>
        <w:tc>
          <w:tcPr>
            <w:tcW w:type="dxa" w:w="1440"/>
            <w:tcMar>
              <w:top w:w="100" w:type="dxa"/>
              <w:start w:w="120" w:type="dxa"/>
              <w:bottom w:w="100" w:type="dxa"/>
              <w:end w:w="120" w:type="dxa"/>
            </w:tcMar>
            <w:vAlign w:val="center"/>
          </w:tcPr>
          <w:p>
            <w:pPr>
              <w:spacing w:after="0" w:line="240" w:lineRule="auto"/>
            </w:pPr>
            <w:r>
              <w:rPr>
                <w:color w:val="16212B"/>
                <w:sz w:val="16"/>
              </w:rPr>
              <w:t>DS-C015</w:t>
            </w:r>
          </w:p>
        </w:tc>
        <w:tc>
          <w:tcPr>
            <w:tcW w:type="dxa" w:w="2880"/>
            <w:tcMar>
              <w:top w:w="100" w:type="dxa"/>
              <w:start w:w="120" w:type="dxa"/>
              <w:bottom w:w="100" w:type="dxa"/>
              <w:end w:w="120" w:type="dxa"/>
            </w:tcMar>
            <w:vAlign w:val="center"/>
          </w:tcPr>
          <w:p>
            <w:pPr>
              <w:spacing w:after="0" w:line="240" w:lineRule="auto"/>
            </w:pPr>
            <w:r>
              <w:rPr>
                <w:color w:val="16212B"/>
                <w:sz w:val="16"/>
              </w:rPr>
              <w:t>Modal / dialog</w:t>
            </w:r>
          </w:p>
        </w:tc>
        <w:tc>
          <w:tcPr>
            <w:tcW w:type="dxa" w:w="5472"/>
            <w:tcMar>
              <w:top w:w="100" w:type="dxa"/>
              <w:start w:w="120" w:type="dxa"/>
              <w:bottom w:w="100" w:type="dxa"/>
              <w:end w:w="120" w:type="dxa"/>
            </w:tcMar>
            <w:vAlign w:val="center"/>
          </w:tcPr>
          <w:p>
            <w:pPr>
              <w:spacing w:after="0" w:line="240" w:lineRule="auto"/>
            </w:pPr>
            <w:r>
              <w:rPr>
                <w:color w:val="16212B"/>
                <w:sz w:val="16"/>
              </w:rPr>
              <w:t>High-focus bounded actions</w:t>
            </w:r>
          </w:p>
        </w:tc>
      </w:tr>
      <w:tr>
        <w:tc>
          <w:tcPr>
            <w:tcW w:type="dxa" w:w="1440"/>
            <w:tcMar>
              <w:top w:w="100" w:type="dxa"/>
              <w:start w:w="120" w:type="dxa"/>
              <w:bottom w:w="100" w:type="dxa"/>
              <w:end w:w="120" w:type="dxa"/>
            </w:tcMar>
            <w:vAlign w:val="center"/>
          </w:tcPr>
          <w:p>
            <w:pPr>
              <w:spacing w:after="0" w:line="240" w:lineRule="auto"/>
            </w:pPr>
            <w:r>
              <w:rPr>
                <w:color w:val="16212B"/>
                <w:sz w:val="16"/>
              </w:rPr>
              <w:t>DS-C016</w:t>
            </w:r>
          </w:p>
        </w:tc>
        <w:tc>
          <w:tcPr>
            <w:tcW w:type="dxa" w:w="2880"/>
            <w:tcMar>
              <w:top w:w="100" w:type="dxa"/>
              <w:start w:w="120" w:type="dxa"/>
              <w:bottom w:w="100" w:type="dxa"/>
              <w:end w:w="120" w:type="dxa"/>
            </w:tcMar>
            <w:vAlign w:val="center"/>
          </w:tcPr>
          <w:p>
            <w:pPr>
              <w:spacing w:after="0" w:line="240" w:lineRule="auto"/>
            </w:pPr>
            <w:r>
              <w:rPr>
                <w:color w:val="16212B"/>
                <w:sz w:val="16"/>
              </w:rPr>
              <w:t>Confirmation dialog</w:t>
            </w:r>
          </w:p>
        </w:tc>
        <w:tc>
          <w:tcPr>
            <w:tcW w:type="dxa" w:w="5472"/>
            <w:tcMar>
              <w:top w:w="100" w:type="dxa"/>
              <w:start w:w="120" w:type="dxa"/>
              <w:bottom w:w="100" w:type="dxa"/>
              <w:end w:w="120" w:type="dxa"/>
            </w:tcMar>
            <w:vAlign w:val="center"/>
          </w:tcPr>
          <w:p>
            <w:pPr>
              <w:spacing w:after="0" w:line="240" w:lineRule="auto"/>
            </w:pPr>
            <w:r>
              <w:rPr>
                <w:color w:val="16212B"/>
                <w:sz w:val="16"/>
              </w:rPr>
              <w:t>Destructive/high-impact confirmation</w:t>
            </w:r>
          </w:p>
        </w:tc>
      </w:tr>
      <w:tr>
        <w:tc>
          <w:tcPr>
            <w:tcW w:type="dxa" w:w="1440"/>
            <w:tcMar>
              <w:top w:w="100" w:type="dxa"/>
              <w:start w:w="120" w:type="dxa"/>
              <w:bottom w:w="100" w:type="dxa"/>
              <w:end w:w="120" w:type="dxa"/>
            </w:tcMar>
            <w:vAlign w:val="center"/>
          </w:tcPr>
          <w:p>
            <w:pPr>
              <w:spacing w:after="0" w:line="240" w:lineRule="auto"/>
            </w:pPr>
            <w:r>
              <w:rPr>
                <w:color w:val="16212B"/>
                <w:sz w:val="16"/>
              </w:rPr>
              <w:t>DS-C017</w:t>
            </w:r>
          </w:p>
        </w:tc>
        <w:tc>
          <w:tcPr>
            <w:tcW w:type="dxa" w:w="2880"/>
            <w:tcMar>
              <w:top w:w="100" w:type="dxa"/>
              <w:start w:w="120" w:type="dxa"/>
              <w:bottom w:w="100" w:type="dxa"/>
              <w:end w:w="120" w:type="dxa"/>
            </w:tcMar>
            <w:vAlign w:val="center"/>
          </w:tcPr>
          <w:p>
            <w:pPr>
              <w:spacing w:after="0" w:line="240" w:lineRule="auto"/>
            </w:pPr>
            <w:r>
              <w:rPr>
                <w:color w:val="16212B"/>
                <w:sz w:val="16"/>
              </w:rPr>
              <w:t>Evidence citation</w:t>
            </w:r>
          </w:p>
        </w:tc>
        <w:tc>
          <w:tcPr>
            <w:tcW w:type="dxa" w:w="5472"/>
            <w:tcMar>
              <w:top w:w="100" w:type="dxa"/>
              <w:start w:w="120" w:type="dxa"/>
              <w:bottom w:w="100" w:type="dxa"/>
              <w:end w:w="120" w:type="dxa"/>
            </w:tcMar>
            <w:vAlign w:val="center"/>
          </w:tcPr>
          <w:p>
            <w:pPr>
              <w:spacing w:after="0" w:line="240" w:lineRule="auto"/>
            </w:pPr>
            <w:r>
              <w:rPr>
                <w:color w:val="16212B"/>
                <w:sz w:val="16"/>
              </w:rPr>
              <w:t>Source/evidence ID + precise locator</w:t>
            </w:r>
          </w:p>
        </w:tc>
      </w:tr>
      <w:tr>
        <w:tc>
          <w:tcPr>
            <w:tcW w:type="dxa" w:w="1440"/>
            <w:tcMar>
              <w:top w:w="100" w:type="dxa"/>
              <w:start w:w="120" w:type="dxa"/>
              <w:bottom w:w="100" w:type="dxa"/>
              <w:end w:w="120" w:type="dxa"/>
            </w:tcMar>
            <w:vAlign w:val="center"/>
          </w:tcPr>
          <w:p>
            <w:pPr>
              <w:spacing w:after="0" w:line="240" w:lineRule="auto"/>
            </w:pPr>
            <w:r>
              <w:rPr>
                <w:color w:val="16212B"/>
                <w:sz w:val="16"/>
              </w:rPr>
              <w:t>DS-C018</w:t>
            </w:r>
          </w:p>
        </w:tc>
        <w:tc>
          <w:tcPr>
            <w:tcW w:type="dxa" w:w="2880"/>
            <w:tcMar>
              <w:top w:w="100" w:type="dxa"/>
              <w:start w:w="120" w:type="dxa"/>
              <w:bottom w:w="100" w:type="dxa"/>
              <w:end w:w="120" w:type="dxa"/>
            </w:tcMar>
            <w:vAlign w:val="center"/>
          </w:tcPr>
          <w:p>
            <w:pPr>
              <w:spacing w:after="0" w:line="240" w:lineRule="auto"/>
            </w:pPr>
            <w:r>
              <w:rPr>
                <w:color w:val="16212B"/>
                <w:sz w:val="16"/>
              </w:rPr>
              <w:t>Provenance trail</w:t>
            </w:r>
          </w:p>
        </w:tc>
        <w:tc>
          <w:tcPr>
            <w:tcW w:type="dxa" w:w="5472"/>
            <w:tcMar>
              <w:top w:w="100" w:type="dxa"/>
              <w:start w:w="120" w:type="dxa"/>
              <w:bottom w:w="100" w:type="dxa"/>
              <w:end w:w="120" w:type="dxa"/>
            </w:tcMar>
            <w:vAlign w:val="center"/>
          </w:tcPr>
          <w:p>
            <w:pPr>
              <w:spacing w:after="0" w:line="240" w:lineRule="auto"/>
            </w:pPr>
            <w:r>
              <w:rPr>
                <w:color w:val="16212B"/>
                <w:sz w:val="16"/>
              </w:rPr>
              <w:t>Backward lineage chain</w:t>
            </w:r>
          </w:p>
        </w:tc>
      </w:tr>
      <w:tr>
        <w:tc>
          <w:tcPr>
            <w:tcW w:type="dxa" w:w="1440"/>
            <w:tcMar>
              <w:top w:w="100" w:type="dxa"/>
              <w:start w:w="120" w:type="dxa"/>
              <w:bottom w:w="100" w:type="dxa"/>
              <w:end w:w="120" w:type="dxa"/>
            </w:tcMar>
            <w:vAlign w:val="center"/>
          </w:tcPr>
          <w:p>
            <w:pPr>
              <w:spacing w:after="0" w:line="240" w:lineRule="auto"/>
            </w:pPr>
            <w:r>
              <w:rPr>
                <w:color w:val="16212B"/>
                <w:sz w:val="16"/>
              </w:rPr>
              <w:t>DS-C019</w:t>
            </w:r>
          </w:p>
        </w:tc>
        <w:tc>
          <w:tcPr>
            <w:tcW w:type="dxa" w:w="2880"/>
            <w:tcMar>
              <w:top w:w="100" w:type="dxa"/>
              <w:start w:w="120" w:type="dxa"/>
              <w:bottom w:w="100" w:type="dxa"/>
              <w:end w:w="120" w:type="dxa"/>
            </w:tcMar>
            <w:vAlign w:val="center"/>
          </w:tcPr>
          <w:p>
            <w:pPr>
              <w:spacing w:after="0" w:line="240" w:lineRule="auto"/>
            </w:pPr>
            <w:r>
              <w:rPr>
                <w:color w:val="16212B"/>
                <w:sz w:val="16"/>
              </w:rPr>
              <w:t>Confidence badge</w:t>
            </w:r>
          </w:p>
        </w:tc>
        <w:tc>
          <w:tcPr>
            <w:tcW w:type="dxa" w:w="5472"/>
            <w:tcMar>
              <w:top w:w="100" w:type="dxa"/>
              <w:start w:w="120" w:type="dxa"/>
              <w:bottom w:w="100" w:type="dxa"/>
              <w:end w:w="120" w:type="dxa"/>
            </w:tcMar>
            <w:vAlign w:val="center"/>
          </w:tcPr>
          <w:p>
            <w:pPr>
              <w:spacing w:after="0" w:line="240" w:lineRule="auto"/>
            </w:pPr>
            <w:r>
              <w:rPr>
                <w:color w:val="16212B"/>
                <w:sz w:val="16"/>
              </w:rPr>
              <w:t>Assessment confidence label + rationale entry</w:t>
            </w:r>
          </w:p>
        </w:tc>
      </w:tr>
      <w:tr>
        <w:tc>
          <w:tcPr>
            <w:tcW w:type="dxa" w:w="1440"/>
            <w:tcMar>
              <w:top w:w="100" w:type="dxa"/>
              <w:start w:w="120" w:type="dxa"/>
              <w:bottom w:w="100" w:type="dxa"/>
              <w:end w:w="120" w:type="dxa"/>
            </w:tcMar>
            <w:vAlign w:val="center"/>
          </w:tcPr>
          <w:p>
            <w:pPr>
              <w:spacing w:after="0" w:line="240" w:lineRule="auto"/>
            </w:pPr>
            <w:r>
              <w:rPr>
                <w:color w:val="16212B"/>
                <w:sz w:val="16"/>
              </w:rPr>
              <w:t>DS-C020</w:t>
            </w:r>
          </w:p>
        </w:tc>
        <w:tc>
          <w:tcPr>
            <w:tcW w:type="dxa" w:w="2880"/>
            <w:tcMar>
              <w:top w:w="100" w:type="dxa"/>
              <w:start w:w="120" w:type="dxa"/>
              <w:bottom w:w="100" w:type="dxa"/>
              <w:end w:w="120" w:type="dxa"/>
            </w:tcMar>
            <w:vAlign w:val="center"/>
          </w:tcPr>
          <w:p>
            <w:pPr>
              <w:spacing w:after="0" w:line="240" w:lineRule="auto"/>
            </w:pPr>
            <w:r>
              <w:rPr>
                <w:color w:val="16212B"/>
                <w:sz w:val="16"/>
              </w:rPr>
              <w:t>Flow class badge</w:t>
            </w:r>
          </w:p>
        </w:tc>
        <w:tc>
          <w:tcPr>
            <w:tcW w:type="dxa" w:w="5472"/>
            <w:tcMar>
              <w:top w:w="100" w:type="dxa"/>
              <w:start w:w="120" w:type="dxa"/>
              <w:bottom w:w="100" w:type="dxa"/>
              <w:end w:w="120" w:type="dxa"/>
            </w:tcMar>
            <w:vAlign w:val="center"/>
          </w:tcPr>
          <w:p>
            <w:pPr>
              <w:spacing w:after="0" w:line="240" w:lineRule="auto"/>
            </w:pPr>
            <w:r>
              <w:rPr>
                <w:color w:val="16212B"/>
                <w:sz w:val="16"/>
              </w:rPr>
              <w:t>Four mandatory value-flow classes</w:t>
            </w:r>
          </w:p>
        </w:tc>
      </w:tr>
      <w:tr>
        <w:tc>
          <w:tcPr>
            <w:tcW w:type="dxa" w:w="1440"/>
            <w:tcMar>
              <w:top w:w="100" w:type="dxa"/>
              <w:start w:w="120" w:type="dxa"/>
              <w:bottom w:w="100" w:type="dxa"/>
              <w:end w:w="120" w:type="dxa"/>
            </w:tcMar>
            <w:vAlign w:val="center"/>
          </w:tcPr>
          <w:p>
            <w:pPr>
              <w:spacing w:after="0" w:line="240" w:lineRule="auto"/>
            </w:pPr>
            <w:r>
              <w:rPr>
                <w:color w:val="16212B"/>
                <w:sz w:val="16"/>
              </w:rPr>
              <w:t>DS-C021</w:t>
            </w:r>
          </w:p>
        </w:tc>
        <w:tc>
          <w:tcPr>
            <w:tcW w:type="dxa" w:w="2880"/>
            <w:tcMar>
              <w:top w:w="100" w:type="dxa"/>
              <w:start w:w="120" w:type="dxa"/>
              <w:bottom w:w="100" w:type="dxa"/>
              <w:end w:w="120" w:type="dxa"/>
            </w:tcMar>
            <w:vAlign w:val="center"/>
          </w:tcPr>
          <w:p>
            <w:pPr>
              <w:spacing w:after="0" w:line="240" w:lineRule="auto"/>
            </w:pPr>
            <w:r>
              <w:rPr>
                <w:color w:val="16212B"/>
                <w:sz w:val="16"/>
              </w:rPr>
              <w:t>Entity identity block</w:t>
            </w:r>
          </w:p>
        </w:tc>
        <w:tc>
          <w:tcPr>
            <w:tcW w:type="dxa" w:w="5472"/>
            <w:tcMar>
              <w:top w:w="100" w:type="dxa"/>
              <w:start w:w="120" w:type="dxa"/>
              <w:bottom w:w="100" w:type="dxa"/>
              <w:end w:w="120" w:type="dxa"/>
            </w:tcMar>
            <w:vAlign w:val="center"/>
          </w:tcPr>
          <w:p>
            <w:pPr>
              <w:spacing w:after="0" w:line="240" w:lineRule="auto"/>
            </w:pPr>
            <w:r>
              <w:rPr>
                <w:color w:val="16212B"/>
                <w:sz w:val="16"/>
              </w:rPr>
              <w:t>Type, canonical name, aliases/status</w:t>
            </w:r>
          </w:p>
        </w:tc>
      </w:tr>
      <w:tr>
        <w:tc>
          <w:tcPr>
            <w:tcW w:type="dxa" w:w="1440"/>
            <w:tcMar>
              <w:top w:w="100" w:type="dxa"/>
              <w:start w:w="120" w:type="dxa"/>
              <w:bottom w:w="100" w:type="dxa"/>
              <w:end w:w="120" w:type="dxa"/>
            </w:tcMar>
            <w:vAlign w:val="center"/>
          </w:tcPr>
          <w:p>
            <w:pPr>
              <w:spacing w:after="0" w:line="240" w:lineRule="auto"/>
            </w:pPr>
            <w:r>
              <w:rPr>
                <w:color w:val="16212B"/>
                <w:sz w:val="16"/>
              </w:rPr>
              <w:t>DS-C022</w:t>
            </w:r>
          </w:p>
        </w:tc>
        <w:tc>
          <w:tcPr>
            <w:tcW w:type="dxa" w:w="2880"/>
            <w:tcMar>
              <w:top w:w="100" w:type="dxa"/>
              <w:start w:w="120" w:type="dxa"/>
              <w:bottom w:w="100" w:type="dxa"/>
              <w:end w:w="120" w:type="dxa"/>
            </w:tcMar>
            <w:vAlign w:val="center"/>
          </w:tcPr>
          <w:p>
            <w:pPr>
              <w:spacing w:after="0" w:line="240" w:lineRule="auto"/>
            </w:pPr>
            <w:r>
              <w:rPr>
                <w:color w:val="16212B"/>
                <w:sz w:val="16"/>
              </w:rPr>
              <w:t>Relationship summary</w:t>
            </w:r>
          </w:p>
        </w:tc>
        <w:tc>
          <w:tcPr>
            <w:tcW w:type="dxa" w:w="5472"/>
            <w:tcMar>
              <w:top w:w="100" w:type="dxa"/>
              <w:start w:w="120" w:type="dxa"/>
              <w:bottom w:w="100" w:type="dxa"/>
              <w:end w:w="120" w:type="dxa"/>
            </w:tcMar>
            <w:vAlign w:val="center"/>
          </w:tcPr>
          <w:p>
            <w:pPr>
              <w:spacing w:after="0" w:line="240" w:lineRule="auto"/>
            </w:pPr>
            <w:r>
              <w:rPr>
                <w:color w:val="16212B"/>
                <w:sz w:val="16"/>
              </w:rPr>
              <w:t>Type, endpoints, dates, evidence/confidence</w:t>
            </w:r>
          </w:p>
        </w:tc>
      </w:tr>
      <w:tr>
        <w:tc>
          <w:tcPr>
            <w:tcW w:type="dxa" w:w="1440"/>
            <w:tcMar>
              <w:top w:w="100" w:type="dxa"/>
              <w:start w:w="120" w:type="dxa"/>
              <w:bottom w:w="100" w:type="dxa"/>
              <w:end w:w="120" w:type="dxa"/>
            </w:tcMar>
            <w:vAlign w:val="center"/>
          </w:tcPr>
          <w:p>
            <w:pPr>
              <w:spacing w:after="0" w:line="240" w:lineRule="auto"/>
            </w:pPr>
            <w:r>
              <w:rPr>
                <w:color w:val="16212B"/>
                <w:sz w:val="16"/>
              </w:rPr>
              <w:t>DS-C023</w:t>
            </w:r>
          </w:p>
        </w:tc>
        <w:tc>
          <w:tcPr>
            <w:tcW w:type="dxa" w:w="2880"/>
            <w:tcMar>
              <w:top w:w="100" w:type="dxa"/>
              <w:start w:w="120" w:type="dxa"/>
              <w:bottom w:w="100" w:type="dxa"/>
              <w:end w:w="120" w:type="dxa"/>
            </w:tcMar>
            <w:vAlign w:val="center"/>
          </w:tcPr>
          <w:p>
            <w:pPr>
              <w:spacing w:after="0" w:line="240" w:lineRule="auto"/>
            </w:pPr>
            <w:r>
              <w:rPr>
                <w:color w:val="16212B"/>
                <w:sz w:val="16"/>
              </w:rPr>
              <w:t>Review decision panel</w:t>
            </w:r>
          </w:p>
        </w:tc>
        <w:tc>
          <w:tcPr>
            <w:tcW w:type="dxa" w:w="5472"/>
            <w:tcMar>
              <w:top w:w="100" w:type="dxa"/>
              <w:start w:w="120" w:type="dxa"/>
              <w:bottom w:w="100" w:type="dxa"/>
              <w:end w:w="120" w:type="dxa"/>
            </w:tcMar>
            <w:vAlign w:val="center"/>
          </w:tcPr>
          <w:p>
            <w:pPr>
              <w:spacing w:after="0" w:line="240" w:lineRule="auto"/>
            </w:pPr>
            <w:r>
              <w:rPr>
                <w:color w:val="16212B"/>
                <w:sz w:val="16"/>
              </w:rPr>
              <w:t>Approve/request changes/reject + rationale</w:t>
            </w:r>
          </w:p>
        </w:tc>
      </w:tr>
      <w:tr>
        <w:tc>
          <w:tcPr>
            <w:tcW w:type="dxa" w:w="1440"/>
            <w:tcMar>
              <w:top w:w="100" w:type="dxa"/>
              <w:start w:w="120" w:type="dxa"/>
              <w:bottom w:w="100" w:type="dxa"/>
              <w:end w:w="120" w:type="dxa"/>
            </w:tcMar>
            <w:vAlign w:val="center"/>
          </w:tcPr>
          <w:p>
            <w:pPr>
              <w:spacing w:after="0" w:line="240" w:lineRule="auto"/>
            </w:pPr>
            <w:r>
              <w:rPr>
                <w:color w:val="16212B"/>
                <w:sz w:val="16"/>
              </w:rPr>
              <w:t>DS-C024</w:t>
            </w:r>
          </w:p>
        </w:tc>
        <w:tc>
          <w:tcPr>
            <w:tcW w:type="dxa" w:w="2880"/>
            <w:tcMar>
              <w:top w:w="100" w:type="dxa"/>
              <w:start w:w="120" w:type="dxa"/>
              <w:bottom w:w="100" w:type="dxa"/>
              <w:end w:w="120" w:type="dxa"/>
            </w:tcMar>
            <w:vAlign w:val="center"/>
          </w:tcPr>
          <w:p>
            <w:pPr>
              <w:spacing w:after="0" w:line="240" w:lineRule="auto"/>
            </w:pPr>
            <w:r>
              <w:rPr>
                <w:color w:val="16212B"/>
                <w:sz w:val="16"/>
              </w:rPr>
              <w:t>Classification banner</w:t>
            </w:r>
          </w:p>
        </w:tc>
        <w:tc>
          <w:tcPr>
            <w:tcW w:type="dxa" w:w="5472"/>
            <w:tcMar>
              <w:top w:w="100" w:type="dxa"/>
              <w:start w:w="120" w:type="dxa"/>
              <w:bottom w:w="100" w:type="dxa"/>
              <w:end w:w="120" w:type="dxa"/>
            </w:tcMar>
            <w:vAlign w:val="center"/>
          </w:tcPr>
          <w:p>
            <w:pPr>
              <w:spacing w:after="0" w:line="240" w:lineRule="auto"/>
            </w:pPr>
            <w:r>
              <w:rPr>
                <w:color w:val="16212B"/>
                <w:sz w:val="16"/>
              </w:rPr>
              <w:t>Handling/classification context</w:t>
            </w:r>
          </w:p>
        </w:tc>
      </w:tr>
      <w:tr>
        <w:tc>
          <w:tcPr>
            <w:tcW w:type="dxa" w:w="1440"/>
            <w:tcMar>
              <w:top w:w="100" w:type="dxa"/>
              <w:start w:w="120" w:type="dxa"/>
              <w:bottom w:w="100" w:type="dxa"/>
              <w:end w:w="120" w:type="dxa"/>
            </w:tcMar>
            <w:vAlign w:val="center"/>
          </w:tcPr>
          <w:p>
            <w:pPr>
              <w:spacing w:after="0" w:line="240" w:lineRule="auto"/>
            </w:pPr>
            <w:r>
              <w:rPr>
                <w:color w:val="16212B"/>
                <w:sz w:val="16"/>
              </w:rPr>
              <w:t>DS-C025</w:t>
            </w:r>
          </w:p>
        </w:tc>
        <w:tc>
          <w:tcPr>
            <w:tcW w:type="dxa" w:w="2880"/>
            <w:tcMar>
              <w:top w:w="100" w:type="dxa"/>
              <w:start w:w="120" w:type="dxa"/>
              <w:bottom w:w="100" w:type="dxa"/>
              <w:end w:w="120" w:type="dxa"/>
            </w:tcMar>
            <w:vAlign w:val="center"/>
          </w:tcPr>
          <w:p>
            <w:pPr>
              <w:spacing w:after="0" w:line="240" w:lineRule="auto"/>
            </w:pPr>
            <w:r>
              <w:rPr>
                <w:color w:val="16212B"/>
                <w:sz w:val="16"/>
              </w:rPr>
              <w:t>Empty state</w:t>
            </w:r>
          </w:p>
        </w:tc>
        <w:tc>
          <w:tcPr>
            <w:tcW w:type="dxa" w:w="5472"/>
            <w:tcMar>
              <w:top w:w="100" w:type="dxa"/>
              <w:start w:w="120" w:type="dxa"/>
              <w:bottom w:w="100" w:type="dxa"/>
              <w:end w:w="120" w:type="dxa"/>
            </w:tcMar>
            <w:vAlign w:val="center"/>
          </w:tcPr>
          <w:p>
            <w:pPr>
              <w:spacing w:after="0" w:line="240" w:lineRule="auto"/>
            </w:pPr>
            <w:r>
              <w:rPr>
                <w:color w:val="16212B"/>
                <w:sz w:val="16"/>
              </w:rPr>
              <w:t>Explain why empty and next permitted action</w:t>
            </w:r>
          </w:p>
        </w:tc>
      </w:tr>
      <w:tr>
        <w:tc>
          <w:tcPr>
            <w:tcW w:type="dxa" w:w="1440"/>
            <w:tcMar>
              <w:top w:w="100" w:type="dxa"/>
              <w:start w:w="120" w:type="dxa"/>
              <w:bottom w:w="100" w:type="dxa"/>
              <w:end w:w="120" w:type="dxa"/>
            </w:tcMar>
            <w:vAlign w:val="center"/>
          </w:tcPr>
          <w:p>
            <w:pPr>
              <w:spacing w:after="0" w:line="240" w:lineRule="auto"/>
            </w:pPr>
            <w:r>
              <w:rPr>
                <w:color w:val="16212B"/>
                <w:sz w:val="16"/>
              </w:rPr>
              <w:t>DS-C026</w:t>
            </w:r>
          </w:p>
        </w:tc>
        <w:tc>
          <w:tcPr>
            <w:tcW w:type="dxa" w:w="2880"/>
            <w:tcMar>
              <w:top w:w="100" w:type="dxa"/>
              <w:start w:w="120" w:type="dxa"/>
              <w:bottom w:w="100" w:type="dxa"/>
              <w:end w:w="120" w:type="dxa"/>
            </w:tcMar>
            <w:vAlign w:val="center"/>
          </w:tcPr>
          <w:p>
            <w:pPr>
              <w:spacing w:after="0" w:line="240" w:lineRule="auto"/>
            </w:pPr>
            <w:r>
              <w:rPr>
                <w:color w:val="16212B"/>
                <w:sz w:val="16"/>
              </w:rPr>
              <w:t>Permission state</w:t>
            </w:r>
          </w:p>
        </w:tc>
        <w:tc>
          <w:tcPr>
            <w:tcW w:type="dxa" w:w="5472"/>
            <w:tcMar>
              <w:top w:w="100" w:type="dxa"/>
              <w:start w:w="120" w:type="dxa"/>
              <w:bottom w:w="100" w:type="dxa"/>
              <w:end w:w="120" w:type="dxa"/>
            </w:tcMar>
            <w:vAlign w:val="center"/>
          </w:tcPr>
          <w:p>
            <w:pPr>
              <w:spacing w:after="0" w:line="240" w:lineRule="auto"/>
            </w:pPr>
            <w:r>
              <w:rPr>
                <w:color w:val="16212B"/>
                <w:sz w:val="16"/>
              </w:rPr>
              <w:t>Non-disclosing denial / access request guidance</w:t>
            </w:r>
          </w:p>
        </w:tc>
      </w:tr>
      <w:tr>
        <w:tc>
          <w:tcPr>
            <w:tcW w:type="dxa" w:w="1440"/>
            <w:tcMar>
              <w:top w:w="100" w:type="dxa"/>
              <w:start w:w="120" w:type="dxa"/>
              <w:bottom w:w="100" w:type="dxa"/>
              <w:end w:w="120" w:type="dxa"/>
            </w:tcMar>
            <w:vAlign w:val="center"/>
          </w:tcPr>
          <w:p>
            <w:pPr>
              <w:spacing w:after="0" w:line="240" w:lineRule="auto"/>
            </w:pPr>
            <w:r>
              <w:rPr>
                <w:color w:val="16212B"/>
                <w:sz w:val="16"/>
              </w:rPr>
              <w:t>DS-C027</w:t>
            </w:r>
          </w:p>
        </w:tc>
        <w:tc>
          <w:tcPr>
            <w:tcW w:type="dxa" w:w="2880"/>
            <w:tcMar>
              <w:top w:w="100" w:type="dxa"/>
              <w:start w:w="120" w:type="dxa"/>
              <w:bottom w:w="100" w:type="dxa"/>
              <w:end w:w="120" w:type="dxa"/>
            </w:tcMar>
            <w:vAlign w:val="center"/>
          </w:tcPr>
          <w:p>
            <w:pPr>
              <w:spacing w:after="0" w:line="240" w:lineRule="auto"/>
            </w:pPr>
            <w:r>
              <w:rPr>
                <w:color w:val="16212B"/>
                <w:sz w:val="16"/>
              </w:rPr>
              <w:t>Integrity warning</w:t>
            </w:r>
          </w:p>
        </w:tc>
        <w:tc>
          <w:tcPr>
            <w:tcW w:type="dxa" w:w="5472"/>
            <w:tcMar>
              <w:top w:w="100" w:type="dxa"/>
              <w:start w:w="120" w:type="dxa"/>
              <w:bottom w:w="100" w:type="dxa"/>
              <w:end w:w="120" w:type="dxa"/>
            </w:tcMar>
            <w:vAlign w:val="center"/>
          </w:tcPr>
          <w:p>
            <w:pPr>
              <w:spacing w:after="0" w:line="240" w:lineRule="auto"/>
            </w:pPr>
            <w:r>
              <w:rPr>
                <w:color w:val="16212B"/>
                <w:sz w:val="16"/>
              </w:rPr>
              <w:t>Hash mismatch/evidence integrity issue</w:t>
            </w:r>
          </w:p>
        </w:tc>
      </w:tr>
      <w:tr>
        <w:tc>
          <w:tcPr>
            <w:tcW w:type="dxa" w:w="1440"/>
            <w:tcMar>
              <w:top w:w="100" w:type="dxa"/>
              <w:start w:w="120" w:type="dxa"/>
              <w:bottom w:w="100" w:type="dxa"/>
              <w:end w:w="120" w:type="dxa"/>
            </w:tcMar>
            <w:vAlign w:val="center"/>
          </w:tcPr>
          <w:p>
            <w:pPr>
              <w:spacing w:after="0" w:line="240" w:lineRule="auto"/>
            </w:pPr>
            <w:r>
              <w:rPr>
                <w:color w:val="16212B"/>
                <w:sz w:val="16"/>
              </w:rPr>
              <w:t>DS-C028</w:t>
            </w:r>
          </w:p>
        </w:tc>
        <w:tc>
          <w:tcPr>
            <w:tcW w:type="dxa" w:w="2880"/>
            <w:tcMar>
              <w:top w:w="100" w:type="dxa"/>
              <w:start w:w="120" w:type="dxa"/>
              <w:bottom w:w="100" w:type="dxa"/>
              <w:end w:w="120" w:type="dxa"/>
            </w:tcMar>
            <w:vAlign w:val="center"/>
          </w:tcPr>
          <w:p>
            <w:pPr>
              <w:spacing w:after="0" w:line="240" w:lineRule="auto"/>
            </w:pPr>
            <w:r>
              <w:rPr>
                <w:color w:val="16212B"/>
                <w:sz w:val="16"/>
              </w:rPr>
              <w:t>Version/supersession banner</w:t>
            </w:r>
          </w:p>
        </w:tc>
        <w:tc>
          <w:tcPr>
            <w:tcW w:type="dxa" w:w="5472"/>
            <w:tcMar>
              <w:top w:w="100" w:type="dxa"/>
              <w:start w:w="120" w:type="dxa"/>
              <w:bottom w:w="100" w:type="dxa"/>
              <w:end w:w="120" w:type="dxa"/>
            </w:tcMar>
            <w:vAlign w:val="center"/>
          </w:tcPr>
          <w:p>
            <w:pPr>
              <w:spacing w:after="0" w:line="240" w:lineRule="auto"/>
            </w:pPr>
            <w:r>
              <w:rPr>
                <w:color w:val="16212B"/>
                <w:sz w:val="16"/>
              </w:rPr>
              <w:t>Current/superseded/retracted state</w:t>
            </w:r>
          </w:p>
        </w:tc>
      </w:tr>
      <w:tr>
        <w:tc>
          <w:tcPr>
            <w:tcW w:type="dxa" w:w="1440"/>
            <w:tcMar>
              <w:top w:w="100" w:type="dxa"/>
              <w:start w:w="120" w:type="dxa"/>
              <w:bottom w:w="100" w:type="dxa"/>
              <w:end w:w="120" w:type="dxa"/>
            </w:tcMar>
            <w:vAlign w:val="center"/>
          </w:tcPr>
          <w:p>
            <w:pPr>
              <w:spacing w:after="0" w:line="240" w:lineRule="auto"/>
            </w:pPr>
            <w:r>
              <w:rPr>
                <w:color w:val="16212B"/>
                <w:sz w:val="16"/>
              </w:rPr>
              <w:t>DS-C029</w:t>
            </w:r>
          </w:p>
        </w:tc>
        <w:tc>
          <w:tcPr>
            <w:tcW w:type="dxa" w:w="2880"/>
            <w:tcMar>
              <w:top w:w="100" w:type="dxa"/>
              <w:start w:w="120" w:type="dxa"/>
              <w:bottom w:w="100" w:type="dxa"/>
              <w:end w:w="120" w:type="dxa"/>
            </w:tcMar>
            <w:vAlign w:val="center"/>
          </w:tcPr>
          <w:p>
            <w:pPr>
              <w:spacing w:after="0" w:line="240" w:lineRule="auto"/>
            </w:pPr>
            <w:r>
              <w:rPr>
                <w:color w:val="16212B"/>
                <w:sz w:val="16"/>
              </w:rPr>
              <w:t>Skeleton / progress</w:t>
            </w:r>
          </w:p>
        </w:tc>
        <w:tc>
          <w:tcPr>
            <w:tcW w:type="dxa" w:w="5472"/>
            <w:tcMar>
              <w:top w:w="100" w:type="dxa"/>
              <w:start w:w="120" w:type="dxa"/>
              <w:bottom w:w="100" w:type="dxa"/>
              <w:end w:w="120" w:type="dxa"/>
            </w:tcMar>
            <w:vAlign w:val="center"/>
          </w:tcPr>
          <w:p>
            <w:pPr>
              <w:spacing w:after="0" w:line="240" w:lineRule="auto"/>
            </w:pPr>
            <w:r>
              <w:rPr>
                <w:color w:val="16212B"/>
                <w:sz w:val="16"/>
              </w:rPr>
              <w:t>Async loading</w:t>
            </w:r>
          </w:p>
        </w:tc>
      </w:tr>
      <w:tr>
        <w:tc>
          <w:tcPr>
            <w:tcW w:type="dxa" w:w="1440"/>
            <w:tcMar>
              <w:top w:w="100" w:type="dxa"/>
              <w:start w:w="120" w:type="dxa"/>
              <w:bottom w:w="100" w:type="dxa"/>
              <w:end w:w="120" w:type="dxa"/>
            </w:tcMar>
            <w:vAlign w:val="center"/>
          </w:tcPr>
          <w:p>
            <w:pPr>
              <w:spacing w:after="0" w:line="240" w:lineRule="auto"/>
            </w:pPr>
            <w:r>
              <w:rPr>
                <w:color w:val="16212B"/>
                <w:sz w:val="16"/>
              </w:rPr>
              <w:t>DS-C030</w:t>
            </w:r>
          </w:p>
        </w:tc>
        <w:tc>
          <w:tcPr>
            <w:tcW w:type="dxa" w:w="2880"/>
            <w:tcMar>
              <w:top w:w="100" w:type="dxa"/>
              <w:start w:w="120" w:type="dxa"/>
              <w:bottom w:w="100" w:type="dxa"/>
              <w:end w:w="120" w:type="dxa"/>
            </w:tcMar>
            <w:vAlign w:val="center"/>
          </w:tcPr>
          <w:p>
            <w:pPr>
              <w:spacing w:after="0" w:line="240" w:lineRule="auto"/>
            </w:pPr>
            <w:r>
              <w:rPr>
                <w:color w:val="16212B"/>
                <w:sz w:val="16"/>
              </w:rPr>
              <w:t>Legend</w:t>
            </w:r>
          </w:p>
        </w:tc>
        <w:tc>
          <w:tcPr>
            <w:tcW w:type="dxa" w:w="5472"/>
            <w:tcMar>
              <w:top w:w="100" w:type="dxa"/>
              <w:start w:w="120" w:type="dxa"/>
              <w:bottom w:w="100" w:type="dxa"/>
              <w:end w:w="120" w:type="dxa"/>
            </w:tcMar>
            <w:vAlign w:val="center"/>
          </w:tcPr>
          <w:p>
            <w:pPr>
              <w:spacing w:after="0" w:line="240" w:lineRule="auto"/>
            </w:pPr>
            <w:r>
              <w:rPr>
                <w:color w:val="16212B"/>
                <w:sz w:val="16"/>
              </w:rPr>
              <w:t>Analytical semantics/key</w:t>
            </w:r>
          </w:p>
        </w:tc>
      </w:tr>
    </w:tbl>
    <w:p>
      <w:pPr>
        <w:spacing w:after="0"/>
      </w:pPr>
    </w:p>
    <w:p>
      <w:pPr>
        <w:pStyle w:val="Heading1"/>
      </w:pPr>
      <w:r>
        <w:t>15. Actions and Buttons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5"/>
            <w:shd w:fill="17324D"/>
            <w:tcMar>
              <w:top w:w="100" w:type="dxa"/>
              <w:start w:w="120" w:type="dxa"/>
              <w:bottom w:w="100" w:type="dxa"/>
              <w:end w:w="120" w:type="dxa"/>
            </w:tcMar>
            <w:vAlign w:val="center"/>
          </w:tcPr>
          <w:p>
            <w:pPr>
              <w:jc w:val="center"/>
            </w:pPr>
            <w:r>
              <w:rPr>
                <w:b/>
                <w:color w:val="FFFFFF"/>
                <w:sz w:val="18"/>
              </w:rPr>
              <w:t>Variant</w:t>
            </w:r>
          </w:p>
        </w:tc>
        <w:tc>
          <w:tcPr>
            <w:tcW w:type="dxa" w:w="3456"/>
            <w:shd w:fill="17324D"/>
            <w:tcMar>
              <w:top w:w="100" w:type="dxa"/>
              <w:start w:w="120" w:type="dxa"/>
              <w:bottom w:w="100" w:type="dxa"/>
              <w:end w:w="120" w:type="dxa"/>
            </w:tcMar>
            <w:vAlign w:val="center"/>
          </w:tcPr>
          <w:p>
            <w:pPr>
              <w:jc w:val="center"/>
            </w:pPr>
            <w:r>
              <w:rPr>
                <w:b/>
                <w:color w:val="FFFFFF"/>
                <w:sz w:val="18"/>
              </w:rPr>
              <w:t>Use</w:t>
            </w:r>
          </w:p>
        </w:tc>
        <w:tc>
          <w:tcPr>
            <w:tcW w:type="dxa" w:w="4320"/>
            <w:shd w:fill="17324D"/>
            <w:tcMar>
              <w:top w:w="100" w:type="dxa"/>
              <w:start w:w="120" w:type="dxa"/>
              <w:bottom w:w="100" w:type="dxa"/>
              <w:end w:w="120" w:type="dxa"/>
            </w:tcMar>
            <w:vAlign w:val="center"/>
          </w:tcPr>
          <w:p>
            <w:pPr>
              <w:jc w:val="center"/>
            </w:pPr>
            <w:r>
              <w:rPr>
                <w:b/>
                <w:color w:val="FFFFFF"/>
                <w:sz w:val="18"/>
              </w:rPr>
              <w:t>Rule</w:t>
            </w:r>
          </w:p>
        </w:tc>
      </w:tr>
      <w:tr>
        <w:tc>
          <w:tcPr>
            <w:tcW w:type="dxa" w:w="2015"/>
            <w:tcMar>
              <w:top w:w="100" w:type="dxa"/>
              <w:start w:w="120" w:type="dxa"/>
              <w:bottom w:w="100" w:type="dxa"/>
              <w:end w:w="120" w:type="dxa"/>
            </w:tcMar>
            <w:vAlign w:val="center"/>
          </w:tcPr>
          <w:p>
            <w:pPr>
              <w:spacing w:after="0" w:line="240" w:lineRule="auto"/>
            </w:pPr>
            <w:r>
              <w:rPr>
                <w:color w:val="16212B"/>
                <w:sz w:val="18"/>
              </w:rPr>
              <w:t>Primary</w:t>
            </w:r>
          </w:p>
        </w:tc>
        <w:tc>
          <w:tcPr>
            <w:tcW w:type="dxa" w:w="3456"/>
            <w:tcMar>
              <w:top w:w="100" w:type="dxa"/>
              <w:start w:w="120" w:type="dxa"/>
              <w:bottom w:w="100" w:type="dxa"/>
              <w:end w:w="120" w:type="dxa"/>
            </w:tcMar>
            <w:vAlign w:val="center"/>
          </w:tcPr>
          <w:p>
            <w:pPr>
              <w:spacing w:after="0" w:line="240" w:lineRule="auto"/>
            </w:pPr>
            <w:r>
              <w:rPr>
                <w:color w:val="16212B"/>
                <w:sz w:val="18"/>
              </w:rPr>
              <w:t>Single main task in current region</w:t>
            </w:r>
          </w:p>
        </w:tc>
        <w:tc>
          <w:tcPr>
            <w:tcW w:type="dxa" w:w="4320"/>
            <w:tcMar>
              <w:top w:w="100" w:type="dxa"/>
              <w:start w:w="120" w:type="dxa"/>
              <w:bottom w:w="100" w:type="dxa"/>
              <w:end w:w="120" w:type="dxa"/>
            </w:tcMar>
            <w:vAlign w:val="center"/>
          </w:tcPr>
          <w:p>
            <w:pPr>
              <w:spacing w:after="0" w:line="240" w:lineRule="auto"/>
            </w:pPr>
            <w:r>
              <w:rPr>
                <w:color w:val="16212B"/>
                <w:sz w:val="18"/>
              </w:rPr>
              <w:t>Generally one primary action per major panel</w:t>
            </w:r>
          </w:p>
        </w:tc>
      </w:tr>
      <w:tr>
        <w:tc>
          <w:tcPr>
            <w:tcW w:type="dxa" w:w="2015"/>
            <w:tcMar>
              <w:top w:w="100" w:type="dxa"/>
              <w:start w:w="120" w:type="dxa"/>
              <w:bottom w:w="100" w:type="dxa"/>
              <w:end w:w="120" w:type="dxa"/>
            </w:tcMar>
            <w:vAlign w:val="center"/>
          </w:tcPr>
          <w:p>
            <w:pPr>
              <w:spacing w:after="0" w:line="240" w:lineRule="auto"/>
            </w:pPr>
            <w:r>
              <w:rPr>
                <w:color w:val="16212B"/>
                <w:sz w:val="18"/>
              </w:rPr>
              <w:t>Secondary</w:t>
            </w:r>
          </w:p>
        </w:tc>
        <w:tc>
          <w:tcPr>
            <w:tcW w:type="dxa" w:w="3456"/>
            <w:tcMar>
              <w:top w:w="100" w:type="dxa"/>
              <w:start w:w="120" w:type="dxa"/>
              <w:bottom w:w="100" w:type="dxa"/>
              <w:end w:w="120" w:type="dxa"/>
            </w:tcMar>
            <w:vAlign w:val="center"/>
          </w:tcPr>
          <w:p>
            <w:pPr>
              <w:spacing w:after="0" w:line="240" w:lineRule="auto"/>
            </w:pPr>
            <w:r>
              <w:rPr>
                <w:color w:val="16212B"/>
                <w:sz w:val="18"/>
              </w:rPr>
              <w:t>Alternative non-destructive action</w:t>
            </w:r>
          </w:p>
        </w:tc>
        <w:tc>
          <w:tcPr>
            <w:tcW w:type="dxa" w:w="4320"/>
            <w:tcMar>
              <w:top w:w="100" w:type="dxa"/>
              <w:start w:w="120" w:type="dxa"/>
              <w:bottom w:w="100" w:type="dxa"/>
              <w:end w:w="120" w:type="dxa"/>
            </w:tcMar>
            <w:vAlign w:val="center"/>
          </w:tcPr>
          <w:p>
            <w:pPr>
              <w:spacing w:after="0" w:line="240" w:lineRule="auto"/>
            </w:pPr>
            <w:r>
              <w:rPr>
                <w:color w:val="16212B"/>
                <w:sz w:val="18"/>
              </w:rPr>
              <w:t>May coexist with primary</w:t>
            </w:r>
          </w:p>
        </w:tc>
      </w:tr>
      <w:tr>
        <w:tc>
          <w:tcPr>
            <w:tcW w:type="dxa" w:w="2015"/>
            <w:tcMar>
              <w:top w:w="100" w:type="dxa"/>
              <w:start w:w="120" w:type="dxa"/>
              <w:bottom w:w="100" w:type="dxa"/>
              <w:end w:w="120" w:type="dxa"/>
            </w:tcMar>
            <w:vAlign w:val="center"/>
          </w:tcPr>
          <w:p>
            <w:pPr>
              <w:spacing w:after="0" w:line="240" w:lineRule="auto"/>
            </w:pPr>
            <w:r>
              <w:rPr>
                <w:color w:val="16212B"/>
                <w:sz w:val="18"/>
              </w:rPr>
              <w:t>Tertiary</w:t>
            </w:r>
          </w:p>
        </w:tc>
        <w:tc>
          <w:tcPr>
            <w:tcW w:type="dxa" w:w="3456"/>
            <w:tcMar>
              <w:top w:w="100" w:type="dxa"/>
              <w:start w:w="120" w:type="dxa"/>
              <w:bottom w:w="100" w:type="dxa"/>
              <w:end w:w="120" w:type="dxa"/>
            </w:tcMar>
            <w:vAlign w:val="center"/>
          </w:tcPr>
          <w:p>
            <w:pPr>
              <w:spacing w:after="0" w:line="240" w:lineRule="auto"/>
            </w:pPr>
            <w:r>
              <w:rPr>
                <w:color w:val="16212B"/>
                <w:sz w:val="18"/>
              </w:rPr>
              <w:t>Low-emphasis utility action</w:t>
            </w:r>
          </w:p>
        </w:tc>
        <w:tc>
          <w:tcPr>
            <w:tcW w:type="dxa" w:w="4320"/>
            <w:tcMar>
              <w:top w:w="100" w:type="dxa"/>
              <w:start w:w="120" w:type="dxa"/>
              <w:bottom w:w="100" w:type="dxa"/>
              <w:end w:w="120" w:type="dxa"/>
            </w:tcMar>
            <w:vAlign w:val="center"/>
          </w:tcPr>
          <w:p>
            <w:pPr>
              <w:spacing w:after="0" w:line="240" w:lineRule="auto"/>
            </w:pPr>
            <w:r>
              <w:rPr>
                <w:color w:val="16212B"/>
                <w:sz w:val="18"/>
              </w:rPr>
              <w:t>Text/ghost style</w:t>
            </w:r>
          </w:p>
        </w:tc>
      </w:tr>
      <w:tr>
        <w:tc>
          <w:tcPr>
            <w:tcW w:type="dxa" w:w="2015"/>
            <w:tcMar>
              <w:top w:w="100" w:type="dxa"/>
              <w:start w:w="120" w:type="dxa"/>
              <w:bottom w:w="100" w:type="dxa"/>
              <w:end w:w="120" w:type="dxa"/>
            </w:tcMar>
            <w:vAlign w:val="center"/>
          </w:tcPr>
          <w:p>
            <w:pPr>
              <w:spacing w:after="0" w:line="240" w:lineRule="auto"/>
            </w:pPr>
            <w:r>
              <w:rPr>
                <w:color w:val="16212B"/>
                <w:sz w:val="18"/>
              </w:rPr>
              <w:t>Danger</w:t>
            </w:r>
          </w:p>
        </w:tc>
        <w:tc>
          <w:tcPr>
            <w:tcW w:type="dxa" w:w="3456"/>
            <w:tcMar>
              <w:top w:w="100" w:type="dxa"/>
              <w:start w:w="120" w:type="dxa"/>
              <w:bottom w:w="100" w:type="dxa"/>
              <w:end w:w="120" w:type="dxa"/>
            </w:tcMar>
            <w:vAlign w:val="center"/>
          </w:tcPr>
          <w:p>
            <w:pPr>
              <w:spacing w:after="0" w:line="240" w:lineRule="auto"/>
            </w:pPr>
            <w:r>
              <w:rPr>
                <w:color w:val="16212B"/>
                <w:sz w:val="18"/>
              </w:rPr>
              <w:t>Destructive/irreversible action</w:t>
            </w:r>
          </w:p>
        </w:tc>
        <w:tc>
          <w:tcPr>
            <w:tcW w:type="dxa" w:w="4320"/>
            <w:tcMar>
              <w:top w:w="100" w:type="dxa"/>
              <w:start w:w="120" w:type="dxa"/>
              <w:bottom w:w="100" w:type="dxa"/>
              <w:end w:w="120" w:type="dxa"/>
            </w:tcMar>
            <w:vAlign w:val="center"/>
          </w:tcPr>
          <w:p>
            <w:pPr>
              <w:spacing w:after="0" w:line="240" w:lineRule="auto"/>
            </w:pPr>
            <w:r>
              <w:rPr>
                <w:color w:val="16212B"/>
                <w:sz w:val="18"/>
              </w:rPr>
              <w:t>Red semantic reserved for destructive actions; confirmation often required</w:t>
            </w:r>
          </w:p>
        </w:tc>
      </w:tr>
      <w:tr>
        <w:tc>
          <w:tcPr>
            <w:tcW w:type="dxa" w:w="2015"/>
            <w:tcMar>
              <w:top w:w="100" w:type="dxa"/>
              <w:start w:w="120" w:type="dxa"/>
              <w:bottom w:w="100" w:type="dxa"/>
              <w:end w:w="120" w:type="dxa"/>
            </w:tcMar>
            <w:vAlign w:val="center"/>
          </w:tcPr>
          <w:p>
            <w:pPr>
              <w:spacing w:after="0" w:line="240" w:lineRule="auto"/>
            </w:pPr>
            <w:r>
              <w:rPr>
                <w:color w:val="16212B"/>
                <w:sz w:val="18"/>
              </w:rPr>
              <w:t>High-impact approval</w:t>
            </w:r>
          </w:p>
        </w:tc>
        <w:tc>
          <w:tcPr>
            <w:tcW w:type="dxa" w:w="3456"/>
            <w:tcMar>
              <w:top w:w="100" w:type="dxa"/>
              <w:start w:w="120" w:type="dxa"/>
              <w:bottom w:w="100" w:type="dxa"/>
              <w:end w:w="120" w:type="dxa"/>
            </w:tcMar>
            <w:vAlign w:val="center"/>
          </w:tcPr>
          <w:p>
            <w:pPr>
              <w:spacing w:after="0" w:line="240" w:lineRule="auto"/>
            </w:pPr>
            <w:r>
              <w:rPr>
                <w:color w:val="16212B"/>
                <w:sz w:val="18"/>
              </w:rPr>
              <w:t>Approve dissemination/review</w:t>
            </w:r>
          </w:p>
        </w:tc>
        <w:tc>
          <w:tcPr>
            <w:tcW w:type="dxa" w:w="4320"/>
            <w:tcMar>
              <w:top w:w="100" w:type="dxa"/>
              <w:start w:w="120" w:type="dxa"/>
              <w:bottom w:w="100" w:type="dxa"/>
              <w:end w:w="120" w:type="dxa"/>
            </w:tcMar>
            <w:vAlign w:val="center"/>
          </w:tcPr>
          <w:p>
            <w:pPr>
              <w:spacing w:after="0" w:line="240" w:lineRule="auto"/>
            </w:pPr>
            <w:r>
              <w:rPr>
                <w:color w:val="16212B"/>
                <w:sz w:val="18"/>
              </w:rPr>
              <w:t>Visually explicit; label names consequence, e.g. “Approve for dissemination”</w:t>
            </w:r>
          </w:p>
        </w:tc>
      </w:tr>
    </w:tbl>
    <w:p>
      <w:pPr>
        <w:spacing w:after="0"/>
      </w:pPr>
    </w:p>
    <w:p>
      <w:pPr>
        <w:pStyle w:val="ListBullet"/>
        <w:spacing w:after="40" w:line="259" w:lineRule="auto"/>
      </w:pPr>
      <w:r>
        <w:rPr>
          <w:sz w:val="20"/>
        </w:rPr>
        <w:t>Ambiguous labels such as “OK” SHALL NOT be used for consequential actions.</w:t>
      </w:r>
    </w:p>
    <w:p>
      <w:pPr>
        <w:pStyle w:val="ListBullet"/>
        <w:spacing w:after="40" w:line="259" w:lineRule="auto"/>
      </w:pPr>
      <w:r>
        <w:rPr>
          <w:sz w:val="20"/>
        </w:rPr>
        <w:t>Buttons that create irreversible or externally visible effects SHALL describe the effect.</w:t>
      </w:r>
    </w:p>
    <w:p>
      <w:pPr>
        <w:pStyle w:val="ListBullet"/>
        <w:spacing w:after="40" w:line="259" w:lineRule="auto"/>
      </w:pPr>
      <w:r>
        <w:rPr>
          <w:sz w:val="20"/>
        </w:rPr>
        <w:t>Primary button styling SHALL NOT be used to nudge users toward an adverse analytical conclusion.</w:t>
      </w:r>
    </w:p>
    <w:p>
      <w:pPr>
        <w:pStyle w:val="ListBullet"/>
        <w:spacing w:after="40" w:line="259" w:lineRule="auto"/>
      </w:pPr>
      <w:r>
        <w:rPr>
          <w:sz w:val="20"/>
        </w:rPr>
        <w:t>Approval and rejection controls SHOULD be visually balanced where human judgement is required.</w:t>
      </w:r>
    </w:p>
    <w:p>
      <w:pPr>
        <w:pStyle w:val="Heading1"/>
      </w:pPr>
      <w:r>
        <w:t>16. Forms and Data Entry Components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24D"/>
            <w:tcMar>
              <w:top w:w="100" w:type="dxa"/>
              <w:start w:w="120" w:type="dxa"/>
              <w:bottom w:w="100" w:type="dxa"/>
              <w:end w:w="120" w:type="dxa"/>
            </w:tcMar>
            <w:vAlign w:val="center"/>
          </w:tcPr>
          <w:p>
            <w:pPr>
              <w:jc w:val="center"/>
            </w:pPr>
            <w:r>
              <w:rPr>
                <w:b/>
                <w:color w:val="FFFFFF"/>
                <w:sz w:val="18"/>
              </w:rPr>
              <w:t>Rule</w:t>
            </w:r>
          </w:p>
        </w:tc>
        <w:tc>
          <w:tcPr>
            <w:tcW w:type="dxa" w:w="7488"/>
            <w:shd w:fill="17324D"/>
            <w:tcMar>
              <w:top w:w="100" w:type="dxa"/>
              <w:start w:w="120" w:type="dxa"/>
              <w:bottom w:w="100" w:type="dxa"/>
              <w:end w:w="120" w:type="dxa"/>
            </w:tcMar>
            <w:vAlign w:val="center"/>
          </w:tcPr>
          <w:p>
            <w:pPr>
              <w:jc w:val="center"/>
            </w:pPr>
            <w:r>
              <w:rPr>
                <w:b/>
                <w:color w:val="FFFFFF"/>
                <w:sz w:val="18"/>
              </w:rPr>
              <w:t>Requirement</w:t>
            </w:r>
          </w:p>
        </w:tc>
      </w:tr>
      <w:tr>
        <w:tc>
          <w:tcPr>
            <w:tcW w:type="dxa" w:w="2304"/>
            <w:tcMar>
              <w:top w:w="100" w:type="dxa"/>
              <w:start w:w="120" w:type="dxa"/>
              <w:bottom w:w="100" w:type="dxa"/>
              <w:end w:w="120" w:type="dxa"/>
            </w:tcMar>
            <w:vAlign w:val="center"/>
          </w:tcPr>
          <w:p>
            <w:pPr>
              <w:spacing w:after="0" w:line="240" w:lineRule="auto"/>
            </w:pPr>
            <w:r>
              <w:rPr>
                <w:color w:val="16212B"/>
                <w:sz w:val="18"/>
              </w:rPr>
              <w:t>Labels</w:t>
            </w:r>
          </w:p>
        </w:tc>
        <w:tc>
          <w:tcPr>
            <w:tcW w:type="dxa" w:w="7488"/>
            <w:tcMar>
              <w:top w:w="100" w:type="dxa"/>
              <w:start w:w="120" w:type="dxa"/>
              <w:bottom w:w="100" w:type="dxa"/>
              <w:end w:w="120" w:type="dxa"/>
            </w:tcMar>
            <w:vAlign w:val="center"/>
          </w:tcPr>
          <w:p>
            <w:pPr>
              <w:spacing w:after="0" w:line="240" w:lineRule="auto"/>
            </w:pPr>
            <w:r>
              <w:rPr>
                <w:color w:val="16212B"/>
                <w:sz w:val="18"/>
              </w:rPr>
              <w:t>Persistent labels above/adjacent to controls; placeholder is not a label.</w:t>
            </w:r>
          </w:p>
        </w:tc>
      </w:tr>
      <w:tr>
        <w:tc>
          <w:tcPr>
            <w:tcW w:type="dxa" w:w="2304"/>
            <w:tcMar>
              <w:top w:w="100" w:type="dxa"/>
              <w:start w:w="120" w:type="dxa"/>
              <w:bottom w:w="100" w:type="dxa"/>
              <w:end w:w="120" w:type="dxa"/>
            </w:tcMar>
            <w:vAlign w:val="center"/>
          </w:tcPr>
          <w:p>
            <w:pPr>
              <w:spacing w:after="0" w:line="240" w:lineRule="auto"/>
            </w:pPr>
            <w:r>
              <w:rPr>
                <w:color w:val="16212B"/>
                <w:sz w:val="18"/>
              </w:rPr>
              <w:t>Required fields</w:t>
            </w:r>
          </w:p>
        </w:tc>
        <w:tc>
          <w:tcPr>
            <w:tcW w:type="dxa" w:w="7488"/>
            <w:tcMar>
              <w:top w:w="100" w:type="dxa"/>
              <w:start w:w="120" w:type="dxa"/>
              <w:bottom w:w="100" w:type="dxa"/>
              <w:end w:w="120" w:type="dxa"/>
            </w:tcMar>
            <w:vAlign w:val="center"/>
          </w:tcPr>
          <w:p>
            <w:pPr>
              <w:spacing w:after="0" w:line="240" w:lineRule="auto"/>
            </w:pPr>
            <w:r>
              <w:rPr>
                <w:color w:val="16212B"/>
                <w:sz w:val="18"/>
              </w:rPr>
              <w:t>Mark explicitly; do not rely on color.</w:t>
            </w:r>
          </w:p>
        </w:tc>
      </w:tr>
      <w:tr>
        <w:tc>
          <w:tcPr>
            <w:tcW w:type="dxa" w:w="2304"/>
            <w:tcMar>
              <w:top w:w="100" w:type="dxa"/>
              <w:start w:w="120" w:type="dxa"/>
              <w:bottom w:w="100" w:type="dxa"/>
              <w:end w:w="120" w:type="dxa"/>
            </w:tcMar>
            <w:vAlign w:val="center"/>
          </w:tcPr>
          <w:p>
            <w:pPr>
              <w:spacing w:after="0" w:line="240" w:lineRule="auto"/>
            </w:pPr>
            <w:r>
              <w:rPr>
                <w:color w:val="16212B"/>
                <w:sz w:val="18"/>
              </w:rPr>
              <w:t>Helper text</w:t>
            </w:r>
          </w:p>
        </w:tc>
        <w:tc>
          <w:tcPr>
            <w:tcW w:type="dxa" w:w="7488"/>
            <w:tcMar>
              <w:top w:w="100" w:type="dxa"/>
              <w:start w:w="120" w:type="dxa"/>
              <w:bottom w:w="100" w:type="dxa"/>
              <w:end w:w="120" w:type="dxa"/>
            </w:tcMar>
            <w:vAlign w:val="center"/>
          </w:tcPr>
          <w:p>
            <w:pPr>
              <w:spacing w:after="0" w:line="240" w:lineRule="auto"/>
            </w:pPr>
            <w:r>
              <w:rPr>
                <w:color w:val="16212B"/>
                <w:sz w:val="18"/>
              </w:rPr>
              <w:t>Use for methodology or format constraints; keep concise.</w:t>
            </w:r>
          </w:p>
        </w:tc>
      </w:tr>
      <w:tr>
        <w:tc>
          <w:tcPr>
            <w:tcW w:type="dxa" w:w="2304"/>
            <w:tcMar>
              <w:top w:w="100" w:type="dxa"/>
              <w:start w:w="120" w:type="dxa"/>
              <w:bottom w:w="100" w:type="dxa"/>
              <w:end w:w="120" w:type="dxa"/>
            </w:tcMar>
            <w:vAlign w:val="center"/>
          </w:tcPr>
          <w:p>
            <w:pPr>
              <w:spacing w:after="0" w:line="240" w:lineRule="auto"/>
            </w:pPr>
            <w:r>
              <w:rPr>
                <w:color w:val="16212B"/>
                <w:sz w:val="18"/>
              </w:rPr>
              <w:t>Validation</w:t>
            </w:r>
          </w:p>
        </w:tc>
        <w:tc>
          <w:tcPr>
            <w:tcW w:type="dxa" w:w="7488"/>
            <w:tcMar>
              <w:top w:w="100" w:type="dxa"/>
              <w:start w:w="120" w:type="dxa"/>
              <w:bottom w:w="100" w:type="dxa"/>
              <w:end w:w="120" w:type="dxa"/>
            </w:tcMar>
            <w:vAlign w:val="center"/>
          </w:tcPr>
          <w:p>
            <w:pPr>
              <w:spacing w:after="0" w:line="240" w:lineRule="auto"/>
            </w:pPr>
            <w:r>
              <w:rPr>
                <w:color w:val="16212B"/>
                <w:sz w:val="18"/>
              </w:rPr>
              <w:t>Inline, specific, and linked to the field; retain user input.</w:t>
            </w:r>
          </w:p>
        </w:tc>
      </w:tr>
      <w:tr>
        <w:tc>
          <w:tcPr>
            <w:tcW w:type="dxa" w:w="2304"/>
            <w:tcMar>
              <w:top w:w="100" w:type="dxa"/>
              <w:start w:w="120" w:type="dxa"/>
              <w:bottom w:w="100" w:type="dxa"/>
              <w:end w:w="120" w:type="dxa"/>
            </w:tcMar>
            <w:vAlign w:val="center"/>
          </w:tcPr>
          <w:p>
            <w:pPr>
              <w:spacing w:after="0" w:line="240" w:lineRule="auto"/>
            </w:pPr>
            <w:r>
              <w:rPr>
                <w:color w:val="16212B"/>
                <w:sz w:val="18"/>
              </w:rPr>
              <w:t>Unknown values</w:t>
            </w:r>
          </w:p>
        </w:tc>
        <w:tc>
          <w:tcPr>
            <w:tcW w:type="dxa" w:w="7488"/>
            <w:tcMar>
              <w:top w:w="100" w:type="dxa"/>
              <w:start w:w="120" w:type="dxa"/>
              <w:bottom w:w="100" w:type="dxa"/>
              <w:end w:w="120" w:type="dxa"/>
            </w:tcMar>
            <w:vAlign w:val="center"/>
          </w:tcPr>
          <w:p>
            <w:pPr>
              <w:spacing w:after="0" w:line="240" w:lineRule="auto"/>
            </w:pPr>
            <w:r>
              <w:rPr>
                <w:color w:val="16212B"/>
                <w:sz w:val="18"/>
              </w:rPr>
              <w:t>Provide explicit Unknown / Not assessed option where domain model allows it.</w:t>
            </w:r>
          </w:p>
        </w:tc>
      </w:tr>
      <w:tr>
        <w:tc>
          <w:tcPr>
            <w:tcW w:type="dxa" w:w="2304"/>
            <w:tcMar>
              <w:top w:w="100" w:type="dxa"/>
              <w:start w:w="120" w:type="dxa"/>
              <w:bottom w:w="100" w:type="dxa"/>
              <w:end w:w="120" w:type="dxa"/>
            </w:tcMar>
            <w:vAlign w:val="center"/>
          </w:tcPr>
          <w:p>
            <w:pPr>
              <w:spacing w:after="0" w:line="240" w:lineRule="auto"/>
            </w:pPr>
            <w:r>
              <w:rPr>
                <w:color w:val="16212B"/>
                <w:sz w:val="18"/>
              </w:rPr>
              <w:t>Confidence/status</w:t>
            </w:r>
          </w:p>
        </w:tc>
        <w:tc>
          <w:tcPr>
            <w:tcW w:type="dxa" w:w="7488"/>
            <w:tcMar>
              <w:top w:w="100" w:type="dxa"/>
              <w:start w:w="120" w:type="dxa"/>
              <w:bottom w:w="100" w:type="dxa"/>
              <w:end w:w="120" w:type="dxa"/>
            </w:tcMar>
            <w:vAlign w:val="center"/>
          </w:tcPr>
          <w:p>
            <w:pPr>
              <w:spacing w:after="0" w:line="240" w:lineRule="auto"/>
            </w:pPr>
            <w:r>
              <w:rPr>
                <w:color w:val="16212B"/>
                <w:sz w:val="18"/>
              </w:rPr>
              <w:t>Use controlled values plus rationale field where required.</w:t>
            </w:r>
          </w:p>
        </w:tc>
      </w:tr>
      <w:tr>
        <w:tc>
          <w:tcPr>
            <w:tcW w:type="dxa" w:w="2304"/>
            <w:tcMar>
              <w:top w:w="100" w:type="dxa"/>
              <w:start w:w="120" w:type="dxa"/>
              <w:bottom w:w="100" w:type="dxa"/>
              <w:end w:w="120" w:type="dxa"/>
            </w:tcMar>
            <w:vAlign w:val="center"/>
          </w:tcPr>
          <w:p>
            <w:pPr>
              <w:spacing w:after="0" w:line="240" w:lineRule="auto"/>
            </w:pPr>
            <w:r>
              <w:rPr>
                <w:color w:val="16212B"/>
                <w:sz w:val="18"/>
              </w:rPr>
              <w:t>Entity references</w:t>
            </w:r>
          </w:p>
        </w:tc>
        <w:tc>
          <w:tcPr>
            <w:tcW w:type="dxa" w:w="7488"/>
            <w:tcMar>
              <w:top w:w="100" w:type="dxa"/>
              <w:start w:w="120" w:type="dxa"/>
              <w:bottom w:w="100" w:type="dxa"/>
              <w:end w:w="120" w:type="dxa"/>
            </w:tcMar>
            <w:vAlign w:val="center"/>
          </w:tcPr>
          <w:p>
            <w:pPr>
              <w:spacing w:after="0" w:line="240" w:lineRule="auto"/>
            </w:pPr>
            <w:r>
              <w:rPr>
                <w:color w:val="16212B"/>
                <w:sz w:val="18"/>
              </w:rPr>
              <w:t>Show object type + canonical name + stable ID/context disambiguator.</w:t>
            </w:r>
          </w:p>
        </w:tc>
      </w:tr>
      <w:tr>
        <w:tc>
          <w:tcPr>
            <w:tcW w:type="dxa" w:w="2304"/>
            <w:tcMar>
              <w:top w:w="100" w:type="dxa"/>
              <w:start w:w="120" w:type="dxa"/>
              <w:bottom w:w="100" w:type="dxa"/>
              <w:end w:w="120" w:type="dxa"/>
            </w:tcMar>
            <w:vAlign w:val="center"/>
          </w:tcPr>
          <w:p>
            <w:pPr>
              <w:spacing w:after="0" w:line="240" w:lineRule="auto"/>
            </w:pPr>
            <w:r>
              <w:rPr>
                <w:color w:val="16212B"/>
                <w:sz w:val="18"/>
              </w:rPr>
              <w:t>Evidence links</w:t>
            </w:r>
          </w:p>
        </w:tc>
        <w:tc>
          <w:tcPr>
            <w:tcW w:type="dxa" w:w="7488"/>
            <w:tcMar>
              <w:top w:w="100" w:type="dxa"/>
              <w:start w:w="120" w:type="dxa"/>
              <w:bottom w:w="100" w:type="dxa"/>
              <w:end w:w="120" w:type="dxa"/>
            </w:tcMar>
            <w:vAlign w:val="center"/>
          </w:tcPr>
          <w:p>
            <w:pPr>
              <w:spacing w:after="0" w:line="240" w:lineRule="auto"/>
            </w:pPr>
            <w:r>
              <w:rPr>
                <w:color w:val="16212B"/>
                <w:sz w:val="18"/>
              </w:rPr>
              <w:t>Use searchable/picker components with provenance preview.</w:t>
            </w:r>
          </w:p>
        </w:tc>
      </w:tr>
      <w:tr>
        <w:tc>
          <w:tcPr>
            <w:tcW w:type="dxa" w:w="2304"/>
            <w:tcMar>
              <w:top w:w="100" w:type="dxa"/>
              <w:start w:w="120" w:type="dxa"/>
              <w:bottom w:w="100" w:type="dxa"/>
              <w:end w:w="120" w:type="dxa"/>
            </w:tcMar>
            <w:vAlign w:val="center"/>
          </w:tcPr>
          <w:p>
            <w:pPr>
              <w:spacing w:after="0" w:line="240" w:lineRule="auto"/>
            </w:pPr>
            <w:r>
              <w:rPr>
                <w:color w:val="16212B"/>
                <w:sz w:val="18"/>
              </w:rPr>
              <w:t>Long analysis</w:t>
            </w:r>
          </w:p>
        </w:tc>
        <w:tc>
          <w:tcPr>
            <w:tcW w:type="dxa" w:w="7488"/>
            <w:tcMar>
              <w:top w:w="100" w:type="dxa"/>
              <w:start w:w="120" w:type="dxa"/>
              <w:bottom w:w="100" w:type="dxa"/>
              <w:end w:w="120" w:type="dxa"/>
            </w:tcMar>
            <w:vAlign w:val="center"/>
          </w:tcPr>
          <w:p>
            <w:pPr>
              <w:spacing w:after="0" w:line="240" w:lineRule="auto"/>
            </w:pPr>
            <w:r>
              <w:rPr>
                <w:color w:val="16212B"/>
                <w:sz w:val="18"/>
              </w:rPr>
              <w:t>Use autosave/version-aware editor with visible save/conflict state.</w:t>
            </w:r>
          </w:p>
        </w:tc>
      </w:tr>
    </w:tbl>
    <w:p>
      <w:pPr>
        <w:spacing w:after="0"/>
      </w:pPr>
    </w:p>
    <w:p>
      <w:pPr>
        <w:pStyle w:val="Heading1"/>
      </w:pPr>
      <w:r>
        <w:t>17. Data Tables and Registers</w:t>
      </w:r>
    </w:p>
    <w:p>
      <w:pPr>
        <w:spacing w:after="100" w:line="269" w:lineRule="auto"/>
      </w:pPr>
      <w:r>
        <w:rPr>
          <w:sz w:val="21"/>
        </w:rPr>
        <w:t>Tables are a primary professional workspace and SHALL support dense information without losing state semantics or accessibility.</w:t>
      </w:r>
    </w:p>
    <w:p>
      <w:pPr>
        <w:pStyle w:val="ListBullet"/>
        <w:spacing w:after="40" w:line="259" w:lineRule="auto"/>
      </w:pPr>
      <w:r>
        <w:rPr>
          <w:sz w:val="20"/>
        </w:rPr>
        <w:t>Header row is visually distinct and programmatically identified.</w:t>
      </w:r>
    </w:p>
    <w:p>
      <w:pPr>
        <w:pStyle w:val="ListBullet"/>
        <w:spacing w:after="40" w:line="259" w:lineRule="auto"/>
      </w:pPr>
      <w:r>
        <w:rPr>
          <w:sz w:val="20"/>
        </w:rPr>
        <w:t>Column widths follow content importance; narrative columns receive more space than short statuses.</w:t>
      </w:r>
    </w:p>
    <w:p>
      <w:pPr>
        <w:pStyle w:val="ListBullet"/>
        <w:spacing w:after="40" w:line="259" w:lineRule="auto"/>
      </w:pPr>
      <w:r>
        <w:rPr>
          <w:sz w:val="20"/>
        </w:rPr>
        <w:t>Sorting state is explicit; default sort is documented per screen.</w:t>
      </w:r>
    </w:p>
    <w:p>
      <w:pPr>
        <w:pStyle w:val="ListBullet"/>
        <w:spacing w:after="40" w:line="259" w:lineRule="auto"/>
      </w:pPr>
      <w:r>
        <w:rPr>
          <w:sz w:val="20"/>
        </w:rPr>
        <w:t>Filters appear as removable chips/tokens and reflect current query scope.</w:t>
      </w:r>
    </w:p>
    <w:p>
      <w:pPr>
        <w:pStyle w:val="ListBullet"/>
        <w:spacing w:after="40" w:line="259" w:lineRule="auto"/>
      </w:pPr>
      <w:r>
        <w:rPr>
          <w:sz w:val="20"/>
        </w:rPr>
        <w:t>Row selection is visually distinct from analytical status.</w:t>
      </w:r>
    </w:p>
    <w:p>
      <w:pPr>
        <w:pStyle w:val="ListBullet"/>
        <w:spacing w:after="40" w:line="259" w:lineRule="auto"/>
      </w:pPr>
      <w:r>
        <w:rPr>
          <w:sz w:val="20"/>
        </w:rPr>
        <w:t>Bulk actions SHALL be permission-aware and avoid accidental mass changes.</w:t>
      </w:r>
    </w:p>
    <w:p>
      <w:pPr>
        <w:pStyle w:val="ListBullet"/>
        <w:spacing w:after="40" w:line="259" w:lineRule="auto"/>
      </w:pPr>
      <w:r>
        <w:rPr>
          <w:sz w:val="20"/>
        </w:rPr>
        <w:t>Long identifiers MAY truncate visually only if copy/full-value access remains available.</w:t>
      </w:r>
    </w:p>
    <w:p>
      <w:pPr>
        <w:pStyle w:val="ListBullet"/>
        <w:spacing w:after="40" w:line="259" w:lineRule="auto"/>
      </w:pPr>
      <w:r>
        <w:rPr>
          <w:sz w:val="20"/>
        </w:rPr>
        <w:t>Critical status or classification SHALL not disappear when horizontal scrolling is required.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8"/>
              </w:rPr>
              <w:t>ID</w:t>
            </w:r>
          </w:p>
        </w:tc>
        <w:tc>
          <w:tcPr>
            <w:tcW w:type="dxa" w:w="8208"/>
            <w:shd w:fill="17324D"/>
            <w:tcMar>
              <w:top w:w="100" w:type="dxa"/>
              <w:start w:w="120" w:type="dxa"/>
              <w:bottom w:w="100" w:type="dxa"/>
              <w:end w:w="120" w:type="dxa"/>
            </w:tcMar>
            <w:vAlign w:val="center"/>
          </w:tcPr>
          <w:p>
            <w:pPr>
              <w:jc w:val="center"/>
            </w:pPr>
            <w:r>
              <w:rPr>
                <w:b/>
                <w:color w:val="FFFFFF"/>
                <w:sz w:val="18"/>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8"/>
              </w:rPr>
              <w:t>DS-009</w:t>
            </w:r>
          </w:p>
        </w:tc>
        <w:tc>
          <w:tcPr>
            <w:tcW w:type="dxa" w:w="8208"/>
            <w:tcMar>
              <w:top w:w="100" w:type="dxa"/>
              <w:start w:w="120" w:type="dxa"/>
              <w:bottom w:w="100" w:type="dxa"/>
              <w:end w:w="120" w:type="dxa"/>
            </w:tcMar>
            <w:vAlign w:val="center"/>
          </w:tcPr>
          <w:p>
            <w:pPr>
              <w:spacing w:after="0" w:line="240" w:lineRule="auto"/>
            </w:pPr>
            <w:r>
              <w:rPr>
                <w:color w:val="16212B"/>
                <w:sz w:val="18"/>
              </w:rPr>
              <w:t>Data-grid selection styling SHALL NOT reuse adverse analytical status colors.</w:t>
            </w:r>
          </w:p>
        </w:tc>
      </w:tr>
      <w:tr>
        <w:tc>
          <w:tcPr>
            <w:tcW w:type="dxa" w:w="1440"/>
            <w:tcMar>
              <w:top w:w="100" w:type="dxa"/>
              <w:start w:w="120" w:type="dxa"/>
              <w:bottom w:w="100" w:type="dxa"/>
              <w:end w:w="120" w:type="dxa"/>
            </w:tcMar>
            <w:vAlign w:val="center"/>
          </w:tcPr>
          <w:p>
            <w:pPr>
              <w:spacing w:after="0" w:line="240" w:lineRule="auto"/>
            </w:pPr>
            <w:r>
              <w:rPr>
                <w:color w:val="16212B"/>
                <w:sz w:val="18"/>
              </w:rPr>
              <w:t>DS-010</w:t>
            </w:r>
          </w:p>
        </w:tc>
        <w:tc>
          <w:tcPr>
            <w:tcW w:type="dxa" w:w="8208"/>
            <w:tcMar>
              <w:top w:w="100" w:type="dxa"/>
              <w:start w:w="120" w:type="dxa"/>
              <w:bottom w:w="100" w:type="dxa"/>
              <w:end w:w="120" w:type="dxa"/>
            </w:tcMar>
            <w:vAlign w:val="center"/>
          </w:tcPr>
          <w:p>
            <w:pPr>
              <w:spacing w:after="0" w:line="240" w:lineRule="auto"/>
            </w:pPr>
            <w:r>
              <w:rPr>
                <w:color w:val="16212B"/>
                <w:sz w:val="18"/>
              </w:rPr>
              <w:t>Tables SHALL expose empty, loading, filtered-empty, error, and partial-data states.</w:t>
            </w:r>
          </w:p>
        </w:tc>
      </w:tr>
      <w:tr>
        <w:tc>
          <w:tcPr>
            <w:tcW w:type="dxa" w:w="1440"/>
            <w:tcMar>
              <w:top w:w="100" w:type="dxa"/>
              <w:start w:w="120" w:type="dxa"/>
              <w:bottom w:w="100" w:type="dxa"/>
              <w:end w:w="120" w:type="dxa"/>
            </w:tcMar>
            <w:vAlign w:val="center"/>
          </w:tcPr>
          <w:p>
            <w:pPr>
              <w:spacing w:after="0" w:line="240" w:lineRule="auto"/>
            </w:pPr>
            <w:r>
              <w:rPr>
                <w:color w:val="16212B"/>
                <w:sz w:val="18"/>
              </w:rPr>
              <w:t>DS-011</w:t>
            </w:r>
          </w:p>
        </w:tc>
        <w:tc>
          <w:tcPr>
            <w:tcW w:type="dxa" w:w="8208"/>
            <w:tcMar>
              <w:top w:w="100" w:type="dxa"/>
              <w:start w:w="120" w:type="dxa"/>
              <w:bottom w:w="100" w:type="dxa"/>
              <w:end w:w="120" w:type="dxa"/>
            </w:tcMar>
            <w:vAlign w:val="center"/>
          </w:tcPr>
          <w:p>
            <w:pPr>
              <w:spacing w:after="0" w:line="240" w:lineRule="auto"/>
            </w:pPr>
            <w:r>
              <w:rPr>
                <w:color w:val="16212B"/>
                <w:sz w:val="18"/>
              </w:rPr>
              <w:t>Restricted rows SHALL be omitted or represented only according to permission policy; UI SHALL NOT leak existence through pagination/counts when policy prohibits it.</w:t>
            </w:r>
          </w:p>
        </w:tc>
      </w:tr>
    </w:tbl>
    <w:p>
      <w:pPr>
        <w:spacing w:after="0"/>
      </w:pPr>
    </w:p>
    <w:p>
      <w:pPr>
        <w:pStyle w:val="Heading1"/>
      </w:pPr>
      <w:r>
        <w:t>18. Badges, Labels, Alerts, and Banners</w:t>
      </w:r>
    </w:p>
    <w:p>
      <w:pPr>
        <w:pStyle w:val="Heading2"/>
      </w:pPr>
      <w:r>
        <w:t>18.1 Badge classes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5"/>
            <w:shd w:fill="17324D"/>
            <w:tcMar>
              <w:top w:w="100" w:type="dxa"/>
              <w:start w:w="120" w:type="dxa"/>
              <w:bottom w:w="100" w:type="dxa"/>
              <w:end w:w="120" w:type="dxa"/>
            </w:tcMar>
            <w:vAlign w:val="center"/>
          </w:tcPr>
          <w:p>
            <w:pPr>
              <w:jc w:val="center"/>
            </w:pPr>
            <w:r>
              <w:rPr>
                <w:b/>
                <w:color w:val="FFFFFF"/>
                <w:sz w:val="18"/>
              </w:rPr>
              <w:t>Class</w:t>
            </w:r>
          </w:p>
        </w:tc>
        <w:tc>
          <w:tcPr>
            <w:tcW w:type="dxa" w:w="3600"/>
            <w:shd w:fill="17324D"/>
            <w:tcMar>
              <w:top w:w="100" w:type="dxa"/>
              <w:start w:w="120" w:type="dxa"/>
              <w:bottom w:w="100" w:type="dxa"/>
              <w:end w:w="120" w:type="dxa"/>
            </w:tcMar>
            <w:vAlign w:val="center"/>
          </w:tcPr>
          <w:p>
            <w:pPr>
              <w:jc w:val="center"/>
            </w:pPr>
            <w:r>
              <w:rPr>
                <w:b/>
                <w:color w:val="FFFFFF"/>
                <w:sz w:val="18"/>
              </w:rPr>
              <w:t>Examples</w:t>
            </w:r>
          </w:p>
        </w:tc>
        <w:tc>
          <w:tcPr>
            <w:tcW w:type="dxa" w:w="3888"/>
            <w:shd w:fill="17324D"/>
            <w:tcMar>
              <w:top w:w="100" w:type="dxa"/>
              <w:start w:w="120" w:type="dxa"/>
              <w:bottom w:w="100" w:type="dxa"/>
              <w:end w:w="120" w:type="dxa"/>
            </w:tcMar>
            <w:vAlign w:val="center"/>
          </w:tcPr>
          <w:p>
            <w:pPr>
              <w:jc w:val="center"/>
            </w:pPr>
            <w:r>
              <w:rPr>
                <w:b/>
                <w:color w:val="FFFFFF"/>
                <w:sz w:val="18"/>
              </w:rPr>
              <w:t>Visual intent</w:t>
            </w:r>
          </w:p>
        </w:tc>
      </w:tr>
      <w:tr>
        <w:tc>
          <w:tcPr>
            <w:tcW w:type="dxa" w:w="2015"/>
            <w:tcMar>
              <w:top w:w="100" w:type="dxa"/>
              <w:start w:w="120" w:type="dxa"/>
              <w:bottom w:w="100" w:type="dxa"/>
              <w:end w:w="120" w:type="dxa"/>
            </w:tcMar>
            <w:vAlign w:val="center"/>
          </w:tcPr>
          <w:p>
            <w:pPr>
              <w:spacing w:after="0" w:line="240" w:lineRule="auto"/>
            </w:pPr>
            <w:r>
              <w:rPr>
                <w:color w:val="16212B"/>
                <w:sz w:val="18"/>
              </w:rPr>
              <w:t>Lifecycle</w:t>
            </w:r>
          </w:p>
        </w:tc>
        <w:tc>
          <w:tcPr>
            <w:tcW w:type="dxa" w:w="3600"/>
            <w:tcMar>
              <w:top w:w="100" w:type="dxa"/>
              <w:start w:w="120" w:type="dxa"/>
              <w:bottom w:w="100" w:type="dxa"/>
              <w:end w:w="120" w:type="dxa"/>
            </w:tcMar>
            <w:vAlign w:val="center"/>
          </w:tcPr>
          <w:p>
            <w:pPr>
              <w:spacing w:after="0" w:line="240" w:lineRule="auto"/>
            </w:pPr>
            <w:r>
              <w:rPr>
                <w:color w:val="16212B"/>
                <w:sz w:val="18"/>
              </w:rPr>
              <w:t>Draft, Active, Closed, Superseded</w:t>
            </w:r>
          </w:p>
        </w:tc>
        <w:tc>
          <w:tcPr>
            <w:tcW w:type="dxa" w:w="3888"/>
            <w:tcMar>
              <w:top w:w="100" w:type="dxa"/>
              <w:start w:w="120" w:type="dxa"/>
              <w:bottom w:w="100" w:type="dxa"/>
              <w:end w:w="120" w:type="dxa"/>
            </w:tcMar>
            <w:vAlign w:val="center"/>
          </w:tcPr>
          <w:p>
            <w:pPr>
              <w:spacing w:after="0" w:line="240" w:lineRule="auto"/>
            </w:pPr>
            <w:r>
              <w:rPr>
                <w:color w:val="16212B"/>
                <w:sz w:val="18"/>
              </w:rPr>
              <w:t>Operational state</w:t>
            </w:r>
          </w:p>
        </w:tc>
      </w:tr>
      <w:tr>
        <w:tc>
          <w:tcPr>
            <w:tcW w:type="dxa" w:w="2015"/>
            <w:tcMar>
              <w:top w:w="100" w:type="dxa"/>
              <w:start w:w="120" w:type="dxa"/>
              <w:bottom w:w="100" w:type="dxa"/>
              <w:end w:w="120" w:type="dxa"/>
            </w:tcMar>
            <w:vAlign w:val="center"/>
          </w:tcPr>
          <w:p>
            <w:pPr>
              <w:spacing w:after="0" w:line="240" w:lineRule="auto"/>
            </w:pPr>
            <w:r>
              <w:rPr>
                <w:color w:val="16212B"/>
                <w:sz w:val="18"/>
              </w:rPr>
              <w:t>Analytical</w:t>
            </w:r>
          </w:p>
        </w:tc>
        <w:tc>
          <w:tcPr>
            <w:tcW w:type="dxa" w:w="3600"/>
            <w:tcMar>
              <w:top w:w="100" w:type="dxa"/>
              <w:start w:w="120" w:type="dxa"/>
              <w:bottom w:w="100" w:type="dxa"/>
              <w:end w:w="120" w:type="dxa"/>
            </w:tcMar>
            <w:vAlign w:val="center"/>
          </w:tcPr>
          <w:p>
            <w:pPr>
              <w:spacing w:after="0" w:line="240" w:lineRule="auto"/>
            </w:pPr>
            <w:r>
              <w:rPr>
                <w:color w:val="16212B"/>
                <w:sz w:val="18"/>
              </w:rPr>
              <w:t>Claim, Fact, Inference, Disputed, Unknown</w:t>
            </w:r>
          </w:p>
        </w:tc>
        <w:tc>
          <w:tcPr>
            <w:tcW w:type="dxa" w:w="3888"/>
            <w:tcMar>
              <w:top w:w="100" w:type="dxa"/>
              <w:start w:w="120" w:type="dxa"/>
              <w:bottom w:w="100" w:type="dxa"/>
              <w:end w:w="120" w:type="dxa"/>
            </w:tcMar>
            <w:vAlign w:val="center"/>
          </w:tcPr>
          <w:p>
            <w:pPr>
              <w:spacing w:after="0" w:line="240" w:lineRule="auto"/>
            </w:pPr>
            <w:r>
              <w:rPr>
                <w:color w:val="16212B"/>
                <w:sz w:val="18"/>
              </w:rPr>
              <w:t>Epistemic state</w:t>
            </w:r>
          </w:p>
        </w:tc>
      </w:tr>
      <w:tr>
        <w:tc>
          <w:tcPr>
            <w:tcW w:type="dxa" w:w="2015"/>
            <w:tcMar>
              <w:top w:w="100" w:type="dxa"/>
              <w:start w:w="120" w:type="dxa"/>
              <w:bottom w:w="100" w:type="dxa"/>
              <w:end w:w="120" w:type="dxa"/>
            </w:tcMar>
            <w:vAlign w:val="center"/>
          </w:tcPr>
          <w:p>
            <w:pPr>
              <w:spacing w:after="0" w:line="240" w:lineRule="auto"/>
            </w:pPr>
            <w:r>
              <w:rPr>
                <w:color w:val="16212B"/>
                <w:sz w:val="18"/>
              </w:rPr>
              <w:t>Confidence</w:t>
            </w:r>
          </w:p>
        </w:tc>
        <w:tc>
          <w:tcPr>
            <w:tcW w:type="dxa" w:w="3600"/>
            <w:tcMar>
              <w:top w:w="100" w:type="dxa"/>
              <w:start w:w="120" w:type="dxa"/>
              <w:bottom w:w="100" w:type="dxa"/>
              <w:end w:w="120" w:type="dxa"/>
            </w:tcMar>
            <w:vAlign w:val="center"/>
          </w:tcPr>
          <w:p>
            <w:pPr>
              <w:spacing w:after="0" w:line="240" w:lineRule="auto"/>
            </w:pPr>
            <w:r>
              <w:rPr>
                <w:color w:val="16212B"/>
                <w:sz w:val="18"/>
              </w:rPr>
              <w:t>High, Moderate, Low, Insufficient basis</w:t>
            </w:r>
          </w:p>
        </w:tc>
        <w:tc>
          <w:tcPr>
            <w:tcW w:type="dxa" w:w="3888"/>
            <w:tcMar>
              <w:top w:w="100" w:type="dxa"/>
              <w:start w:w="120" w:type="dxa"/>
              <w:bottom w:w="100" w:type="dxa"/>
              <w:end w:w="120" w:type="dxa"/>
            </w:tcMar>
            <w:vAlign w:val="center"/>
          </w:tcPr>
          <w:p>
            <w:pPr>
              <w:spacing w:after="0" w:line="240" w:lineRule="auto"/>
            </w:pPr>
            <w:r>
              <w:rPr>
                <w:color w:val="16212B"/>
                <w:sz w:val="18"/>
              </w:rPr>
              <w:t>Assessment confidence</w:t>
            </w:r>
          </w:p>
        </w:tc>
      </w:tr>
      <w:tr>
        <w:tc>
          <w:tcPr>
            <w:tcW w:type="dxa" w:w="2015"/>
            <w:tcMar>
              <w:top w:w="100" w:type="dxa"/>
              <w:start w:w="120" w:type="dxa"/>
              <w:bottom w:w="100" w:type="dxa"/>
              <w:end w:w="120" w:type="dxa"/>
            </w:tcMar>
            <w:vAlign w:val="center"/>
          </w:tcPr>
          <w:p>
            <w:pPr>
              <w:spacing w:after="0" w:line="240" w:lineRule="auto"/>
            </w:pPr>
            <w:r>
              <w:rPr>
                <w:color w:val="16212B"/>
                <w:sz w:val="18"/>
              </w:rPr>
              <w:t>Classification</w:t>
            </w:r>
          </w:p>
        </w:tc>
        <w:tc>
          <w:tcPr>
            <w:tcW w:type="dxa" w:w="3600"/>
            <w:tcMar>
              <w:top w:w="100" w:type="dxa"/>
              <w:start w:w="120" w:type="dxa"/>
              <w:bottom w:w="100" w:type="dxa"/>
              <w:end w:w="120" w:type="dxa"/>
            </w:tcMar>
            <w:vAlign w:val="center"/>
          </w:tcPr>
          <w:p>
            <w:pPr>
              <w:spacing w:after="0" w:line="240" w:lineRule="auto"/>
            </w:pPr>
            <w:r>
              <w:rPr>
                <w:color w:val="16212B"/>
                <w:sz w:val="18"/>
              </w:rPr>
              <w:t>Public, Internal, Sensitive, Restricted, Source-Protected</w:t>
            </w:r>
          </w:p>
        </w:tc>
        <w:tc>
          <w:tcPr>
            <w:tcW w:type="dxa" w:w="3888"/>
            <w:tcMar>
              <w:top w:w="100" w:type="dxa"/>
              <w:start w:w="120" w:type="dxa"/>
              <w:bottom w:w="100" w:type="dxa"/>
              <w:end w:w="120" w:type="dxa"/>
            </w:tcMar>
            <w:vAlign w:val="center"/>
          </w:tcPr>
          <w:p>
            <w:pPr>
              <w:spacing w:after="0" w:line="240" w:lineRule="auto"/>
            </w:pPr>
            <w:r>
              <w:rPr>
                <w:color w:val="16212B"/>
                <w:sz w:val="18"/>
              </w:rPr>
              <w:t>Handling requirement</w:t>
            </w:r>
          </w:p>
        </w:tc>
      </w:tr>
      <w:tr>
        <w:tc>
          <w:tcPr>
            <w:tcW w:type="dxa" w:w="2015"/>
            <w:tcMar>
              <w:top w:w="100" w:type="dxa"/>
              <w:start w:w="120" w:type="dxa"/>
              <w:bottom w:w="100" w:type="dxa"/>
              <w:end w:w="120" w:type="dxa"/>
            </w:tcMar>
            <w:vAlign w:val="center"/>
          </w:tcPr>
          <w:p>
            <w:pPr>
              <w:spacing w:after="0" w:line="240" w:lineRule="auto"/>
            </w:pPr>
            <w:r>
              <w:rPr>
                <w:color w:val="16212B"/>
                <w:sz w:val="18"/>
              </w:rPr>
              <w:t>Review</w:t>
            </w:r>
          </w:p>
        </w:tc>
        <w:tc>
          <w:tcPr>
            <w:tcW w:type="dxa" w:w="3600"/>
            <w:tcMar>
              <w:top w:w="100" w:type="dxa"/>
              <w:start w:w="120" w:type="dxa"/>
              <w:bottom w:w="100" w:type="dxa"/>
              <w:end w:w="120" w:type="dxa"/>
            </w:tcMar>
            <w:vAlign w:val="center"/>
          </w:tcPr>
          <w:p>
            <w:pPr>
              <w:spacing w:after="0" w:line="240" w:lineRule="auto"/>
            </w:pPr>
            <w:r>
              <w:rPr>
                <w:color w:val="16212B"/>
                <w:sz w:val="18"/>
              </w:rPr>
              <w:t>Needs review, Changes requested, Approved</w:t>
            </w:r>
          </w:p>
        </w:tc>
        <w:tc>
          <w:tcPr>
            <w:tcW w:type="dxa" w:w="3888"/>
            <w:tcMar>
              <w:top w:w="100" w:type="dxa"/>
              <w:start w:w="120" w:type="dxa"/>
              <w:bottom w:w="100" w:type="dxa"/>
              <w:end w:w="120" w:type="dxa"/>
            </w:tcMar>
            <w:vAlign w:val="center"/>
          </w:tcPr>
          <w:p>
            <w:pPr>
              <w:spacing w:after="0" w:line="240" w:lineRule="auto"/>
            </w:pPr>
            <w:r>
              <w:rPr>
                <w:color w:val="16212B"/>
                <w:sz w:val="18"/>
              </w:rPr>
              <w:t>Workflow state</w:t>
            </w:r>
          </w:p>
        </w:tc>
      </w:tr>
      <w:tr>
        <w:tc>
          <w:tcPr>
            <w:tcW w:type="dxa" w:w="2015"/>
            <w:tcMar>
              <w:top w:w="100" w:type="dxa"/>
              <w:start w:w="120" w:type="dxa"/>
              <w:bottom w:w="100" w:type="dxa"/>
              <w:end w:w="120" w:type="dxa"/>
            </w:tcMar>
            <w:vAlign w:val="center"/>
          </w:tcPr>
          <w:p>
            <w:pPr>
              <w:spacing w:after="0" w:line="240" w:lineRule="auto"/>
            </w:pPr>
            <w:r>
              <w:rPr>
                <w:color w:val="16212B"/>
                <w:sz w:val="18"/>
              </w:rPr>
              <w:t>Flow</w:t>
            </w:r>
          </w:p>
        </w:tc>
        <w:tc>
          <w:tcPr>
            <w:tcW w:type="dxa" w:w="3600"/>
            <w:tcMar>
              <w:top w:w="100" w:type="dxa"/>
              <w:start w:w="120" w:type="dxa"/>
              <w:bottom w:w="100" w:type="dxa"/>
              <w:end w:w="120" w:type="dxa"/>
            </w:tcMar>
            <w:vAlign w:val="center"/>
          </w:tcPr>
          <w:p>
            <w:pPr>
              <w:spacing w:after="0" w:line="240" w:lineRule="auto"/>
            </w:pPr>
            <w:r>
              <w:rPr>
                <w:color w:val="16212B"/>
                <w:sz w:val="18"/>
              </w:rPr>
              <w:t>Direct, Documented, Reconstructed, Hypothetical</w:t>
            </w:r>
          </w:p>
        </w:tc>
        <w:tc>
          <w:tcPr>
            <w:tcW w:type="dxa" w:w="3888"/>
            <w:tcMar>
              <w:top w:w="100" w:type="dxa"/>
              <w:start w:w="120" w:type="dxa"/>
              <w:bottom w:w="100" w:type="dxa"/>
              <w:end w:w="120" w:type="dxa"/>
            </w:tcMar>
            <w:vAlign w:val="center"/>
          </w:tcPr>
          <w:p>
            <w:pPr>
              <w:spacing w:after="0" w:line="240" w:lineRule="auto"/>
            </w:pPr>
            <w:r>
              <w:rPr>
                <w:color w:val="16212B"/>
                <w:sz w:val="18"/>
              </w:rPr>
              <w:t>Value-flow epistemics</w:t>
            </w:r>
          </w:p>
        </w:tc>
      </w:tr>
    </w:tbl>
    <w:p>
      <w:pPr>
        <w:spacing w:after="0"/>
      </w:pPr>
    </w:p>
    <w:p>
      <w:pPr>
        <w:pStyle w:val="Heading2"/>
      </w:pPr>
      <w:r>
        <w:t>18.2 Banner hierarchy</w:t>
      </w:r>
    </w:p>
    <w:p>
      <w:pPr>
        <w:pStyle w:val="ListBullet"/>
        <w:spacing w:after="40" w:line="259" w:lineRule="auto"/>
      </w:pPr>
      <w:r>
        <w:rPr>
          <w:sz w:val="20"/>
        </w:rPr>
        <w:t>Persistent banners are appropriate for classification, supersession, integrity failure, read-only state, and significant access restrictions.</w:t>
      </w:r>
    </w:p>
    <w:p>
      <w:pPr>
        <w:pStyle w:val="ListBullet"/>
        <w:spacing w:after="40" w:line="259" w:lineRule="auto"/>
      </w:pPr>
      <w:r>
        <w:rPr>
          <w:sz w:val="20"/>
        </w:rPr>
        <w:t>Warnings SHALL describe the condition and available action; avoid generic “Danger” wording.</w:t>
      </w:r>
    </w:p>
    <w:p>
      <w:pPr>
        <w:pStyle w:val="ListBullet"/>
        <w:spacing w:after="40" w:line="259" w:lineRule="auto"/>
      </w:pPr>
      <w:r>
        <w:rPr>
          <w:sz w:val="20"/>
        </w:rPr>
        <w:t>Integrity warnings outrank convenience notices and SHOULD remain until resolved or acknowledged per policy.</w:t>
      </w:r>
    </w:p>
    <w:p>
      <w:pPr>
        <w:pStyle w:val="ListBullet"/>
        <w:spacing w:after="40" w:line="259" w:lineRule="auto"/>
      </w:pPr>
      <w:r>
        <w:rPr>
          <w:sz w:val="20"/>
        </w:rPr>
        <w:t>Source-protection banners SHALL avoid unnecessarily naming the protected source.</w:t>
      </w:r>
    </w:p>
    <w:p>
      <w:pPr>
        <w:pStyle w:val="Heading1"/>
      </w:pPr>
      <w:r>
        <w:t>19. Drawers, Inspectors, Modals, and Dialogs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7324D"/>
            <w:tcMar>
              <w:top w:w="100" w:type="dxa"/>
              <w:start w:w="120" w:type="dxa"/>
              <w:bottom w:w="100" w:type="dxa"/>
              <w:end w:w="120" w:type="dxa"/>
            </w:tcMar>
            <w:vAlign w:val="center"/>
          </w:tcPr>
          <w:p>
            <w:pPr>
              <w:jc w:val="center"/>
            </w:pPr>
            <w:r>
              <w:rPr>
                <w:b/>
                <w:color w:val="FFFFFF"/>
                <w:sz w:val="18"/>
              </w:rPr>
              <w:t>Pattern</w:t>
            </w:r>
          </w:p>
        </w:tc>
        <w:tc>
          <w:tcPr>
            <w:tcW w:type="dxa" w:w="3888"/>
            <w:shd w:fill="17324D"/>
            <w:tcMar>
              <w:top w:w="100" w:type="dxa"/>
              <w:start w:w="120" w:type="dxa"/>
              <w:bottom w:w="100" w:type="dxa"/>
              <w:end w:w="120" w:type="dxa"/>
            </w:tcMar>
            <w:vAlign w:val="center"/>
          </w:tcPr>
          <w:p>
            <w:pPr>
              <w:jc w:val="center"/>
            </w:pPr>
            <w:r>
              <w:rPr>
                <w:b/>
                <w:color w:val="FFFFFF"/>
                <w:sz w:val="18"/>
              </w:rPr>
              <w:t>Preferred use</w:t>
            </w:r>
          </w:p>
        </w:tc>
        <w:tc>
          <w:tcPr>
            <w:tcW w:type="dxa" w:w="3456"/>
            <w:shd w:fill="17324D"/>
            <w:tcMar>
              <w:top w:w="100" w:type="dxa"/>
              <w:start w:w="120" w:type="dxa"/>
              <w:bottom w:w="100" w:type="dxa"/>
              <w:end w:w="120" w:type="dxa"/>
            </w:tcMar>
            <w:vAlign w:val="center"/>
          </w:tcPr>
          <w:p>
            <w:pPr>
              <w:jc w:val="center"/>
            </w:pPr>
            <w:r>
              <w:rPr>
                <w:b/>
                <w:color w:val="FFFFFF"/>
                <w:sz w:val="18"/>
              </w:rPr>
              <w:t>Avoid</w:t>
            </w:r>
          </w:p>
        </w:tc>
      </w:tr>
      <w:tr>
        <w:tc>
          <w:tcPr>
            <w:tcW w:type="dxa" w:w="2160"/>
            <w:tcMar>
              <w:top w:w="100" w:type="dxa"/>
              <w:start w:w="120" w:type="dxa"/>
              <w:bottom w:w="100" w:type="dxa"/>
              <w:end w:w="120" w:type="dxa"/>
            </w:tcMar>
            <w:vAlign w:val="center"/>
          </w:tcPr>
          <w:p>
            <w:pPr>
              <w:spacing w:after="0" w:line="240" w:lineRule="auto"/>
            </w:pPr>
            <w:r>
              <w:rPr>
                <w:color w:val="16212B"/>
                <w:sz w:val="18"/>
              </w:rPr>
              <w:t>Side inspector</w:t>
            </w:r>
          </w:p>
        </w:tc>
        <w:tc>
          <w:tcPr>
            <w:tcW w:type="dxa" w:w="3888"/>
            <w:tcMar>
              <w:top w:w="100" w:type="dxa"/>
              <w:start w:w="120" w:type="dxa"/>
              <w:bottom w:w="100" w:type="dxa"/>
              <w:end w:w="120" w:type="dxa"/>
            </w:tcMar>
            <w:vAlign w:val="center"/>
          </w:tcPr>
          <w:p>
            <w:pPr>
              <w:spacing w:after="0" w:line="240" w:lineRule="auto"/>
            </w:pPr>
            <w:r>
              <w:rPr>
                <w:color w:val="16212B"/>
                <w:sz w:val="18"/>
              </w:rPr>
              <w:t>Provenance, evidence, node/edge details while preserving analytical context</w:t>
            </w:r>
          </w:p>
        </w:tc>
        <w:tc>
          <w:tcPr>
            <w:tcW w:type="dxa" w:w="3456"/>
            <w:tcMar>
              <w:top w:w="100" w:type="dxa"/>
              <w:start w:w="120" w:type="dxa"/>
              <w:bottom w:w="100" w:type="dxa"/>
              <w:end w:w="120" w:type="dxa"/>
            </w:tcMar>
            <w:vAlign w:val="center"/>
          </w:tcPr>
          <w:p>
            <w:pPr>
              <w:spacing w:after="0" w:line="240" w:lineRule="auto"/>
            </w:pPr>
            <w:r>
              <w:rPr>
                <w:color w:val="16212B"/>
                <w:sz w:val="18"/>
              </w:rPr>
              <w:t>Deep multi-step editing</w:t>
            </w:r>
          </w:p>
        </w:tc>
      </w:tr>
      <w:tr>
        <w:tc>
          <w:tcPr>
            <w:tcW w:type="dxa" w:w="2160"/>
            <w:tcMar>
              <w:top w:w="100" w:type="dxa"/>
              <w:start w:w="120" w:type="dxa"/>
              <w:bottom w:w="100" w:type="dxa"/>
              <w:end w:w="120" w:type="dxa"/>
            </w:tcMar>
            <w:vAlign w:val="center"/>
          </w:tcPr>
          <w:p>
            <w:pPr>
              <w:spacing w:after="0" w:line="240" w:lineRule="auto"/>
            </w:pPr>
            <w:r>
              <w:rPr>
                <w:color w:val="16212B"/>
                <w:sz w:val="18"/>
              </w:rPr>
              <w:t>Drawer</w:t>
            </w:r>
          </w:p>
        </w:tc>
        <w:tc>
          <w:tcPr>
            <w:tcW w:type="dxa" w:w="3888"/>
            <w:tcMar>
              <w:top w:w="100" w:type="dxa"/>
              <w:start w:w="120" w:type="dxa"/>
              <w:bottom w:w="100" w:type="dxa"/>
              <w:end w:w="120" w:type="dxa"/>
            </w:tcMar>
            <w:vAlign w:val="center"/>
          </w:tcPr>
          <w:p>
            <w:pPr>
              <w:spacing w:after="0" w:line="240" w:lineRule="auto"/>
            </w:pPr>
            <w:r>
              <w:rPr>
                <w:color w:val="16212B"/>
                <w:sz w:val="18"/>
              </w:rPr>
              <w:t>Secondary workflow with context retained</w:t>
            </w:r>
          </w:p>
        </w:tc>
        <w:tc>
          <w:tcPr>
            <w:tcW w:type="dxa" w:w="3456"/>
            <w:tcMar>
              <w:top w:w="100" w:type="dxa"/>
              <w:start w:w="120" w:type="dxa"/>
              <w:bottom w:w="100" w:type="dxa"/>
              <w:end w:w="120" w:type="dxa"/>
            </w:tcMar>
            <w:vAlign w:val="center"/>
          </w:tcPr>
          <w:p>
            <w:pPr>
              <w:spacing w:after="0" w:line="240" w:lineRule="auto"/>
            </w:pPr>
            <w:r>
              <w:rPr>
                <w:color w:val="16212B"/>
                <w:sz w:val="18"/>
              </w:rPr>
              <w:t>Critical approval if user cannot review full context</w:t>
            </w:r>
          </w:p>
        </w:tc>
      </w:tr>
      <w:tr>
        <w:tc>
          <w:tcPr>
            <w:tcW w:type="dxa" w:w="2160"/>
            <w:tcMar>
              <w:top w:w="100" w:type="dxa"/>
              <w:start w:w="120" w:type="dxa"/>
              <w:bottom w:w="100" w:type="dxa"/>
              <w:end w:w="120" w:type="dxa"/>
            </w:tcMar>
            <w:vAlign w:val="center"/>
          </w:tcPr>
          <w:p>
            <w:pPr>
              <w:spacing w:after="0" w:line="240" w:lineRule="auto"/>
            </w:pPr>
            <w:r>
              <w:rPr>
                <w:color w:val="16212B"/>
                <w:sz w:val="18"/>
              </w:rPr>
              <w:t>Modal</w:t>
            </w:r>
          </w:p>
        </w:tc>
        <w:tc>
          <w:tcPr>
            <w:tcW w:type="dxa" w:w="3888"/>
            <w:tcMar>
              <w:top w:w="100" w:type="dxa"/>
              <w:start w:w="120" w:type="dxa"/>
              <w:bottom w:w="100" w:type="dxa"/>
              <w:end w:w="120" w:type="dxa"/>
            </w:tcMar>
            <w:vAlign w:val="center"/>
          </w:tcPr>
          <w:p>
            <w:pPr>
              <w:spacing w:after="0" w:line="240" w:lineRule="auto"/>
            </w:pPr>
            <w:r>
              <w:rPr>
                <w:color w:val="16212B"/>
                <w:sz w:val="18"/>
              </w:rPr>
              <w:t>Short bounded decision/input</w:t>
            </w:r>
          </w:p>
        </w:tc>
        <w:tc>
          <w:tcPr>
            <w:tcW w:type="dxa" w:w="3456"/>
            <w:tcMar>
              <w:top w:w="100" w:type="dxa"/>
              <w:start w:w="120" w:type="dxa"/>
              <w:bottom w:w="100" w:type="dxa"/>
              <w:end w:w="120" w:type="dxa"/>
            </w:tcMar>
            <w:vAlign w:val="center"/>
          </w:tcPr>
          <w:p>
            <w:pPr>
              <w:spacing w:after="0" w:line="240" w:lineRule="auto"/>
            </w:pPr>
            <w:r>
              <w:rPr>
                <w:color w:val="16212B"/>
                <w:sz w:val="18"/>
              </w:rPr>
              <w:t>Long reports or complex evidence analysis</w:t>
            </w:r>
          </w:p>
        </w:tc>
      </w:tr>
      <w:tr>
        <w:tc>
          <w:tcPr>
            <w:tcW w:type="dxa" w:w="2160"/>
            <w:tcMar>
              <w:top w:w="100" w:type="dxa"/>
              <w:start w:w="120" w:type="dxa"/>
              <w:bottom w:w="100" w:type="dxa"/>
              <w:end w:w="120" w:type="dxa"/>
            </w:tcMar>
            <w:vAlign w:val="center"/>
          </w:tcPr>
          <w:p>
            <w:pPr>
              <w:spacing w:after="0" w:line="240" w:lineRule="auto"/>
            </w:pPr>
            <w:r>
              <w:rPr>
                <w:color w:val="16212B"/>
                <w:sz w:val="18"/>
              </w:rPr>
              <w:t>Confirmation dialog</w:t>
            </w:r>
          </w:p>
        </w:tc>
        <w:tc>
          <w:tcPr>
            <w:tcW w:type="dxa" w:w="3888"/>
            <w:tcMar>
              <w:top w:w="100" w:type="dxa"/>
              <w:start w:w="120" w:type="dxa"/>
              <w:bottom w:w="100" w:type="dxa"/>
              <w:end w:w="120" w:type="dxa"/>
            </w:tcMar>
            <w:vAlign w:val="center"/>
          </w:tcPr>
          <w:p>
            <w:pPr>
              <w:spacing w:after="0" w:line="240" w:lineRule="auto"/>
            </w:pPr>
            <w:r>
              <w:rPr>
                <w:color w:val="16212B"/>
                <w:sz w:val="18"/>
              </w:rPr>
              <w:t>Destructive or externally consequential action</w:t>
            </w:r>
          </w:p>
        </w:tc>
        <w:tc>
          <w:tcPr>
            <w:tcW w:type="dxa" w:w="3456"/>
            <w:tcMar>
              <w:top w:w="100" w:type="dxa"/>
              <w:start w:w="120" w:type="dxa"/>
              <w:bottom w:w="100" w:type="dxa"/>
              <w:end w:w="120" w:type="dxa"/>
            </w:tcMar>
            <w:vAlign w:val="center"/>
          </w:tcPr>
          <w:p>
            <w:pPr>
              <w:spacing w:after="0" w:line="240" w:lineRule="auto"/>
            </w:pPr>
            <w:r>
              <w:rPr>
                <w:color w:val="16212B"/>
                <w:sz w:val="18"/>
              </w:rPr>
              <w:t>Routine saves</w:t>
            </w:r>
          </w:p>
        </w:tc>
      </w:tr>
      <w:tr>
        <w:tc>
          <w:tcPr>
            <w:tcW w:type="dxa" w:w="2160"/>
            <w:tcMar>
              <w:top w:w="100" w:type="dxa"/>
              <w:start w:w="120" w:type="dxa"/>
              <w:bottom w:w="100" w:type="dxa"/>
              <w:end w:w="120" w:type="dxa"/>
            </w:tcMar>
            <w:vAlign w:val="center"/>
          </w:tcPr>
          <w:p>
            <w:pPr>
              <w:spacing w:after="0" w:line="240" w:lineRule="auto"/>
            </w:pPr>
            <w:r>
              <w:rPr>
                <w:color w:val="16212B"/>
                <w:sz w:val="18"/>
              </w:rPr>
              <w:t>Full-screen workspace</w:t>
            </w:r>
          </w:p>
        </w:tc>
        <w:tc>
          <w:tcPr>
            <w:tcW w:type="dxa" w:w="3888"/>
            <w:tcMar>
              <w:top w:w="100" w:type="dxa"/>
              <w:start w:w="120" w:type="dxa"/>
              <w:bottom w:w="100" w:type="dxa"/>
              <w:end w:w="120" w:type="dxa"/>
            </w:tcMar>
            <w:vAlign w:val="center"/>
          </w:tcPr>
          <w:p>
            <w:pPr>
              <w:spacing w:after="0" w:line="240" w:lineRule="auto"/>
            </w:pPr>
            <w:r>
              <w:rPr>
                <w:color w:val="16212B"/>
                <w:sz w:val="18"/>
              </w:rPr>
              <w:t>Graph, value flow, review when spatial context is primary</w:t>
            </w:r>
          </w:p>
        </w:tc>
        <w:tc>
          <w:tcPr>
            <w:tcW w:type="dxa" w:w="3456"/>
            <w:tcMar>
              <w:top w:w="100" w:type="dxa"/>
              <w:start w:w="120" w:type="dxa"/>
              <w:bottom w:w="100" w:type="dxa"/>
              <w:end w:w="120" w:type="dxa"/>
            </w:tcMar>
            <w:vAlign w:val="center"/>
          </w:tcPr>
          <w:p>
            <w:pPr>
              <w:spacing w:after="0" w:line="240" w:lineRule="auto"/>
            </w:pPr>
            <w:r>
              <w:rPr>
                <w:color w:val="16212B"/>
                <w:sz w:val="18"/>
              </w:rPr>
              <w:t>Simple record editing</w:t>
            </w:r>
          </w:p>
        </w:tc>
      </w:tr>
    </w:tbl>
    <w:p>
      <w:pPr>
        <w:spacing w:after="0"/>
      </w:pPr>
    </w:p>
    <w:p>
      <w:pPr>
        <w:pStyle w:val="Heading1"/>
      </w:pPr>
      <w:r>
        <w:t>20. Evidence and Provenance Components</w:t>
      </w:r>
    </w:p>
    <w:p>
      <w:pPr>
        <w:spacing w:after="100" w:line="269" w:lineRule="auto"/>
      </w:pPr>
      <w:r>
        <w:rPr>
          <w:sz w:val="21"/>
        </w:rPr>
        <w:t>Evidence/provenance components are first-class design-system elements, not feature-specific decorations.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24D"/>
            <w:tcMar>
              <w:top w:w="100" w:type="dxa"/>
              <w:start w:w="120" w:type="dxa"/>
              <w:bottom w:w="100" w:type="dxa"/>
              <w:end w:w="120" w:type="dxa"/>
            </w:tcMar>
            <w:vAlign w:val="center"/>
          </w:tcPr>
          <w:p>
            <w:pPr>
              <w:jc w:val="center"/>
            </w:pPr>
            <w:r>
              <w:rPr>
                <w:b/>
                <w:color w:val="FFFFFF"/>
                <w:sz w:val="18"/>
              </w:rPr>
              <w:t>Component</w:t>
            </w:r>
          </w:p>
        </w:tc>
        <w:tc>
          <w:tcPr>
            <w:tcW w:type="dxa" w:w="6912"/>
            <w:shd w:fill="17324D"/>
            <w:tcMar>
              <w:top w:w="100" w:type="dxa"/>
              <w:start w:w="120" w:type="dxa"/>
              <w:bottom w:w="100" w:type="dxa"/>
              <w:end w:w="120" w:type="dxa"/>
            </w:tcMar>
            <w:vAlign w:val="center"/>
          </w:tcPr>
          <w:p>
            <w:pPr>
              <w:jc w:val="center"/>
            </w:pPr>
            <w:r>
              <w:rPr>
                <w:b/>
                <w:color w:val="FFFFFF"/>
                <w:sz w:val="18"/>
              </w:rPr>
              <w:t>Mandatory visible elements</w:t>
            </w:r>
          </w:p>
        </w:tc>
      </w:tr>
      <w:tr>
        <w:tc>
          <w:tcPr>
            <w:tcW w:type="dxa" w:w="2880"/>
            <w:tcMar>
              <w:top w:w="100" w:type="dxa"/>
              <w:start w:w="120" w:type="dxa"/>
              <w:bottom w:w="100" w:type="dxa"/>
              <w:end w:w="120" w:type="dxa"/>
            </w:tcMar>
            <w:vAlign w:val="center"/>
          </w:tcPr>
          <w:p>
            <w:pPr>
              <w:spacing w:after="0" w:line="240" w:lineRule="auto"/>
            </w:pPr>
            <w:r>
              <w:rPr>
                <w:color w:val="16212B"/>
                <w:sz w:val="18"/>
              </w:rPr>
              <w:t>Evidence citation</w:t>
            </w:r>
          </w:p>
        </w:tc>
        <w:tc>
          <w:tcPr>
            <w:tcW w:type="dxa" w:w="6912"/>
            <w:tcMar>
              <w:top w:w="100" w:type="dxa"/>
              <w:start w:w="120" w:type="dxa"/>
              <w:bottom w:w="100" w:type="dxa"/>
              <w:end w:w="120" w:type="dxa"/>
            </w:tcMar>
            <w:vAlign w:val="center"/>
          </w:tcPr>
          <w:p>
            <w:pPr>
              <w:spacing w:after="0" w:line="240" w:lineRule="auto"/>
            </w:pPr>
            <w:r>
              <w:rPr>
                <w:color w:val="16212B"/>
                <w:sz w:val="18"/>
              </w:rPr>
              <w:t>Evidence ID or concise label; source; precise location/page/region; open action</w:t>
            </w:r>
          </w:p>
        </w:tc>
      </w:tr>
      <w:tr>
        <w:tc>
          <w:tcPr>
            <w:tcW w:type="dxa" w:w="2880"/>
            <w:tcMar>
              <w:top w:w="100" w:type="dxa"/>
              <w:start w:w="120" w:type="dxa"/>
              <w:bottom w:w="100" w:type="dxa"/>
              <w:end w:w="120" w:type="dxa"/>
            </w:tcMar>
            <w:vAlign w:val="center"/>
          </w:tcPr>
          <w:p>
            <w:pPr>
              <w:spacing w:after="0" w:line="240" w:lineRule="auto"/>
            </w:pPr>
            <w:r>
              <w:rPr>
                <w:color w:val="16212B"/>
                <w:sz w:val="18"/>
              </w:rPr>
              <w:t>Original/derivative marker</w:t>
            </w:r>
          </w:p>
        </w:tc>
        <w:tc>
          <w:tcPr>
            <w:tcW w:type="dxa" w:w="6912"/>
            <w:tcMar>
              <w:top w:w="100" w:type="dxa"/>
              <w:start w:w="120" w:type="dxa"/>
              <w:bottom w:w="100" w:type="dxa"/>
              <w:end w:w="120" w:type="dxa"/>
            </w:tcMar>
            <w:vAlign w:val="center"/>
          </w:tcPr>
          <w:p>
            <w:pPr>
              <w:spacing w:after="0" w:line="240" w:lineRule="auto"/>
            </w:pPr>
            <w:r>
              <w:rPr>
                <w:color w:val="16212B"/>
                <w:sz w:val="18"/>
              </w:rPr>
              <w:t>Original vs OCR/translation/extract/processed; parent link</w:t>
            </w:r>
          </w:p>
        </w:tc>
      </w:tr>
      <w:tr>
        <w:tc>
          <w:tcPr>
            <w:tcW w:type="dxa" w:w="2880"/>
            <w:tcMar>
              <w:top w:w="100" w:type="dxa"/>
              <w:start w:w="120" w:type="dxa"/>
              <w:bottom w:w="100" w:type="dxa"/>
              <w:end w:w="120" w:type="dxa"/>
            </w:tcMar>
            <w:vAlign w:val="center"/>
          </w:tcPr>
          <w:p>
            <w:pPr>
              <w:spacing w:after="0" w:line="240" w:lineRule="auto"/>
            </w:pPr>
            <w:r>
              <w:rPr>
                <w:color w:val="16212B"/>
                <w:sz w:val="18"/>
              </w:rPr>
              <w:t>Integrity block</w:t>
            </w:r>
          </w:p>
        </w:tc>
        <w:tc>
          <w:tcPr>
            <w:tcW w:type="dxa" w:w="6912"/>
            <w:tcMar>
              <w:top w:w="100" w:type="dxa"/>
              <w:start w:w="120" w:type="dxa"/>
              <w:bottom w:w="100" w:type="dxa"/>
              <w:end w:w="120" w:type="dxa"/>
            </w:tcMar>
            <w:vAlign w:val="center"/>
          </w:tcPr>
          <w:p>
            <w:pPr>
              <w:spacing w:after="0" w:line="240" w:lineRule="auto"/>
            </w:pPr>
            <w:r>
              <w:rPr>
                <w:color w:val="16212B"/>
                <w:sz w:val="18"/>
              </w:rPr>
              <w:t>Hash status; acquisition timestamp; verification state where relevant</w:t>
            </w:r>
          </w:p>
        </w:tc>
      </w:tr>
      <w:tr>
        <w:tc>
          <w:tcPr>
            <w:tcW w:type="dxa" w:w="2880"/>
            <w:tcMar>
              <w:top w:w="100" w:type="dxa"/>
              <w:start w:w="120" w:type="dxa"/>
              <w:bottom w:w="100" w:type="dxa"/>
              <w:end w:w="120" w:type="dxa"/>
            </w:tcMar>
            <w:vAlign w:val="center"/>
          </w:tcPr>
          <w:p>
            <w:pPr>
              <w:spacing w:after="0" w:line="240" w:lineRule="auto"/>
            </w:pPr>
            <w:r>
              <w:rPr>
                <w:color w:val="16212B"/>
                <w:sz w:val="18"/>
              </w:rPr>
              <w:t>Provenance trail</w:t>
            </w:r>
          </w:p>
        </w:tc>
        <w:tc>
          <w:tcPr>
            <w:tcW w:type="dxa" w:w="6912"/>
            <w:tcMar>
              <w:top w:w="100" w:type="dxa"/>
              <w:start w:w="120" w:type="dxa"/>
              <w:bottom w:w="100" w:type="dxa"/>
              <w:end w:w="120" w:type="dxa"/>
            </w:tcMar>
            <w:vAlign w:val="center"/>
          </w:tcPr>
          <w:p>
            <w:pPr>
              <w:spacing w:after="0" w:line="240" w:lineRule="auto"/>
            </w:pPr>
            <w:r>
              <w:rPr>
                <w:color w:val="16212B"/>
                <w:sz w:val="18"/>
              </w:rPr>
              <w:t>Source → Evidence → Extract → Fact/Indicator → Assessment links as permitted</w:t>
            </w:r>
          </w:p>
        </w:tc>
      </w:tr>
      <w:tr>
        <w:tc>
          <w:tcPr>
            <w:tcW w:type="dxa" w:w="2880"/>
            <w:tcMar>
              <w:top w:w="100" w:type="dxa"/>
              <w:start w:w="120" w:type="dxa"/>
              <w:bottom w:w="100" w:type="dxa"/>
              <w:end w:w="120" w:type="dxa"/>
            </w:tcMar>
            <w:vAlign w:val="center"/>
          </w:tcPr>
          <w:p>
            <w:pPr>
              <w:spacing w:after="0" w:line="240" w:lineRule="auto"/>
            </w:pPr>
            <w:r>
              <w:rPr>
                <w:color w:val="16212B"/>
                <w:sz w:val="18"/>
              </w:rPr>
              <w:t>Reliability/credibility</w:t>
            </w:r>
          </w:p>
        </w:tc>
        <w:tc>
          <w:tcPr>
            <w:tcW w:type="dxa" w:w="6912"/>
            <w:tcMar>
              <w:top w:w="100" w:type="dxa"/>
              <w:start w:w="120" w:type="dxa"/>
              <w:bottom w:w="100" w:type="dxa"/>
              <w:end w:w="120" w:type="dxa"/>
            </w:tcMar>
            <w:vAlign w:val="center"/>
          </w:tcPr>
          <w:p>
            <w:pPr>
              <w:spacing w:after="0" w:line="240" w:lineRule="auto"/>
            </w:pPr>
            <w:r>
              <w:rPr>
                <w:color w:val="16212B"/>
                <w:sz w:val="18"/>
              </w:rPr>
              <w:t>Separate source reliability and information credibility controls</w:t>
            </w:r>
          </w:p>
        </w:tc>
      </w:tr>
      <w:tr>
        <w:tc>
          <w:tcPr>
            <w:tcW w:type="dxa" w:w="2880"/>
            <w:tcMar>
              <w:top w:w="100" w:type="dxa"/>
              <w:start w:w="120" w:type="dxa"/>
              <w:bottom w:w="100" w:type="dxa"/>
              <w:end w:w="120" w:type="dxa"/>
            </w:tcMar>
            <w:vAlign w:val="center"/>
          </w:tcPr>
          <w:p>
            <w:pPr>
              <w:spacing w:after="0" w:line="240" w:lineRule="auto"/>
            </w:pPr>
            <w:r>
              <w:rPr>
                <w:color w:val="16212B"/>
                <w:sz w:val="18"/>
              </w:rPr>
              <w:t>Protected-source reference</w:t>
            </w:r>
          </w:p>
        </w:tc>
        <w:tc>
          <w:tcPr>
            <w:tcW w:type="dxa" w:w="6912"/>
            <w:tcMar>
              <w:top w:w="100" w:type="dxa"/>
              <w:start w:w="120" w:type="dxa"/>
              <w:bottom w:w="100" w:type="dxa"/>
              <w:end w:w="120" w:type="dxa"/>
            </w:tcMar>
            <w:vAlign w:val="center"/>
          </w:tcPr>
          <w:p>
            <w:pPr>
              <w:spacing w:after="0" w:line="240" w:lineRule="auto"/>
            </w:pPr>
            <w:r>
              <w:rPr>
                <w:color w:val="16212B"/>
                <w:sz w:val="18"/>
              </w:rPr>
              <w:t>Safe alias/opaque reference; no unnecessary identity exposure</w:t>
            </w:r>
          </w:p>
        </w:tc>
      </w:tr>
    </w:tbl>
    <w:p>
      <w:pPr>
        <w:spacing w:after="0"/>
      </w:pPr>
    </w:p>
    <w:tbl>
      <w:tblPr>
        <w:tblW w:type="auto" w:w="0"/>
        <w:jc w:val="center"/>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after="80"/>
            </w:pPr>
            <w:r>
              <w:rPr>
                <w:b/>
                <w:color w:val="285C8E"/>
                <w:sz w:val="21"/>
              </w:rPr>
              <w:t>Evidence visibility rule</w:t>
            </w:r>
          </w:p>
          <w:p>
            <w:pPr>
              <w:spacing w:after="0" w:line="264" w:lineRule="auto"/>
            </w:pPr>
            <w:r>
              <w:rPr>
                <w:color w:val="16212B"/>
                <w:sz w:val="20"/>
              </w:rPr>
              <w:t>The system SHOULD make it easier to inspect evidence than to copy an unsupported allegation. Analytical statements without required provenance should appear incomplete, not polished.</w:t>
            </w:r>
          </w:p>
        </w:tc>
      </w:tr>
    </w:tbl>
    <w:p>
      <w:pPr>
        <w:spacing w:after="0"/>
      </w:pPr>
    </w:p>
    <w:p>
      <w:pPr>
        <w:pStyle w:val="Heading1"/>
      </w:pPr>
      <w:r>
        <w:t>21. Review and Dissemination Components</w:t>
      </w:r>
    </w:p>
    <w:p>
      <w:pPr>
        <w:pStyle w:val="ListBullet"/>
        <w:spacing w:after="40" w:line="259" w:lineRule="auto"/>
      </w:pPr>
      <w:r>
        <w:rPr>
          <w:sz w:val="20"/>
        </w:rPr>
        <w:t>Review panel SHALL show product version, author, reviewer, classification, unresolved comments, and decision state.</w:t>
      </w:r>
    </w:p>
    <w:p>
      <w:pPr>
        <w:pStyle w:val="ListBullet"/>
        <w:spacing w:after="40" w:line="259" w:lineRule="auto"/>
      </w:pPr>
      <w:r>
        <w:rPr>
          <w:sz w:val="20"/>
        </w:rPr>
        <w:t>Approval controls SHALL not visually privilege approval over request-changes/reject where policy requires independent judgement.</w:t>
      </w:r>
    </w:p>
    <w:p>
      <w:pPr>
        <w:pStyle w:val="ListBullet"/>
        <w:spacing w:after="40" w:line="259" w:lineRule="auto"/>
      </w:pPr>
      <w:r>
        <w:rPr>
          <w:sz w:val="20"/>
        </w:rPr>
        <w:t>External dissemination screens SHALL expose recipient, purpose, version, classification, minimisation/redaction state, and restrictions before final confirmation.</w:t>
      </w:r>
    </w:p>
    <w:p>
      <w:pPr>
        <w:pStyle w:val="ListBullet"/>
        <w:spacing w:after="40" w:line="259" w:lineRule="auto"/>
      </w:pPr>
      <w:r>
        <w:rPr>
          <w:sz w:val="20"/>
        </w:rPr>
        <w:t>Export preview SHALL visually distinguish included, excluded, and redacted material.</w:t>
      </w:r>
    </w:p>
    <w:p>
      <w:pPr>
        <w:pStyle w:val="ListBullet"/>
        <w:spacing w:after="40" w:line="259" w:lineRule="auto"/>
      </w:pPr>
      <w:r>
        <w:rPr>
          <w:sz w:val="20"/>
        </w:rPr>
        <w:t>Sharing-log entries are read-only after finalization for ordinary analyst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8"/>
              </w:rPr>
              <w:t>ID</w:t>
            </w:r>
          </w:p>
        </w:tc>
        <w:tc>
          <w:tcPr>
            <w:tcW w:type="dxa" w:w="8208"/>
            <w:shd w:fill="17324D"/>
            <w:tcMar>
              <w:top w:w="100" w:type="dxa"/>
              <w:start w:w="120" w:type="dxa"/>
              <w:bottom w:w="100" w:type="dxa"/>
              <w:end w:w="120" w:type="dxa"/>
            </w:tcMar>
            <w:vAlign w:val="center"/>
          </w:tcPr>
          <w:p>
            <w:pPr>
              <w:jc w:val="center"/>
            </w:pPr>
            <w:r>
              <w:rPr>
                <w:b/>
                <w:color w:val="FFFFFF"/>
                <w:sz w:val="18"/>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8"/>
              </w:rPr>
              <w:t>DS-012</w:t>
            </w:r>
          </w:p>
        </w:tc>
        <w:tc>
          <w:tcPr>
            <w:tcW w:type="dxa" w:w="8208"/>
            <w:tcMar>
              <w:top w:w="100" w:type="dxa"/>
              <w:start w:w="120" w:type="dxa"/>
              <w:bottom w:w="100" w:type="dxa"/>
              <w:end w:w="120" w:type="dxa"/>
            </w:tcMar>
            <w:vAlign w:val="center"/>
          </w:tcPr>
          <w:p>
            <w:pPr>
              <w:spacing w:after="0" w:line="240" w:lineRule="auto"/>
            </w:pPr>
            <w:r>
              <w:rPr>
                <w:color w:val="16212B"/>
                <w:sz w:val="18"/>
              </w:rPr>
              <w:t>High-impact approval components SHALL state the consequence in the action label.</w:t>
            </w:r>
          </w:p>
        </w:tc>
      </w:tr>
      <w:tr>
        <w:tc>
          <w:tcPr>
            <w:tcW w:type="dxa" w:w="1440"/>
            <w:tcMar>
              <w:top w:w="100" w:type="dxa"/>
              <w:start w:w="120" w:type="dxa"/>
              <w:bottom w:w="100" w:type="dxa"/>
              <w:end w:w="120" w:type="dxa"/>
            </w:tcMar>
            <w:vAlign w:val="center"/>
          </w:tcPr>
          <w:p>
            <w:pPr>
              <w:spacing w:after="0" w:line="240" w:lineRule="auto"/>
            </w:pPr>
            <w:r>
              <w:rPr>
                <w:color w:val="16212B"/>
                <w:sz w:val="18"/>
              </w:rPr>
              <w:t>DS-013</w:t>
            </w:r>
          </w:p>
        </w:tc>
        <w:tc>
          <w:tcPr>
            <w:tcW w:type="dxa" w:w="8208"/>
            <w:tcMar>
              <w:top w:w="100" w:type="dxa"/>
              <w:start w:w="120" w:type="dxa"/>
              <w:bottom w:w="100" w:type="dxa"/>
              <w:end w:w="120" w:type="dxa"/>
            </w:tcMar>
            <w:vAlign w:val="center"/>
          </w:tcPr>
          <w:p>
            <w:pPr>
              <w:spacing w:after="0" w:line="240" w:lineRule="auto"/>
            </w:pPr>
            <w:r>
              <w:rPr>
                <w:color w:val="16212B"/>
                <w:sz w:val="18"/>
              </w:rPr>
              <w:t>Export/dissemination confirmation SHALL display the exact product version and intended recipient/purpose.</w:t>
            </w:r>
          </w:p>
        </w:tc>
      </w:tr>
      <w:tr>
        <w:tc>
          <w:tcPr>
            <w:tcW w:type="dxa" w:w="1440"/>
            <w:tcMar>
              <w:top w:w="100" w:type="dxa"/>
              <w:start w:w="120" w:type="dxa"/>
              <w:bottom w:w="100" w:type="dxa"/>
              <w:end w:w="120" w:type="dxa"/>
            </w:tcMar>
            <w:vAlign w:val="center"/>
          </w:tcPr>
          <w:p>
            <w:pPr>
              <w:spacing w:after="0" w:line="240" w:lineRule="auto"/>
            </w:pPr>
            <w:r>
              <w:rPr>
                <w:color w:val="16212B"/>
                <w:sz w:val="18"/>
              </w:rPr>
              <w:t>DS-014</w:t>
            </w:r>
          </w:p>
        </w:tc>
        <w:tc>
          <w:tcPr>
            <w:tcW w:type="dxa" w:w="8208"/>
            <w:tcMar>
              <w:top w:w="100" w:type="dxa"/>
              <w:start w:w="120" w:type="dxa"/>
              <w:bottom w:w="100" w:type="dxa"/>
              <w:end w:w="120" w:type="dxa"/>
            </w:tcMar>
            <w:vAlign w:val="center"/>
          </w:tcPr>
          <w:p>
            <w:pPr>
              <w:spacing w:after="0" w:line="240" w:lineRule="auto"/>
            </w:pPr>
            <w:r>
              <w:rPr>
                <w:color w:val="16212B"/>
                <w:sz w:val="18"/>
              </w:rPr>
              <w:t>Redacted or excluded material SHALL be perceptibly different in preview without exposing protected content.</w:t>
            </w:r>
          </w:p>
        </w:tc>
      </w:tr>
    </w:tbl>
    <w:p>
      <w:pPr>
        <w:spacing w:after="0"/>
      </w:pPr>
    </w:p>
    <w:p>
      <w:pPr>
        <w:pStyle w:val="Heading1"/>
      </w:pPr>
      <w:r>
        <w:t>22. Classification and Security Visuals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7324D"/>
            <w:tcMar>
              <w:top w:w="100" w:type="dxa"/>
              <w:start w:w="120" w:type="dxa"/>
              <w:bottom w:w="100" w:type="dxa"/>
              <w:end w:w="120" w:type="dxa"/>
            </w:tcMar>
            <w:vAlign w:val="center"/>
          </w:tcPr>
          <w:p>
            <w:pPr>
              <w:jc w:val="center"/>
            </w:pPr>
            <w:r>
              <w:rPr>
                <w:b/>
                <w:color w:val="FFFFFF"/>
                <w:sz w:val="18"/>
              </w:rPr>
              <w:t>Classification</w:t>
            </w:r>
          </w:p>
        </w:tc>
        <w:tc>
          <w:tcPr>
            <w:tcW w:type="dxa" w:w="3456"/>
            <w:shd w:fill="17324D"/>
            <w:tcMar>
              <w:top w:w="100" w:type="dxa"/>
              <w:start w:w="120" w:type="dxa"/>
              <w:bottom w:w="100" w:type="dxa"/>
              <w:end w:w="120" w:type="dxa"/>
            </w:tcMar>
            <w:vAlign w:val="center"/>
          </w:tcPr>
          <w:p>
            <w:pPr>
              <w:jc w:val="center"/>
            </w:pPr>
            <w:r>
              <w:rPr>
                <w:b/>
                <w:color w:val="FFFFFF"/>
                <w:sz w:val="18"/>
              </w:rPr>
              <w:t>Reference treatment</w:t>
            </w:r>
          </w:p>
        </w:tc>
        <w:tc>
          <w:tcPr>
            <w:tcW w:type="dxa" w:w="4176"/>
            <w:shd w:fill="17324D"/>
            <w:tcMar>
              <w:top w:w="100" w:type="dxa"/>
              <w:start w:w="120" w:type="dxa"/>
              <w:bottom w:w="100" w:type="dxa"/>
              <w:end w:w="120" w:type="dxa"/>
            </w:tcMar>
            <w:vAlign w:val="center"/>
          </w:tcPr>
          <w:p>
            <w:pPr>
              <w:jc w:val="center"/>
            </w:pPr>
            <w:r>
              <w:rPr>
                <w:b/>
                <w:color w:val="FFFFFF"/>
                <w:sz w:val="18"/>
              </w:rPr>
              <w:t>Notes</w:t>
            </w:r>
          </w:p>
        </w:tc>
      </w:tr>
      <w:tr>
        <w:tc>
          <w:tcPr>
            <w:tcW w:type="dxa" w:w="2160"/>
            <w:tcMar>
              <w:top w:w="100" w:type="dxa"/>
              <w:start w:w="120" w:type="dxa"/>
              <w:bottom w:w="100" w:type="dxa"/>
              <w:end w:w="120" w:type="dxa"/>
            </w:tcMar>
            <w:vAlign w:val="center"/>
          </w:tcPr>
          <w:p>
            <w:pPr>
              <w:spacing w:after="0" w:line="240" w:lineRule="auto"/>
            </w:pPr>
            <w:r>
              <w:rPr>
                <w:color w:val="16212B"/>
                <w:sz w:val="18"/>
              </w:rPr>
              <w:t>PUBLIC</w:t>
            </w:r>
          </w:p>
        </w:tc>
        <w:tc>
          <w:tcPr>
            <w:tcW w:type="dxa" w:w="3456"/>
            <w:tcMar>
              <w:top w:w="100" w:type="dxa"/>
              <w:start w:w="120" w:type="dxa"/>
              <w:bottom w:w="100" w:type="dxa"/>
              <w:end w:w="120" w:type="dxa"/>
            </w:tcMar>
            <w:vAlign w:val="center"/>
          </w:tcPr>
          <w:p>
            <w:pPr>
              <w:spacing w:after="0" w:line="240" w:lineRule="auto"/>
            </w:pPr>
            <w:r>
              <w:rPr>
                <w:color w:val="16212B"/>
                <w:sz w:val="18"/>
              </w:rPr>
              <w:t>Neutral/low emphasis</w:t>
            </w:r>
          </w:p>
        </w:tc>
        <w:tc>
          <w:tcPr>
            <w:tcW w:type="dxa" w:w="4176"/>
            <w:tcMar>
              <w:top w:w="100" w:type="dxa"/>
              <w:start w:w="120" w:type="dxa"/>
              <w:bottom w:w="100" w:type="dxa"/>
              <w:end w:w="120" w:type="dxa"/>
            </w:tcMar>
            <w:vAlign w:val="center"/>
          </w:tcPr>
          <w:p>
            <w:pPr>
              <w:spacing w:after="0" w:line="240" w:lineRule="auto"/>
            </w:pPr>
            <w:r>
              <w:rPr>
                <w:color w:val="16212B"/>
                <w:sz w:val="18"/>
              </w:rPr>
              <w:t>No implication of low evidentiary value</w:t>
            </w:r>
          </w:p>
        </w:tc>
      </w:tr>
      <w:tr>
        <w:tc>
          <w:tcPr>
            <w:tcW w:type="dxa" w:w="2160"/>
            <w:tcMar>
              <w:top w:w="100" w:type="dxa"/>
              <w:start w:w="120" w:type="dxa"/>
              <w:bottom w:w="100" w:type="dxa"/>
              <w:end w:w="120" w:type="dxa"/>
            </w:tcMar>
            <w:vAlign w:val="center"/>
          </w:tcPr>
          <w:p>
            <w:pPr>
              <w:spacing w:after="0" w:line="240" w:lineRule="auto"/>
            </w:pPr>
            <w:r>
              <w:rPr>
                <w:color w:val="16212B"/>
                <w:sz w:val="18"/>
              </w:rPr>
              <w:t>INTERNAL</w:t>
            </w:r>
          </w:p>
        </w:tc>
        <w:tc>
          <w:tcPr>
            <w:tcW w:type="dxa" w:w="3456"/>
            <w:tcMar>
              <w:top w:w="100" w:type="dxa"/>
              <w:start w:w="120" w:type="dxa"/>
              <w:bottom w:w="100" w:type="dxa"/>
              <w:end w:w="120" w:type="dxa"/>
            </w:tcMar>
            <w:vAlign w:val="center"/>
          </w:tcPr>
          <w:p>
            <w:pPr>
              <w:spacing w:after="0" w:line="240" w:lineRule="auto"/>
            </w:pPr>
            <w:r>
              <w:rPr>
                <w:color w:val="16212B"/>
                <w:sz w:val="18"/>
              </w:rPr>
              <w:t>Blue-gray label</w:t>
            </w:r>
          </w:p>
        </w:tc>
        <w:tc>
          <w:tcPr>
            <w:tcW w:type="dxa" w:w="4176"/>
            <w:tcMar>
              <w:top w:w="100" w:type="dxa"/>
              <w:start w:w="120" w:type="dxa"/>
              <w:bottom w:w="100" w:type="dxa"/>
              <w:end w:w="120" w:type="dxa"/>
            </w:tcMar>
            <w:vAlign w:val="center"/>
          </w:tcPr>
          <w:p>
            <w:pPr>
              <w:spacing w:after="0" w:line="240" w:lineRule="auto"/>
            </w:pPr>
            <w:r>
              <w:rPr>
                <w:color w:val="16212B"/>
                <w:sz w:val="18"/>
              </w:rPr>
              <w:t>Internal handling</w:t>
            </w:r>
          </w:p>
        </w:tc>
      </w:tr>
      <w:tr>
        <w:tc>
          <w:tcPr>
            <w:tcW w:type="dxa" w:w="2160"/>
            <w:tcMar>
              <w:top w:w="100" w:type="dxa"/>
              <w:start w:w="120" w:type="dxa"/>
              <w:bottom w:w="100" w:type="dxa"/>
              <w:end w:w="120" w:type="dxa"/>
            </w:tcMar>
            <w:vAlign w:val="center"/>
          </w:tcPr>
          <w:p>
            <w:pPr>
              <w:spacing w:after="0" w:line="240" w:lineRule="auto"/>
            </w:pPr>
            <w:r>
              <w:rPr>
                <w:color w:val="16212B"/>
                <w:sz w:val="18"/>
              </w:rPr>
              <w:t>SENSITIVE</w:t>
            </w:r>
          </w:p>
        </w:tc>
        <w:tc>
          <w:tcPr>
            <w:tcW w:type="dxa" w:w="3456"/>
            <w:tcMar>
              <w:top w:w="100" w:type="dxa"/>
              <w:start w:w="120" w:type="dxa"/>
              <w:bottom w:w="100" w:type="dxa"/>
              <w:end w:w="120" w:type="dxa"/>
            </w:tcMar>
            <w:vAlign w:val="center"/>
          </w:tcPr>
          <w:p>
            <w:pPr>
              <w:spacing w:after="0" w:line="240" w:lineRule="auto"/>
            </w:pPr>
            <w:r>
              <w:rPr>
                <w:color w:val="16212B"/>
                <w:sz w:val="18"/>
              </w:rPr>
              <w:t>Amber-outline label</w:t>
            </w:r>
          </w:p>
        </w:tc>
        <w:tc>
          <w:tcPr>
            <w:tcW w:type="dxa" w:w="4176"/>
            <w:tcMar>
              <w:top w:w="100" w:type="dxa"/>
              <w:start w:w="120" w:type="dxa"/>
              <w:bottom w:w="100" w:type="dxa"/>
              <w:end w:w="120" w:type="dxa"/>
            </w:tcMar>
            <w:vAlign w:val="center"/>
          </w:tcPr>
          <w:p>
            <w:pPr>
              <w:spacing w:after="0" w:line="240" w:lineRule="auto"/>
            </w:pPr>
            <w:r>
              <w:rPr>
                <w:color w:val="16212B"/>
                <w:sz w:val="18"/>
              </w:rPr>
              <w:t>Attention to handling, not suspicion</w:t>
            </w:r>
          </w:p>
        </w:tc>
      </w:tr>
      <w:tr>
        <w:tc>
          <w:tcPr>
            <w:tcW w:type="dxa" w:w="2160"/>
            <w:tcMar>
              <w:top w:w="100" w:type="dxa"/>
              <w:start w:w="120" w:type="dxa"/>
              <w:bottom w:w="100" w:type="dxa"/>
              <w:end w:w="120" w:type="dxa"/>
            </w:tcMar>
            <w:vAlign w:val="center"/>
          </w:tcPr>
          <w:p>
            <w:pPr>
              <w:spacing w:after="0" w:line="240" w:lineRule="auto"/>
            </w:pPr>
            <w:r>
              <w:rPr>
                <w:color w:val="16212B"/>
                <w:sz w:val="18"/>
              </w:rPr>
              <w:t>RESTRICTED</w:t>
            </w:r>
          </w:p>
        </w:tc>
        <w:tc>
          <w:tcPr>
            <w:tcW w:type="dxa" w:w="3456"/>
            <w:tcMar>
              <w:top w:w="100" w:type="dxa"/>
              <w:start w:w="120" w:type="dxa"/>
              <w:bottom w:w="100" w:type="dxa"/>
              <w:end w:w="120" w:type="dxa"/>
            </w:tcMar>
            <w:vAlign w:val="center"/>
          </w:tcPr>
          <w:p>
            <w:pPr>
              <w:spacing w:after="0" w:line="240" w:lineRule="auto"/>
            </w:pPr>
            <w:r>
              <w:rPr>
                <w:color w:val="16212B"/>
                <w:sz w:val="18"/>
              </w:rPr>
              <w:t>Strong amber/brown label + lock icon/text</w:t>
            </w:r>
          </w:p>
        </w:tc>
        <w:tc>
          <w:tcPr>
            <w:tcW w:type="dxa" w:w="4176"/>
            <w:tcMar>
              <w:top w:w="100" w:type="dxa"/>
              <w:start w:w="120" w:type="dxa"/>
              <w:bottom w:w="100" w:type="dxa"/>
              <w:end w:w="120" w:type="dxa"/>
            </w:tcMar>
            <w:vAlign w:val="center"/>
          </w:tcPr>
          <w:p>
            <w:pPr>
              <w:spacing w:after="0" w:line="240" w:lineRule="auto"/>
            </w:pPr>
            <w:r>
              <w:rPr>
                <w:color w:val="16212B"/>
                <w:sz w:val="18"/>
              </w:rPr>
              <w:t>Need-to-know handling</w:t>
            </w:r>
          </w:p>
        </w:tc>
      </w:tr>
      <w:tr>
        <w:tc>
          <w:tcPr>
            <w:tcW w:type="dxa" w:w="2160"/>
            <w:tcMar>
              <w:top w:w="100" w:type="dxa"/>
              <w:start w:w="120" w:type="dxa"/>
              <w:bottom w:w="100" w:type="dxa"/>
              <w:end w:w="120" w:type="dxa"/>
            </w:tcMar>
            <w:vAlign w:val="center"/>
          </w:tcPr>
          <w:p>
            <w:pPr>
              <w:spacing w:after="0" w:line="240" w:lineRule="auto"/>
            </w:pPr>
            <w:r>
              <w:rPr>
                <w:color w:val="16212B"/>
                <w:sz w:val="18"/>
              </w:rPr>
              <w:t>SOURCE-PROTECTED</w:t>
            </w:r>
          </w:p>
        </w:tc>
        <w:tc>
          <w:tcPr>
            <w:tcW w:type="dxa" w:w="3456"/>
            <w:tcMar>
              <w:top w:w="100" w:type="dxa"/>
              <w:start w:w="120" w:type="dxa"/>
              <w:bottom w:w="100" w:type="dxa"/>
              <w:end w:w="120" w:type="dxa"/>
            </w:tcMar>
            <w:vAlign w:val="center"/>
          </w:tcPr>
          <w:p>
            <w:pPr>
              <w:spacing w:after="0" w:line="240" w:lineRule="auto"/>
            </w:pPr>
            <w:r>
              <w:rPr>
                <w:color w:val="16212B"/>
                <w:sz w:val="18"/>
              </w:rPr>
              <w:t>Distinct shield/lock label; minimal detail</w:t>
            </w:r>
          </w:p>
        </w:tc>
        <w:tc>
          <w:tcPr>
            <w:tcW w:type="dxa" w:w="4176"/>
            <w:tcMar>
              <w:top w:w="100" w:type="dxa"/>
              <w:start w:w="120" w:type="dxa"/>
              <w:bottom w:w="100" w:type="dxa"/>
              <w:end w:w="120" w:type="dxa"/>
            </w:tcMar>
            <w:vAlign w:val="center"/>
          </w:tcPr>
          <w:p>
            <w:pPr>
              <w:spacing w:after="0" w:line="240" w:lineRule="auto"/>
            </w:pPr>
            <w:r>
              <w:rPr>
                <w:color w:val="16212B"/>
                <w:sz w:val="18"/>
              </w:rPr>
              <w:t>Identity compartmentalisation; avoid source name</w:t>
            </w:r>
          </w:p>
        </w:tc>
      </w:tr>
    </w:tbl>
    <w:p>
      <w:pPr>
        <w:spacing w:after="0"/>
      </w:pPr>
    </w:p>
    <w:p>
      <w:pPr>
        <w:pStyle w:val="ListBullet"/>
        <w:spacing w:after="40" w:line="259" w:lineRule="auto"/>
      </w:pPr>
      <w:r>
        <w:rPr>
          <w:sz w:val="20"/>
        </w:rPr>
        <w:t>Classification styling SHALL represent handling requirements, not analytical severity.</w:t>
      </w:r>
    </w:p>
    <w:p>
      <w:pPr>
        <w:pStyle w:val="ListBullet"/>
        <w:spacing w:after="40" w:line="259" w:lineRule="auto"/>
      </w:pPr>
      <w:r>
        <w:rPr>
          <w:sz w:val="20"/>
        </w:rPr>
        <w:t>Protected-source state SHALL not be indexed into general-purpose visual components if that leaks existence.</w:t>
      </w:r>
    </w:p>
    <w:p>
      <w:pPr>
        <w:pStyle w:val="ListBullet"/>
        <w:spacing w:after="40" w:line="259" w:lineRule="auto"/>
      </w:pPr>
      <w:r>
        <w:rPr>
          <w:sz w:val="20"/>
        </w:rPr>
        <w:t>Permission-denied screens SHALL use non-disclosing copy where policy requires concealment of object existence.</w:t>
      </w:r>
    </w:p>
    <w:p>
      <w:pPr>
        <w:pStyle w:val="Heading1"/>
      </w:pPr>
      <w:r>
        <w:t>23. Responsive and Viewport Baseline</w:t>
      </w:r>
    </w:p>
    <w:p>
      <w:pPr>
        <w:spacing w:after="100" w:line="269" w:lineRule="auto"/>
      </w:pPr>
      <w:r>
        <w:rPr>
          <w:sz w:val="21"/>
        </w:rPr>
        <w:t>CS-AML is desktop-first because graph, evidence review, and analytical comparison require spatial context. Responsive behaviour must preserve critical tasks rather than merely shrink the desktop layout.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24D"/>
            <w:tcMar>
              <w:top w:w="100" w:type="dxa"/>
              <w:start w:w="120" w:type="dxa"/>
              <w:bottom w:w="100" w:type="dxa"/>
              <w:end w:w="120" w:type="dxa"/>
            </w:tcMar>
            <w:vAlign w:val="center"/>
          </w:tcPr>
          <w:p>
            <w:pPr>
              <w:jc w:val="center"/>
            </w:pPr>
            <w:r>
              <w:rPr>
                <w:b/>
                <w:color w:val="FFFFFF"/>
                <w:sz w:val="18"/>
              </w:rPr>
              <w:t>Viewport</w:t>
            </w:r>
          </w:p>
        </w:tc>
        <w:tc>
          <w:tcPr>
            <w:tcW w:type="dxa" w:w="7488"/>
            <w:shd w:fill="17324D"/>
            <w:tcMar>
              <w:top w:w="100" w:type="dxa"/>
              <w:start w:w="120" w:type="dxa"/>
              <w:bottom w:w="100" w:type="dxa"/>
              <w:end w:w="120" w:type="dxa"/>
            </w:tcMar>
            <w:vAlign w:val="center"/>
          </w:tcPr>
          <w:p>
            <w:pPr>
              <w:jc w:val="center"/>
            </w:pPr>
            <w:r>
              <w:rPr>
                <w:b/>
                <w:color w:val="FFFFFF"/>
                <w:sz w:val="18"/>
              </w:rPr>
              <w:t>Baseline behaviour</w:t>
            </w:r>
          </w:p>
        </w:tc>
      </w:tr>
      <w:tr>
        <w:tc>
          <w:tcPr>
            <w:tcW w:type="dxa" w:w="2304"/>
            <w:tcMar>
              <w:top w:w="100" w:type="dxa"/>
              <w:start w:w="120" w:type="dxa"/>
              <w:bottom w:w="100" w:type="dxa"/>
              <w:end w:w="120" w:type="dxa"/>
            </w:tcMar>
            <w:vAlign w:val="center"/>
          </w:tcPr>
          <w:p>
            <w:pPr>
              <w:spacing w:after="0" w:line="240" w:lineRule="auto"/>
            </w:pPr>
            <w:r>
              <w:rPr>
                <w:color w:val="16212B"/>
                <w:sz w:val="18"/>
              </w:rPr>
              <w:t>&gt;=1440 px</w:t>
            </w:r>
          </w:p>
        </w:tc>
        <w:tc>
          <w:tcPr>
            <w:tcW w:type="dxa" w:w="7488"/>
            <w:tcMar>
              <w:top w:w="100" w:type="dxa"/>
              <w:start w:w="120" w:type="dxa"/>
              <w:bottom w:w="100" w:type="dxa"/>
              <w:end w:w="120" w:type="dxa"/>
            </w:tcMar>
            <w:vAlign w:val="center"/>
          </w:tcPr>
          <w:p>
            <w:pPr>
              <w:spacing w:after="0" w:line="240" w:lineRule="auto"/>
            </w:pPr>
            <w:r>
              <w:rPr>
                <w:color w:val="16212B"/>
                <w:sz w:val="18"/>
              </w:rPr>
              <w:t>Full multi-panel analytical workspace; optional persistent inspector</w:t>
            </w:r>
          </w:p>
        </w:tc>
      </w:tr>
      <w:tr>
        <w:tc>
          <w:tcPr>
            <w:tcW w:type="dxa" w:w="2304"/>
            <w:tcMar>
              <w:top w:w="100" w:type="dxa"/>
              <w:start w:w="120" w:type="dxa"/>
              <w:bottom w:w="100" w:type="dxa"/>
              <w:end w:w="120" w:type="dxa"/>
            </w:tcMar>
            <w:vAlign w:val="center"/>
          </w:tcPr>
          <w:p>
            <w:pPr>
              <w:spacing w:after="0" w:line="240" w:lineRule="auto"/>
            </w:pPr>
            <w:r>
              <w:rPr>
                <w:color w:val="16212B"/>
                <w:sz w:val="18"/>
              </w:rPr>
              <w:t>1024-1439 px</w:t>
            </w:r>
          </w:p>
        </w:tc>
        <w:tc>
          <w:tcPr>
            <w:tcW w:type="dxa" w:w="7488"/>
            <w:tcMar>
              <w:top w:w="100" w:type="dxa"/>
              <w:start w:w="120" w:type="dxa"/>
              <w:bottom w:w="100" w:type="dxa"/>
              <w:end w:w="120" w:type="dxa"/>
            </w:tcMar>
            <w:vAlign w:val="center"/>
          </w:tcPr>
          <w:p>
            <w:pPr>
              <w:spacing w:after="0" w:line="240" w:lineRule="auto"/>
            </w:pPr>
            <w:r>
              <w:rPr>
                <w:color w:val="16212B"/>
                <w:sz w:val="18"/>
              </w:rPr>
              <w:t>Two-panel workspace; inspector may overlay/drawer</w:t>
            </w:r>
          </w:p>
        </w:tc>
      </w:tr>
      <w:tr>
        <w:tc>
          <w:tcPr>
            <w:tcW w:type="dxa" w:w="2304"/>
            <w:tcMar>
              <w:top w:w="100" w:type="dxa"/>
              <w:start w:w="120" w:type="dxa"/>
              <w:bottom w:w="100" w:type="dxa"/>
              <w:end w:w="120" w:type="dxa"/>
            </w:tcMar>
            <w:vAlign w:val="center"/>
          </w:tcPr>
          <w:p>
            <w:pPr>
              <w:spacing w:after="0" w:line="240" w:lineRule="auto"/>
            </w:pPr>
            <w:r>
              <w:rPr>
                <w:color w:val="16212B"/>
                <w:sz w:val="18"/>
              </w:rPr>
              <w:t>768-1023 px</w:t>
            </w:r>
          </w:p>
        </w:tc>
        <w:tc>
          <w:tcPr>
            <w:tcW w:type="dxa" w:w="7488"/>
            <w:tcMar>
              <w:top w:w="100" w:type="dxa"/>
              <w:start w:w="120" w:type="dxa"/>
              <w:bottom w:w="100" w:type="dxa"/>
              <w:end w:w="120" w:type="dxa"/>
            </w:tcMar>
            <w:vAlign w:val="center"/>
          </w:tcPr>
          <w:p>
            <w:pPr>
              <w:spacing w:after="0" w:line="240" w:lineRule="auto"/>
            </w:pPr>
            <w:r>
              <w:rPr>
                <w:color w:val="16212B"/>
                <w:sz w:val="18"/>
              </w:rPr>
              <w:t>Stacked panels; analytical canvas remains usable with explicit panel switching</w:t>
            </w:r>
          </w:p>
        </w:tc>
      </w:tr>
      <w:tr>
        <w:tc>
          <w:tcPr>
            <w:tcW w:type="dxa" w:w="2304"/>
            <w:tcMar>
              <w:top w:w="100" w:type="dxa"/>
              <w:start w:w="120" w:type="dxa"/>
              <w:bottom w:w="100" w:type="dxa"/>
              <w:end w:w="120" w:type="dxa"/>
            </w:tcMar>
            <w:vAlign w:val="center"/>
          </w:tcPr>
          <w:p>
            <w:pPr>
              <w:spacing w:after="0" w:line="240" w:lineRule="auto"/>
            </w:pPr>
            <w:r>
              <w:rPr>
                <w:color w:val="16212B"/>
                <w:sz w:val="18"/>
              </w:rPr>
              <w:t>&lt;768 px</w:t>
            </w:r>
          </w:p>
        </w:tc>
        <w:tc>
          <w:tcPr>
            <w:tcW w:type="dxa" w:w="7488"/>
            <w:tcMar>
              <w:top w:w="100" w:type="dxa"/>
              <w:start w:w="120" w:type="dxa"/>
              <w:bottom w:w="100" w:type="dxa"/>
              <w:end w:w="120" w:type="dxa"/>
            </w:tcMar>
            <w:vAlign w:val="center"/>
          </w:tcPr>
          <w:p>
            <w:pPr>
              <w:spacing w:after="0" w:line="240" w:lineRule="auto"/>
            </w:pPr>
            <w:r>
              <w:rPr>
                <w:color w:val="16212B"/>
                <w:sz w:val="18"/>
              </w:rPr>
              <w:t>Limited/mobile support for review, lookup, simple tasks; complex graph/value-flow authoring MAY be unsupported in MVP</w:t>
            </w:r>
          </w:p>
        </w:tc>
      </w:tr>
    </w:tbl>
    <w:p>
      <w:pPr>
        <w:spacing w:after="0"/>
      </w:pPr>
    </w:p>
    <w:tbl>
      <w:tblPr>
        <w:tblW w:type="auto" w:w="0"/>
        <w:jc w:val="center"/>
        <w:tblLook w:firstColumn="1" w:firstRow="1" w:lastColumn="0" w:lastRow="0" w:noHBand="0" w:noVBand="1" w:val="04A0"/>
      </w:tblPr>
      <w:tblGrid>
        <w:gridCol w:w="9994"/>
      </w:tblGrid>
      <w:tr>
        <w:tc>
          <w:tcPr>
            <w:tcW w:type="dxa" w:w="9994"/>
            <w:shd w:fill="F1F3F5"/>
            <w:tcMar>
              <w:top w:w="140" w:type="dxa"/>
              <w:start w:w="160" w:type="dxa"/>
              <w:bottom w:w="140" w:type="dxa"/>
              <w:end w:w="160" w:type="dxa"/>
            </w:tcMar>
          </w:tcPr>
          <w:p>
            <w:pPr>
              <w:spacing w:after="80"/>
            </w:pPr>
            <w:r>
              <w:rPr>
                <w:b/>
                <w:color w:val="17324D"/>
                <w:sz w:val="21"/>
              </w:rPr>
              <w:t>Mobile scope</w:t>
            </w:r>
          </w:p>
          <w:p>
            <w:pPr>
              <w:spacing w:after="0" w:line="264" w:lineRule="auto"/>
            </w:pPr>
            <w:r>
              <w:rPr>
                <w:color w:val="16212B"/>
                <w:sz w:val="20"/>
              </w:rPr>
              <w:t>MVP responsive support does not require parity for every analytical authoring task. Unsupported complex tasks SHALL fail gracefully with a clear explanation rather than present a misleadingly simplified workflow.</w:t>
            </w:r>
          </w:p>
        </w:tc>
      </w:tr>
    </w:tbl>
    <w:p>
      <w:pPr>
        <w:spacing w:after="0"/>
      </w:pPr>
    </w:p>
    <w:p>
      <w:pPr>
        <w:pStyle w:val="Heading1"/>
      </w:pPr>
      <w:r>
        <w:t>24. Accessibility Baseline</w:t>
      </w:r>
    </w:p>
    <w:p>
      <w:pPr>
        <w:spacing w:after="100" w:line="269" w:lineRule="auto"/>
      </w:pPr>
      <w:r>
        <w:rPr>
          <w:sz w:val="21"/>
        </w:rPr>
        <w:t>The design system SHALL target WCAG 2.2 AA-equivalent accessibility for product UI wherever applicable, with special attention to keyboard use, focus, contrast, color independence, dense tables, graph alternatives, and error recovery.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7"/>
              </w:rPr>
              <w:t>ID</w:t>
            </w:r>
          </w:p>
        </w:tc>
        <w:tc>
          <w:tcPr>
            <w:tcW w:type="dxa" w:w="8208"/>
            <w:shd w:fill="17324D"/>
            <w:tcMar>
              <w:top w:w="100" w:type="dxa"/>
              <w:start w:w="120" w:type="dxa"/>
              <w:bottom w:w="100" w:type="dxa"/>
              <w:end w:w="120" w:type="dxa"/>
            </w:tcMar>
            <w:vAlign w:val="center"/>
          </w:tcPr>
          <w:p>
            <w:pPr>
              <w:jc w:val="center"/>
            </w:pPr>
            <w:r>
              <w:rPr>
                <w:b/>
                <w:color w:val="FFFFFF"/>
                <w:sz w:val="17"/>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7"/>
              </w:rPr>
              <w:t>DS-015</w:t>
            </w:r>
          </w:p>
        </w:tc>
        <w:tc>
          <w:tcPr>
            <w:tcW w:type="dxa" w:w="8208"/>
            <w:tcMar>
              <w:top w:w="100" w:type="dxa"/>
              <w:start w:w="120" w:type="dxa"/>
              <w:bottom w:w="100" w:type="dxa"/>
              <w:end w:w="120" w:type="dxa"/>
            </w:tcMar>
            <w:vAlign w:val="center"/>
          </w:tcPr>
          <w:p>
            <w:pPr>
              <w:spacing w:after="0" w:line="240" w:lineRule="auto"/>
            </w:pPr>
            <w:r>
              <w:rPr>
                <w:color w:val="16212B"/>
                <w:sz w:val="17"/>
              </w:rPr>
              <w:t>Normal text and essential UI controls SHALL meet applicable contrast targets.</w:t>
            </w:r>
          </w:p>
        </w:tc>
      </w:tr>
      <w:tr>
        <w:tc>
          <w:tcPr>
            <w:tcW w:type="dxa" w:w="1440"/>
            <w:tcMar>
              <w:top w:w="100" w:type="dxa"/>
              <w:start w:w="120" w:type="dxa"/>
              <w:bottom w:w="100" w:type="dxa"/>
              <w:end w:w="120" w:type="dxa"/>
            </w:tcMar>
            <w:vAlign w:val="center"/>
          </w:tcPr>
          <w:p>
            <w:pPr>
              <w:spacing w:after="0" w:line="240" w:lineRule="auto"/>
            </w:pPr>
            <w:r>
              <w:rPr>
                <w:color w:val="16212B"/>
                <w:sz w:val="17"/>
              </w:rPr>
              <w:t>DS-016</w:t>
            </w:r>
          </w:p>
        </w:tc>
        <w:tc>
          <w:tcPr>
            <w:tcW w:type="dxa" w:w="8208"/>
            <w:tcMar>
              <w:top w:w="100" w:type="dxa"/>
              <w:start w:w="120" w:type="dxa"/>
              <w:bottom w:w="100" w:type="dxa"/>
              <w:end w:w="120" w:type="dxa"/>
            </w:tcMar>
            <w:vAlign w:val="center"/>
          </w:tcPr>
          <w:p>
            <w:pPr>
              <w:spacing w:after="0" w:line="240" w:lineRule="auto"/>
            </w:pPr>
            <w:r>
              <w:rPr>
                <w:color w:val="16212B"/>
                <w:sz w:val="17"/>
              </w:rPr>
              <w:t>Every interactive component SHALL be operable by keyboard unless the interaction is inherently spatial, in which case an equivalent accessible path SHALL exist where required.</w:t>
            </w:r>
          </w:p>
        </w:tc>
      </w:tr>
      <w:tr>
        <w:tc>
          <w:tcPr>
            <w:tcW w:type="dxa" w:w="1440"/>
            <w:tcMar>
              <w:top w:w="100" w:type="dxa"/>
              <w:start w:w="120" w:type="dxa"/>
              <w:bottom w:w="100" w:type="dxa"/>
              <w:end w:w="120" w:type="dxa"/>
            </w:tcMar>
            <w:vAlign w:val="center"/>
          </w:tcPr>
          <w:p>
            <w:pPr>
              <w:spacing w:after="0" w:line="240" w:lineRule="auto"/>
            </w:pPr>
            <w:r>
              <w:rPr>
                <w:color w:val="16212B"/>
                <w:sz w:val="17"/>
              </w:rPr>
              <w:t>DS-017</w:t>
            </w:r>
          </w:p>
        </w:tc>
        <w:tc>
          <w:tcPr>
            <w:tcW w:type="dxa" w:w="8208"/>
            <w:tcMar>
              <w:top w:w="100" w:type="dxa"/>
              <w:start w:w="120" w:type="dxa"/>
              <w:bottom w:w="100" w:type="dxa"/>
              <w:end w:w="120" w:type="dxa"/>
            </w:tcMar>
            <w:vAlign w:val="center"/>
          </w:tcPr>
          <w:p>
            <w:pPr>
              <w:spacing w:after="0" w:line="240" w:lineRule="auto"/>
            </w:pPr>
            <w:r>
              <w:rPr>
                <w:color w:val="16212B"/>
                <w:sz w:val="17"/>
              </w:rPr>
              <w:t>Focus order SHALL follow task order, not visual implementation accident.</w:t>
            </w:r>
          </w:p>
        </w:tc>
      </w:tr>
      <w:tr>
        <w:tc>
          <w:tcPr>
            <w:tcW w:type="dxa" w:w="1440"/>
            <w:tcMar>
              <w:top w:w="100" w:type="dxa"/>
              <w:start w:w="120" w:type="dxa"/>
              <w:bottom w:w="100" w:type="dxa"/>
              <w:end w:w="120" w:type="dxa"/>
            </w:tcMar>
            <w:vAlign w:val="center"/>
          </w:tcPr>
          <w:p>
            <w:pPr>
              <w:spacing w:after="0" w:line="240" w:lineRule="auto"/>
            </w:pPr>
            <w:r>
              <w:rPr>
                <w:color w:val="16212B"/>
                <w:sz w:val="17"/>
              </w:rPr>
              <w:t>DS-018</w:t>
            </w:r>
          </w:p>
        </w:tc>
        <w:tc>
          <w:tcPr>
            <w:tcW w:type="dxa" w:w="8208"/>
            <w:tcMar>
              <w:top w:w="100" w:type="dxa"/>
              <w:start w:w="120" w:type="dxa"/>
              <w:bottom w:w="100" w:type="dxa"/>
              <w:end w:w="120" w:type="dxa"/>
            </w:tcMar>
            <w:vAlign w:val="center"/>
          </w:tcPr>
          <w:p>
            <w:pPr>
              <w:spacing w:after="0" w:line="240" w:lineRule="auto"/>
            </w:pPr>
            <w:r>
              <w:rPr>
                <w:color w:val="16212B"/>
                <w:sz w:val="17"/>
              </w:rPr>
              <w:t>Graph, timeline, and value-flow views SHALL provide textual/list/table alternatives for material analytical content.</w:t>
            </w:r>
          </w:p>
        </w:tc>
      </w:tr>
      <w:tr>
        <w:tc>
          <w:tcPr>
            <w:tcW w:type="dxa" w:w="1440"/>
            <w:tcMar>
              <w:top w:w="100" w:type="dxa"/>
              <w:start w:w="120" w:type="dxa"/>
              <w:bottom w:w="100" w:type="dxa"/>
              <w:end w:w="120" w:type="dxa"/>
            </w:tcMar>
            <w:vAlign w:val="center"/>
          </w:tcPr>
          <w:p>
            <w:pPr>
              <w:spacing w:after="0" w:line="240" w:lineRule="auto"/>
            </w:pPr>
            <w:r>
              <w:rPr>
                <w:color w:val="16212B"/>
                <w:sz w:val="17"/>
              </w:rPr>
              <w:t>DS-019</w:t>
            </w:r>
          </w:p>
        </w:tc>
        <w:tc>
          <w:tcPr>
            <w:tcW w:type="dxa" w:w="8208"/>
            <w:tcMar>
              <w:top w:w="100" w:type="dxa"/>
              <w:start w:w="120" w:type="dxa"/>
              <w:bottom w:w="100" w:type="dxa"/>
              <w:end w:w="120" w:type="dxa"/>
            </w:tcMar>
            <w:vAlign w:val="center"/>
          </w:tcPr>
          <w:p>
            <w:pPr>
              <w:spacing w:after="0" w:line="240" w:lineRule="auto"/>
            </w:pPr>
            <w:r>
              <w:rPr>
                <w:color w:val="16212B"/>
                <w:sz w:val="17"/>
              </w:rPr>
              <w:t>Color SHALL NOT be the sole means of conveying value-flow class, confidence, error, classification, or analytical state.</w:t>
            </w:r>
          </w:p>
        </w:tc>
      </w:tr>
      <w:tr>
        <w:tc>
          <w:tcPr>
            <w:tcW w:type="dxa" w:w="1440"/>
            <w:tcMar>
              <w:top w:w="100" w:type="dxa"/>
              <w:start w:w="120" w:type="dxa"/>
              <w:bottom w:w="100" w:type="dxa"/>
              <w:end w:w="120" w:type="dxa"/>
            </w:tcMar>
            <w:vAlign w:val="center"/>
          </w:tcPr>
          <w:p>
            <w:pPr>
              <w:spacing w:after="0" w:line="240" w:lineRule="auto"/>
            </w:pPr>
            <w:r>
              <w:rPr>
                <w:color w:val="16212B"/>
                <w:sz w:val="17"/>
              </w:rPr>
              <w:t>DS-020</w:t>
            </w:r>
          </w:p>
        </w:tc>
        <w:tc>
          <w:tcPr>
            <w:tcW w:type="dxa" w:w="8208"/>
            <w:tcMar>
              <w:top w:w="100" w:type="dxa"/>
              <w:start w:w="120" w:type="dxa"/>
              <w:bottom w:w="100" w:type="dxa"/>
              <w:end w:w="120" w:type="dxa"/>
            </w:tcMar>
            <w:vAlign w:val="center"/>
          </w:tcPr>
          <w:p>
            <w:pPr>
              <w:spacing w:after="0" w:line="240" w:lineRule="auto"/>
            </w:pPr>
            <w:r>
              <w:rPr>
                <w:color w:val="16212B"/>
                <w:sz w:val="17"/>
              </w:rPr>
              <w:t>Motion SHALL respect reduced-motion preferences and SHALL NOT be required to perceive state changes.</w:t>
            </w:r>
          </w:p>
        </w:tc>
      </w:tr>
    </w:tbl>
    <w:p>
      <w:pPr>
        <w:spacing w:after="0"/>
      </w:pPr>
    </w:p>
    <w:p>
      <w:pPr>
        <w:pStyle w:val="Heading2"/>
      </w:pPr>
      <w:r>
        <w:t>24.1 Minimum target sizes</w:t>
      </w:r>
    </w:p>
    <w:p>
      <w:pPr>
        <w:pStyle w:val="ListBullet"/>
        <w:spacing w:after="40" w:line="259" w:lineRule="auto"/>
      </w:pPr>
      <w:r>
        <w:rPr>
          <w:sz w:val="20"/>
        </w:rPr>
        <w:t>Primary pointer targets SHOULD be approximately 40×40 CSS px or larger where practical.</w:t>
      </w:r>
    </w:p>
    <w:p>
      <w:pPr>
        <w:pStyle w:val="ListBullet"/>
        <w:spacing w:after="40" w:line="259" w:lineRule="auto"/>
      </w:pPr>
      <w:r>
        <w:rPr>
          <w:sz w:val="20"/>
        </w:rPr>
        <w:t>Compact data-grid controls MAY be smaller when keyboard access and sufficient spacing are preserved.</w:t>
      </w:r>
    </w:p>
    <w:p>
      <w:pPr>
        <w:pStyle w:val="ListBullet"/>
        <w:spacing w:after="40" w:line="259" w:lineRule="auto"/>
      </w:pPr>
      <w:r>
        <w:rPr>
          <w:sz w:val="20"/>
        </w:rPr>
        <w:t>Icons used alone as controls require accessible names and tooltips/help where meaning is not universally clear.</w:t>
      </w:r>
    </w:p>
    <w:p>
      <w:pPr>
        <w:pStyle w:val="Heading1"/>
      </w:pPr>
      <w:r>
        <w:t>25. Motion and Transition</w:t>
      </w:r>
    </w:p>
    <w:p>
      <w:pPr>
        <w:pStyle w:val="ListBullet"/>
        <w:spacing w:after="40" w:line="259" w:lineRule="auto"/>
      </w:pPr>
      <w:r>
        <w:rPr>
          <w:sz w:val="20"/>
        </w:rPr>
        <w:t>Motion is functional, not decorative.</w:t>
      </w:r>
    </w:p>
    <w:p>
      <w:pPr>
        <w:pStyle w:val="ListBullet"/>
        <w:spacing w:after="40" w:line="259" w:lineRule="auto"/>
      </w:pPr>
      <w:r>
        <w:rPr>
          <w:sz w:val="20"/>
        </w:rPr>
        <w:t>Use short transitions for panel expansion, selection, and context preservation.</w:t>
      </w:r>
    </w:p>
    <w:p>
      <w:pPr>
        <w:pStyle w:val="ListBullet"/>
        <w:spacing w:after="40" w:line="259" w:lineRule="auto"/>
      </w:pPr>
      <w:r>
        <w:rPr>
          <w:sz w:val="20"/>
        </w:rPr>
        <w:t>Avoid pulsing/flashing “risk” indicators.</w:t>
      </w:r>
    </w:p>
    <w:p>
      <w:pPr>
        <w:pStyle w:val="ListBullet"/>
        <w:spacing w:after="40" w:line="259" w:lineRule="auto"/>
      </w:pPr>
      <w:r>
        <w:rPr>
          <w:sz w:val="20"/>
        </w:rPr>
        <w:t>Async completion SHOULD use stable confirmation and not rely only on transient animation.</w:t>
      </w:r>
    </w:p>
    <w:p>
      <w:pPr>
        <w:pStyle w:val="ListBullet"/>
        <w:spacing w:after="40" w:line="259" w:lineRule="auto"/>
      </w:pPr>
      <w:r>
        <w:rPr>
          <w:sz w:val="20"/>
        </w:rPr>
        <w:t>Reduced-motion mode SHALL remove non-essential animation.</w:t>
      </w:r>
    </w:p>
    <w:p>
      <w:r>
        <w:br w:type="page"/>
      </w:r>
    </w:p>
    <w:p>
      <w:pPr>
        <w:pStyle w:val="Heading1"/>
      </w:pPr>
      <w:r>
        <w:t>26. Frontend Implementation Conventions</w:t>
      </w:r>
    </w:p>
    <w:p>
      <w:pPr>
        <w:spacing w:after="100" w:line="269" w:lineRule="auto"/>
      </w:pPr>
      <w:r>
        <w:rPr>
          <w:sz w:val="21"/>
        </w:rPr>
        <w:t>The reference MVP frontend is React + TypeScript + Tailwind CSS 4. The design system SHOULD expose semantic tokens as CSS custom properties and reusable typed components. Raw Tailwind utility combinations SHOULD NOT become de facto component definitions scattered across features.</w:t>
      </w:r>
    </w:p>
    <w:p>
      <w:pPr>
        <w:pStyle w:val="Heading2"/>
      </w:pPr>
      <w:r>
        <w:t>26.1 Reference structure</w:t>
      </w:r>
    </w:p>
    <w:p>
      <w:pPr>
        <w:ind w:left="288"/>
      </w:pPr>
      <w:r>
        <w:rPr>
          <w:rFonts w:ascii="Aptos Mono" w:hAnsi="Aptos Mono"/>
          <w:sz w:val="18"/>
        </w:rPr>
        <w:t>frontend/</w:t>
        <w:br/>
        <w:t xml:space="preserve">  src/</w:t>
        <w:br/>
        <w:t xml:space="preserve">    design-system/</w:t>
        <w:br/>
        <w:t xml:space="preserve">      tokens/</w:t>
        <w:br/>
        <w:t xml:space="preserve">      components/</w:t>
        <w:br/>
        <w:t xml:space="preserve">      patterns/</w:t>
        <w:br/>
        <w:t xml:space="preserve">      icons/</w:t>
        <w:br/>
        <w:t xml:space="preserve">      styles/</w:t>
        <w:br/>
        <w:t xml:space="preserve">      tests/</w:t>
        <w:br/>
        <w:t xml:space="preserve">      index.ts</w:t>
        <w:br/>
        <w:t xml:space="preserve">    features/</w:t>
        <w:br/>
        <w:t xml:space="preserve">      cases/</w:t>
        <w:br/>
        <w:t xml:space="preserve">      evidence/</w:t>
        <w:br/>
        <w:t xml:space="preserve">      entities/</w:t>
        <w:br/>
        <w:t xml:space="preserve">      analysis/</w:t>
        <w:br/>
        <w:t xml:space="preserve">      products/</w:t>
        <w:br/>
      </w:r>
    </w:p>
    <w:p>
      <w:pPr>
        <w:pStyle w:val="Heading2"/>
      </w:pPr>
      <w:r>
        <w:t>26.2 CSS variable examples</w:t>
      </w:r>
    </w:p>
    <w:p>
      <w:pPr>
        <w:ind w:left="288"/>
      </w:pPr>
      <w:r>
        <w:rPr>
          <w:rFonts w:ascii="Aptos Mono" w:hAnsi="Aptos Mono"/>
          <w:sz w:val="18"/>
        </w:rPr>
        <w:t>--color-text-primary: #16212B;</w:t>
        <w:br/>
        <w:t>--color-surface-canvas: #F7F9FB;</w:t>
        <w:br/>
        <w:t>--color-border-default: #D7DEE5;</w:t>
        <w:br/>
        <w:t>--color-action-primary: #285C8E;</w:t>
        <w:br/>
        <w:t>--color-state-error: #A13333;</w:t>
        <w:br/>
        <w:t>--flow-direct-style: solid;</w:t>
        <w:br/>
        <w:t>--flow-reconstructed-style: dashed;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7324D"/>
            <w:tcMar>
              <w:top w:w="100" w:type="dxa"/>
              <w:start w:w="120" w:type="dxa"/>
              <w:bottom w:w="100" w:type="dxa"/>
              <w:end w:w="120" w:type="dxa"/>
            </w:tcMar>
            <w:vAlign w:val="center"/>
          </w:tcPr>
          <w:p>
            <w:pPr>
              <w:jc w:val="center"/>
            </w:pPr>
            <w:r>
              <w:rPr>
                <w:b/>
                <w:color w:val="FFFFFF"/>
                <w:sz w:val="18"/>
              </w:rPr>
              <w:t>ID</w:t>
            </w:r>
          </w:p>
        </w:tc>
        <w:tc>
          <w:tcPr>
            <w:tcW w:type="dxa" w:w="8208"/>
            <w:shd w:fill="17324D"/>
            <w:tcMar>
              <w:top w:w="100" w:type="dxa"/>
              <w:start w:w="120" w:type="dxa"/>
              <w:bottom w:w="100" w:type="dxa"/>
              <w:end w:w="120" w:type="dxa"/>
            </w:tcMar>
            <w:vAlign w:val="center"/>
          </w:tcPr>
          <w:p>
            <w:pPr>
              <w:jc w:val="center"/>
            </w:pPr>
            <w:r>
              <w:rPr>
                <w:b/>
                <w:color w:val="FFFFFF"/>
                <w:sz w:val="18"/>
              </w:rPr>
              <w:t>Requirement</w:t>
            </w:r>
          </w:p>
        </w:tc>
      </w:tr>
      <w:tr>
        <w:tc>
          <w:tcPr>
            <w:tcW w:type="dxa" w:w="1440"/>
            <w:tcMar>
              <w:top w:w="100" w:type="dxa"/>
              <w:start w:w="120" w:type="dxa"/>
              <w:bottom w:w="100" w:type="dxa"/>
              <w:end w:w="120" w:type="dxa"/>
            </w:tcMar>
            <w:vAlign w:val="center"/>
          </w:tcPr>
          <w:p>
            <w:pPr>
              <w:spacing w:after="0" w:line="240" w:lineRule="auto"/>
            </w:pPr>
            <w:r>
              <w:rPr>
                <w:color w:val="16212B"/>
                <w:sz w:val="18"/>
              </w:rPr>
              <w:t>DS-021</w:t>
            </w:r>
          </w:p>
        </w:tc>
        <w:tc>
          <w:tcPr>
            <w:tcW w:type="dxa" w:w="8208"/>
            <w:tcMar>
              <w:top w:w="100" w:type="dxa"/>
              <w:start w:w="120" w:type="dxa"/>
              <w:bottom w:w="100" w:type="dxa"/>
              <w:end w:w="120" w:type="dxa"/>
            </w:tcMar>
            <w:vAlign w:val="center"/>
          </w:tcPr>
          <w:p>
            <w:pPr>
              <w:spacing w:after="0" w:line="240" w:lineRule="auto"/>
            </w:pPr>
            <w:r>
              <w:rPr>
                <w:color w:val="16212B"/>
                <w:sz w:val="18"/>
              </w:rPr>
              <w:t>Feature modules SHOULD consume design-system components before creating local equivalents.</w:t>
            </w:r>
          </w:p>
        </w:tc>
      </w:tr>
      <w:tr>
        <w:tc>
          <w:tcPr>
            <w:tcW w:type="dxa" w:w="1440"/>
            <w:tcMar>
              <w:top w:w="100" w:type="dxa"/>
              <w:start w:w="120" w:type="dxa"/>
              <w:bottom w:w="100" w:type="dxa"/>
              <w:end w:w="120" w:type="dxa"/>
            </w:tcMar>
            <w:vAlign w:val="center"/>
          </w:tcPr>
          <w:p>
            <w:pPr>
              <w:spacing w:after="0" w:line="240" w:lineRule="auto"/>
            </w:pPr>
            <w:r>
              <w:rPr>
                <w:color w:val="16212B"/>
                <w:sz w:val="18"/>
              </w:rPr>
              <w:t>DS-022</w:t>
            </w:r>
          </w:p>
        </w:tc>
        <w:tc>
          <w:tcPr>
            <w:tcW w:type="dxa" w:w="8208"/>
            <w:tcMar>
              <w:top w:w="100" w:type="dxa"/>
              <w:start w:w="120" w:type="dxa"/>
              <w:bottom w:w="100" w:type="dxa"/>
              <w:end w:w="120" w:type="dxa"/>
            </w:tcMar>
            <w:vAlign w:val="center"/>
          </w:tcPr>
          <w:p>
            <w:pPr>
              <w:spacing w:after="0" w:line="240" w:lineRule="auto"/>
            </w:pPr>
            <w:r>
              <w:rPr>
                <w:color w:val="16212B"/>
                <w:sz w:val="18"/>
              </w:rPr>
              <w:t>Design-system components SHALL expose typed variants for analytical/status semantics rather than arbitrary color props.</w:t>
            </w:r>
          </w:p>
        </w:tc>
      </w:tr>
      <w:tr>
        <w:tc>
          <w:tcPr>
            <w:tcW w:type="dxa" w:w="1440"/>
            <w:tcMar>
              <w:top w:w="100" w:type="dxa"/>
              <w:start w:w="120" w:type="dxa"/>
              <w:bottom w:w="100" w:type="dxa"/>
              <w:end w:w="120" w:type="dxa"/>
            </w:tcMar>
            <w:vAlign w:val="center"/>
          </w:tcPr>
          <w:p>
            <w:pPr>
              <w:spacing w:after="0" w:line="240" w:lineRule="auto"/>
            </w:pPr>
            <w:r>
              <w:rPr>
                <w:color w:val="16212B"/>
                <w:sz w:val="18"/>
              </w:rPr>
              <w:t>DS-023</w:t>
            </w:r>
          </w:p>
        </w:tc>
        <w:tc>
          <w:tcPr>
            <w:tcW w:type="dxa" w:w="8208"/>
            <w:tcMar>
              <w:top w:w="100" w:type="dxa"/>
              <w:start w:w="120" w:type="dxa"/>
              <w:bottom w:w="100" w:type="dxa"/>
              <w:end w:w="120" w:type="dxa"/>
            </w:tcMar>
            <w:vAlign w:val="center"/>
          </w:tcPr>
          <w:p>
            <w:pPr>
              <w:spacing w:after="0" w:line="240" w:lineRule="auto"/>
            </w:pPr>
            <w:r>
              <w:rPr>
                <w:color w:val="16212B"/>
                <w:sz w:val="18"/>
              </w:rPr>
              <w:t>Raw hex values SHOULD NOT appear in feature-level production code except documented exceptional cases.</w:t>
            </w:r>
          </w:p>
        </w:tc>
      </w:tr>
      <w:tr>
        <w:tc>
          <w:tcPr>
            <w:tcW w:type="dxa" w:w="1440"/>
            <w:tcMar>
              <w:top w:w="100" w:type="dxa"/>
              <w:start w:w="120" w:type="dxa"/>
              <w:bottom w:w="100" w:type="dxa"/>
              <w:end w:w="120" w:type="dxa"/>
            </w:tcMar>
            <w:vAlign w:val="center"/>
          </w:tcPr>
          <w:p>
            <w:pPr>
              <w:spacing w:after="0" w:line="240" w:lineRule="auto"/>
            </w:pPr>
            <w:r>
              <w:rPr>
                <w:color w:val="16212B"/>
                <w:sz w:val="18"/>
              </w:rPr>
              <w:t>DS-024</w:t>
            </w:r>
          </w:p>
        </w:tc>
        <w:tc>
          <w:tcPr>
            <w:tcW w:type="dxa" w:w="8208"/>
            <w:tcMar>
              <w:top w:w="100" w:type="dxa"/>
              <w:start w:w="120" w:type="dxa"/>
              <w:bottom w:w="100" w:type="dxa"/>
              <w:end w:w="120" w:type="dxa"/>
            </w:tcMar>
            <w:vAlign w:val="center"/>
          </w:tcPr>
          <w:p>
            <w:pPr>
              <w:spacing w:after="0" w:line="240" w:lineRule="auto"/>
            </w:pPr>
            <w:r>
              <w:rPr>
                <w:color w:val="16212B"/>
                <w:sz w:val="18"/>
              </w:rPr>
              <w:t>Component accessibility tests SHALL be included in CI for critical components.</w:t>
            </w:r>
          </w:p>
        </w:tc>
      </w:tr>
      <w:tr>
        <w:tc>
          <w:tcPr>
            <w:tcW w:type="dxa" w:w="1440"/>
            <w:tcMar>
              <w:top w:w="100" w:type="dxa"/>
              <w:start w:w="120" w:type="dxa"/>
              <w:bottom w:w="100" w:type="dxa"/>
              <w:end w:w="120" w:type="dxa"/>
            </w:tcMar>
            <w:vAlign w:val="center"/>
          </w:tcPr>
          <w:p>
            <w:pPr>
              <w:spacing w:after="0" w:line="240" w:lineRule="auto"/>
            </w:pPr>
            <w:r>
              <w:rPr>
                <w:color w:val="16212B"/>
                <w:sz w:val="18"/>
              </w:rPr>
              <w:t>DS-025</w:t>
            </w:r>
          </w:p>
        </w:tc>
        <w:tc>
          <w:tcPr>
            <w:tcW w:type="dxa" w:w="8208"/>
            <w:tcMar>
              <w:top w:w="100" w:type="dxa"/>
              <w:start w:w="120" w:type="dxa"/>
              <w:bottom w:w="100" w:type="dxa"/>
              <w:end w:w="120" w:type="dxa"/>
            </w:tcMar>
            <w:vAlign w:val="center"/>
          </w:tcPr>
          <w:p>
            <w:pPr>
              <w:spacing w:after="0" w:line="240" w:lineRule="auto"/>
            </w:pPr>
            <w:r>
              <w:rPr>
                <w:color w:val="16212B"/>
                <w:sz w:val="18"/>
              </w:rPr>
              <w:t>Breaking component/token changes SHALL follow versioning and migration notes.</w:t>
            </w:r>
          </w:p>
        </w:tc>
      </w:tr>
    </w:tbl>
    <w:p>
      <w:pPr>
        <w:spacing w:after="0"/>
      </w:pPr>
    </w:p>
    <w:p>
      <w:pPr>
        <w:pStyle w:val="Heading1"/>
      </w:pPr>
      <w:r>
        <w:t>27. Component API and Composition Rules</w:t>
      </w:r>
    </w:p>
    <w:p>
      <w:pPr>
        <w:pStyle w:val="ListBullet"/>
        <w:spacing w:after="40" w:line="259" w:lineRule="auto"/>
      </w:pPr>
      <w:r>
        <w:rPr>
          <w:sz w:val="20"/>
        </w:rPr>
        <w:t>Prefer semantic props: `state="disputed"`, `flowClass="reconstructed"`, `classification="restricted"` rather than `color="orange"`.</w:t>
      </w:r>
    </w:p>
    <w:p>
      <w:pPr>
        <w:pStyle w:val="ListBullet"/>
        <w:spacing w:after="40" w:line="259" w:lineRule="auto"/>
      </w:pPr>
      <w:r>
        <w:rPr>
          <w:sz w:val="20"/>
        </w:rPr>
        <w:t>Components SHOULD expose slots/composition points for provenance and metadata without requiring feature forks.</w:t>
      </w:r>
    </w:p>
    <w:p>
      <w:pPr>
        <w:pStyle w:val="ListBullet"/>
        <w:spacing w:after="40" w:line="259" w:lineRule="auto"/>
      </w:pPr>
      <w:r>
        <w:rPr>
          <w:sz w:val="20"/>
        </w:rPr>
        <w:t>Critical components SHALL support loading, error, empty, read-only, restricted, and disabled states where applicable.</w:t>
      </w:r>
    </w:p>
    <w:p>
      <w:pPr>
        <w:pStyle w:val="ListBullet"/>
        <w:spacing w:after="40" w:line="259" w:lineRule="auto"/>
      </w:pPr>
      <w:r>
        <w:rPr>
          <w:sz w:val="20"/>
        </w:rPr>
        <w:t>Component defaults SHALL be safe: destructive variants are opt-in; unrestricted data exposure is never a visual default.</w:t>
      </w:r>
    </w:p>
    <w:p>
      <w:pPr>
        <w:pStyle w:val="ListBullet"/>
        <w:spacing w:after="40" w:line="259" w:lineRule="auto"/>
      </w:pPr>
      <w:r>
        <w:rPr>
          <w:sz w:val="20"/>
        </w:rPr>
        <w:t>UI copy belongs to product/feature layer except universal design-system labels such as generic loading/error affordances.</w:t>
      </w:r>
    </w:p>
    <w:p>
      <w:pPr>
        <w:pStyle w:val="Heading1"/>
      </w:pPr>
      <w:r>
        <w:t>28. Design-System Verification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24D"/>
            <w:tcMar>
              <w:top w:w="100" w:type="dxa"/>
              <w:start w:w="120" w:type="dxa"/>
              <w:bottom w:w="100" w:type="dxa"/>
              <w:end w:w="120" w:type="dxa"/>
            </w:tcMar>
            <w:vAlign w:val="center"/>
          </w:tcPr>
          <w:p>
            <w:pPr>
              <w:jc w:val="center"/>
            </w:pPr>
            <w:r>
              <w:rPr>
                <w:b/>
                <w:color w:val="FFFFFF"/>
                <w:sz w:val="18"/>
              </w:rPr>
              <w:t>Test class</w:t>
            </w:r>
          </w:p>
        </w:tc>
        <w:tc>
          <w:tcPr>
            <w:tcW w:type="dxa" w:w="7632"/>
            <w:shd w:fill="17324D"/>
            <w:tcMar>
              <w:top w:w="100" w:type="dxa"/>
              <w:start w:w="120" w:type="dxa"/>
              <w:bottom w:w="100" w:type="dxa"/>
              <w:end w:w="120" w:type="dxa"/>
            </w:tcMar>
            <w:vAlign w:val="center"/>
          </w:tcPr>
          <w:p>
            <w:pPr>
              <w:jc w:val="center"/>
            </w:pPr>
            <w:r>
              <w:rPr>
                <w:b/>
                <w:color w:val="FFFFFF"/>
                <w:sz w:val="18"/>
              </w:rPr>
              <w:t>Minimum verification</w:t>
            </w:r>
          </w:p>
        </w:tc>
      </w:tr>
      <w:tr>
        <w:tc>
          <w:tcPr>
            <w:tcW w:type="dxa" w:w="2160"/>
            <w:tcMar>
              <w:top w:w="100" w:type="dxa"/>
              <w:start w:w="120" w:type="dxa"/>
              <w:bottom w:w="100" w:type="dxa"/>
              <w:end w:w="120" w:type="dxa"/>
            </w:tcMar>
            <w:vAlign w:val="center"/>
          </w:tcPr>
          <w:p>
            <w:pPr>
              <w:spacing w:after="0" w:line="240" w:lineRule="auto"/>
            </w:pPr>
            <w:r>
              <w:rPr>
                <w:color w:val="16212B"/>
                <w:sz w:val="18"/>
              </w:rPr>
              <w:t>Visual regression</w:t>
            </w:r>
          </w:p>
        </w:tc>
        <w:tc>
          <w:tcPr>
            <w:tcW w:type="dxa" w:w="7632"/>
            <w:tcMar>
              <w:top w:w="100" w:type="dxa"/>
              <w:start w:w="120" w:type="dxa"/>
              <w:bottom w:w="100" w:type="dxa"/>
              <w:end w:w="120" w:type="dxa"/>
            </w:tcMar>
            <w:vAlign w:val="center"/>
          </w:tcPr>
          <w:p>
            <w:pPr>
              <w:spacing w:after="0" w:line="240" w:lineRule="auto"/>
            </w:pPr>
            <w:r>
              <w:rPr>
                <w:color w:val="16212B"/>
                <w:sz w:val="18"/>
              </w:rPr>
              <w:t>Critical components and analytical states at supported themes/viewports</w:t>
            </w:r>
          </w:p>
        </w:tc>
      </w:tr>
      <w:tr>
        <w:tc>
          <w:tcPr>
            <w:tcW w:type="dxa" w:w="2160"/>
            <w:tcMar>
              <w:top w:w="100" w:type="dxa"/>
              <w:start w:w="120" w:type="dxa"/>
              <w:bottom w:w="100" w:type="dxa"/>
              <w:end w:w="120" w:type="dxa"/>
            </w:tcMar>
            <w:vAlign w:val="center"/>
          </w:tcPr>
          <w:p>
            <w:pPr>
              <w:spacing w:after="0" w:line="240" w:lineRule="auto"/>
            </w:pPr>
            <w:r>
              <w:rPr>
                <w:color w:val="16212B"/>
                <w:sz w:val="18"/>
              </w:rPr>
              <w:t>Accessibility</w:t>
            </w:r>
          </w:p>
        </w:tc>
        <w:tc>
          <w:tcPr>
            <w:tcW w:type="dxa" w:w="7632"/>
            <w:tcMar>
              <w:top w:w="100" w:type="dxa"/>
              <w:start w:w="120" w:type="dxa"/>
              <w:bottom w:w="100" w:type="dxa"/>
              <w:end w:w="120" w:type="dxa"/>
            </w:tcMar>
            <w:vAlign w:val="center"/>
          </w:tcPr>
          <w:p>
            <w:pPr>
              <w:spacing w:after="0" w:line="240" w:lineRule="auto"/>
            </w:pPr>
            <w:r>
              <w:rPr>
                <w:color w:val="16212B"/>
                <w:sz w:val="18"/>
              </w:rPr>
              <w:t>Keyboard, focus, accessible name, semantics, contrast, color independence</w:t>
            </w:r>
          </w:p>
        </w:tc>
      </w:tr>
      <w:tr>
        <w:tc>
          <w:tcPr>
            <w:tcW w:type="dxa" w:w="2160"/>
            <w:tcMar>
              <w:top w:w="100" w:type="dxa"/>
              <w:start w:w="120" w:type="dxa"/>
              <w:bottom w:w="100" w:type="dxa"/>
              <w:end w:w="120" w:type="dxa"/>
            </w:tcMar>
            <w:vAlign w:val="center"/>
          </w:tcPr>
          <w:p>
            <w:pPr>
              <w:spacing w:after="0" w:line="240" w:lineRule="auto"/>
            </w:pPr>
            <w:r>
              <w:rPr>
                <w:color w:val="16212B"/>
                <w:sz w:val="18"/>
              </w:rPr>
              <w:t>State coverage</w:t>
            </w:r>
          </w:p>
        </w:tc>
        <w:tc>
          <w:tcPr>
            <w:tcW w:type="dxa" w:w="7632"/>
            <w:tcMar>
              <w:top w:w="100" w:type="dxa"/>
              <w:start w:w="120" w:type="dxa"/>
              <w:bottom w:w="100" w:type="dxa"/>
              <w:end w:w="120" w:type="dxa"/>
            </w:tcMar>
            <w:vAlign w:val="center"/>
          </w:tcPr>
          <w:p>
            <w:pPr>
              <w:spacing w:after="0" w:line="240" w:lineRule="auto"/>
            </w:pPr>
            <w:r>
              <w:rPr>
                <w:color w:val="16212B"/>
                <w:sz w:val="18"/>
              </w:rPr>
              <w:t>Default/hover/focus/disabled/loading/error/read-only/conflict where applicable</w:t>
            </w:r>
          </w:p>
        </w:tc>
      </w:tr>
      <w:tr>
        <w:tc>
          <w:tcPr>
            <w:tcW w:type="dxa" w:w="2160"/>
            <w:tcMar>
              <w:top w:w="100" w:type="dxa"/>
              <w:start w:w="120" w:type="dxa"/>
              <w:bottom w:w="100" w:type="dxa"/>
              <w:end w:w="120" w:type="dxa"/>
            </w:tcMar>
            <w:vAlign w:val="center"/>
          </w:tcPr>
          <w:p>
            <w:pPr>
              <w:spacing w:after="0" w:line="240" w:lineRule="auto"/>
            </w:pPr>
            <w:r>
              <w:rPr>
                <w:color w:val="16212B"/>
                <w:sz w:val="18"/>
              </w:rPr>
              <w:t>Responsive</w:t>
            </w:r>
          </w:p>
        </w:tc>
        <w:tc>
          <w:tcPr>
            <w:tcW w:type="dxa" w:w="7632"/>
            <w:tcMar>
              <w:top w:w="100" w:type="dxa"/>
              <w:start w:w="120" w:type="dxa"/>
              <w:bottom w:w="100" w:type="dxa"/>
              <w:end w:w="120" w:type="dxa"/>
            </w:tcMar>
            <w:vAlign w:val="center"/>
          </w:tcPr>
          <w:p>
            <w:pPr>
              <w:spacing w:after="0" w:line="240" w:lineRule="auto"/>
            </w:pPr>
            <w:r>
              <w:rPr>
                <w:color w:val="16212B"/>
                <w:sz w:val="18"/>
              </w:rPr>
              <w:t>Critical components at desktop/tablet/mobile baseline</w:t>
            </w:r>
          </w:p>
        </w:tc>
      </w:tr>
      <w:tr>
        <w:tc>
          <w:tcPr>
            <w:tcW w:type="dxa" w:w="2160"/>
            <w:tcMar>
              <w:top w:w="100" w:type="dxa"/>
              <w:start w:w="120" w:type="dxa"/>
              <w:bottom w:w="100" w:type="dxa"/>
              <w:end w:w="120" w:type="dxa"/>
            </w:tcMar>
            <w:vAlign w:val="center"/>
          </w:tcPr>
          <w:p>
            <w:pPr>
              <w:spacing w:after="0" w:line="240" w:lineRule="auto"/>
            </w:pPr>
            <w:r>
              <w:rPr>
                <w:color w:val="16212B"/>
                <w:sz w:val="18"/>
              </w:rPr>
              <w:t>Export parity</w:t>
            </w:r>
          </w:p>
        </w:tc>
        <w:tc>
          <w:tcPr>
            <w:tcW w:type="dxa" w:w="7632"/>
            <w:tcMar>
              <w:top w:w="100" w:type="dxa"/>
              <w:start w:w="120" w:type="dxa"/>
              <w:bottom w:w="100" w:type="dxa"/>
              <w:end w:w="120" w:type="dxa"/>
            </w:tcMar>
            <w:vAlign w:val="center"/>
          </w:tcPr>
          <w:p>
            <w:pPr>
              <w:spacing w:after="0" w:line="240" w:lineRule="auto"/>
            </w:pPr>
            <w:r>
              <w:rPr>
                <w:color w:val="16212B"/>
                <w:sz w:val="18"/>
              </w:rPr>
              <w:t>Value-flow classes and analytical labels survive PDF/screenshot/grayscale checks</w:t>
            </w:r>
          </w:p>
        </w:tc>
      </w:tr>
      <w:tr>
        <w:tc>
          <w:tcPr>
            <w:tcW w:type="dxa" w:w="2160"/>
            <w:tcMar>
              <w:top w:w="100" w:type="dxa"/>
              <w:start w:w="120" w:type="dxa"/>
              <w:bottom w:w="100" w:type="dxa"/>
              <w:end w:w="120" w:type="dxa"/>
            </w:tcMar>
            <w:vAlign w:val="center"/>
          </w:tcPr>
          <w:p>
            <w:pPr>
              <w:spacing w:after="0" w:line="240" w:lineRule="auto"/>
            </w:pPr>
            <w:r>
              <w:rPr>
                <w:color w:val="16212B"/>
                <w:sz w:val="18"/>
              </w:rPr>
              <w:t>Semantic consistency</w:t>
            </w:r>
          </w:p>
        </w:tc>
        <w:tc>
          <w:tcPr>
            <w:tcW w:type="dxa" w:w="7632"/>
            <w:tcMar>
              <w:top w:w="100" w:type="dxa"/>
              <w:start w:w="120" w:type="dxa"/>
              <w:bottom w:w="100" w:type="dxa"/>
              <w:end w:w="120" w:type="dxa"/>
            </w:tcMar>
            <w:vAlign w:val="center"/>
          </w:tcPr>
          <w:p>
            <w:pPr>
              <w:spacing w:after="0" w:line="240" w:lineRule="auto"/>
            </w:pPr>
            <w:r>
              <w:rPr>
                <w:color w:val="16212B"/>
                <w:sz w:val="18"/>
              </w:rPr>
              <w:t>Same domain state maps to same token/component across features</w:t>
            </w:r>
          </w:p>
        </w:tc>
      </w:tr>
      <w:tr>
        <w:tc>
          <w:tcPr>
            <w:tcW w:type="dxa" w:w="2160"/>
            <w:tcMar>
              <w:top w:w="100" w:type="dxa"/>
              <w:start w:w="120" w:type="dxa"/>
              <w:bottom w:w="100" w:type="dxa"/>
              <w:end w:w="120" w:type="dxa"/>
            </w:tcMar>
            <w:vAlign w:val="center"/>
          </w:tcPr>
          <w:p>
            <w:pPr>
              <w:spacing w:after="0" w:line="240" w:lineRule="auto"/>
            </w:pPr>
            <w:r>
              <w:rPr>
                <w:color w:val="16212B"/>
                <w:sz w:val="18"/>
              </w:rPr>
              <w:t>Security leakage</w:t>
            </w:r>
          </w:p>
        </w:tc>
        <w:tc>
          <w:tcPr>
            <w:tcW w:type="dxa" w:w="7632"/>
            <w:tcMar>
              <w:top w:w="100" w:type="dxa"/>
              <w:start w:w="120" w:type="dxa"/>
              <w:bottom w:w="100" w:type="dxa"/>
              <w:end w:w="120" w:type="dxa"/>
            </w:tcMar>
            <w:vAlign w:val="center"/>
          </w:tcPr>
          <w:p>
            <w:pPr>
              <w:spacing w:after="0" w:line="240" w:lineRule="auto"/>
            </w:pPr>
            <w:r>
              <w:rPr>
                <w:color w:val="16212B"/>
                <w:sz w:val="18"/>
              </w:rPr>
              <w:t>Restricted/protected states do not expose hidden labels or counts in shared components</w:t>
            </w:r>
          </w:p>
        </w:tc>
      </w:tr>
    </w:tbl>
    <w:p>
      <w:pPr>
        <w:spacing w:after="0"/>
      </w:pPr>
    </w:p>
    <w:p>
      <w:pPr>
        <w:pStyle w:val="Heading2"/>
      </w:pPr>
      <w:r>
        <w:t>28.1 Component Definition of Done</w:t>
      </w:r>
    </w:p>
    <w:p>
      <w:pPr>
        <w:pStyle w:val="ListBullet"/>
        <w:spacing w:after="40" w:line="259" w:lineRule="auto"/>
      </w:pPr>
      <w:r>
        <w:rPr>
          <w:sz w:val="20"/>
        </w:rPr>
        <w:t>Semantic purpose and variants documented.</w:t>
      </w:r>
    </w:p>
    <w:p>
      <w:pPr>
        <w:pStyle w:val="ListBullet"/>
        <w:spacing w:after="40" w:line="259" w:lineRule="auto"/>
      </w:pPr>
      <w:r>
        <w:rPr>
          <w:sz w:val="20"/>
        </w:rPr>
        <w:t>Accessible name/role/state behaviour defined.</w:t>
      </w:r>
    </w:p>
    <w:p>
      <w:pPr>
        <w:pStyle w:val="ListBullet"/>
        <w:spacing w:after="40" w:line="259" w:lineRule="auto"/>
      </w:pPr>
      <w:r>
        <w:rPr>
          <w:sz w:val="20"/>
        </w:rPr>
        <w:t>Keyboard/focus verified.</w:t>
      </w:r>
    </w:p>
    <w:p>
      <w:pPr>
        <w:pStyle w:val="ListBullet"/>
        <w:spacing w:after="40" w:line="259" w:lineRule="auto"/>
      </w:pPr>
      <w:r>
        <w:rPr>
          <w:sz w:val="20"/>
        </w:rPr>
        <w:t>Critical states implemented.</w:t>
      </w:r>
    </w:p>
    <w:p>
      <w:pPr>
        <w:pStyle w:val="ListBullet"/>
        <w:spacing w:after="40" w:line="259" w:lineRule="auto"/>
      </w:pPr>
      <w:r>
        <w:rPr>
          <w:sz w:val="20"/>
        </w:rPr>
        <w:t>No feature-specific raw color dependency.</w:t>
      </w:r>
    </w:p>
    <w:p>
      <w:pPr>
        <w:pStyle w:val="ListBullet"/>
        <w:spacing w:after="40" w:line="259" w:lineRule="auto"/>
      </w:pPr>
      <w:r>
        <w:rPr>
          <w:sz w:val="20"/>
        </w:rPr>
        <w:t>Visual regression baseline stored.</w:t>
      </w:r>
    </w:p>
    <w:p>
      <w:pPr>
        <w:pStyle w:val="ListBullet"/>
        <w:spacing w:after="40" w:line="259" w:lineRule="auto"/>
      </w:pPr>
      <w:r>
        <w:rPr>
          <w:sz w:val="20"/>
        </w:rPr>
        <w:t>Usage example available.</w:t>
      </w:r>
    </w:p>
    <w:p>
      <w:pPr>
        <w:pStyle w:val="ListBullet"/>
        <w:spacing w:after="40" w:line="259" w:lineRule="auto"/>
      </w:pPr>
      <w:r>
        <w:rPr>
          <w:sz w:val="20"/>
        </w:rPr>
        <w:t>Relevant analytical/provenance semantics tested.</w:t>
      </w:r>
    </w:p>
    <w:p>
      <w:pPr>
        <w:pStyle w:val="ListBullet"/>
        <w:spacing w:after="40" w:line="259" w:lineRule="auto"/>
      </w:pPr>
      <w:r>
        <w:rPr>
          <w:sz w:val="20"/>
        </w:rPr>
        <w:t>No contradiction with UX/IA/wireframe specifications.</w:t>
      </w:r>
    </w:p>
    <w:p>
      <w:pPr>
        <w:pStyle w:val="Heading1"/>
      </w:pPr>
      <w:r>
        <w:t>29. Design-System Governance</w:t>
      </w:r>
    </w:p>
    <w:p>
      <w:pPr>
        <w:spacing w:after="100" w:line="269" w:lineRule="auto"/>
      </w:pPr>
      <w:r>
        <w:rPr>
          <w:sz w:val="21"/>
        </w:rPr>
        <w:t>The design system is a shared product asset. Visual changes that alter analytical meaning or safety require domain review; purely cosmetic changes still require accessibility and consistency review.</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1"/>
            <w:shd w:fill="17324D"/>
            <w:tcMar>
              <w:top w:w="100" w:type="dxa"/>
              <w:start w:w="120" w:type="dxa"/>
              <w:bottom w:w="100" w:type="dxa"/>
              <w:end w:w="120" w:type="dxa"/>
            </w:tcMar>
            <w:vAlign w:val="center"/>
          </w:tcPr>
          <w:p>
            <w:pPr>
              <w:jc w:val="center"/>
            </w:pPr>
            <w:r>
              <w:rPr>
                <w:b/>
                <w:color w:val="FFFFFF"/>
                <w:sz w:val="18"/>
              </w:rPr>
              <w:t>Change type</w:t>
            </w:r>
          </w:p>
        </w:tc>
        <w:tc>
          <w:tcPr>
            <w:tcW w:type="dxa" w:w="6480"/>
            <w:shd w:fill="17324D"/>
            <w:tcMar>
              <w:top w:w="100" w:type="dxa"/>
              <w:start w:w="120" w:type="dxa"/>
              <w:bottom w:w="100" w:type="dxa"/>
              <w:end w:w="120" w:type="dxa"/>
            </w:tcMar>
            <w:vAlign w:val="center"/>
          </w:tcPr>
          <w:p>
            <w:pPr>
              <w:jc w:val="center"/>
            </w:pPr>
            <w:r>
              <w:rPr>
                <w:b/>
                <w:color w:val="FFFFFF"/>
                <w:sz w:val="18"/>
              </w:rPr>
              <w:t>Required review</w:t>
            </w:r>
          </w:p>
        </w:tc>
      </w:tr>
      <w:tr>
        <w:tc>
          <w:tcPr>
            <w:tcW w:type="dxa" w:w="3311"/>
            <w:tcMar>
              <w:top w:w="100" w:type="dxa"/>
              <w:start w:w="120" w:type="dxa"/>
              <w:bottom w:w="100" w:type="dxa"/>
              <w:end w:w="120" w:type="dxa"/>
            </w:tcMar>
            <w:vAlign w:val="center"/>
          </w:tcPr>
          <w:p>
            <w:pPr>
              <w:spacing w:after="0" w:line="240" w:lineRule="auto"/>
            </w:pPr>
            <w:r>
              <w:rPr>
                <w:color w:val="16212B"/>
                <w:sz w:val="18"/>
              </w:rPr>
              <w:t>New primitive token</w:t>
            </w:r>
          </w:p>
        </w:tc>
        <w:tc>
          <w:tcPr>
            <w:tcW w:type="dxa" w:w="6480"/>
            <w:tcMar>
              <w:top w:w="100" w:type="dxa"/>
              <w:start w:w="120" w:type="dxa"/>
              <w:bottom w:w="100" w:type="dxa"/>
              <w:end w:w="120" w:type="dxa"/>
            </w:tcMar>
            <w:vAlign w:val="center"/>
          </w:tcPr>
          <w:p>
            <w:pPr>
              <w:spacing w:after="0" w:line="240" w:lineRule="auto"/>
            </w:pPr>
            <w:r>
              <w:rPr>
                <w:color w:val="16212B"/>
                <w:sz w:val="18"/>
              </w:rPr>
              <w:t>Design-system owner</w:t>
            </w:r>
          </w:p>
        </w:tc>
      </w:tr>
      <w:tr>
        <w:tc>
          <w:tcPr>
            <w:tcW w:type="dxa" w:w="3311"/>
            <w:tcMar>
              <w:top w:w="100" w:type="dxa"/>
              <w:start w:w="120" w:type="dxa"/>
              <w:bottom w:w="100" w:type="dxa"/>
              <w:end w:w="120" w:type="dxa"/>
            </w:tcMar>
            <w:vAlign w:val="center"/>
          </w:tcPr>
          <w:p>
            <w:pPr>
              <w:spacing w:after="0" w:line="240" w:lineRule="auto"/>
            </w:pPr>
            <w:r>
              <w:rPr>
                <w:color w:val="16212B"/>
                <w:sz w:val="18"/>
              </w:rPr>
              <w:t>New semantic token</w:t>
            </w:r>
          </w:p>
        </w:tc>
        <w:tc>
          <w:tcPr>
            <w:tcW w:type="dxa" w:w="6480"/>
            <w:tcMar>
              <w:top w:w="100" w:type="dxa"/>
              <w:start w:w="120" w:type="dxa"/>
              <w:bottom w:w="100" w:type="dxa"/>
              <w:end w:w="120" w:type="dxa"/>
            </w:tcMar>
            <w:vAlign w:val="center"/>
          </w:tcPr>
          <w:p>
            <w:pPr>
              <w:spacing w:after="0" w:line="240" w:lineRule="auto"/>
            </w:pPr>
            <w:r>
              <w:rPr>
                <w:color w:val="16212B"/>
                <w:sz w:val="18"/>
              </w:rPr>
              <w:t>Design-system owner + UX</w:t>
            </w:r>
          </w:p>
        </w:tc>
      </w:tr>
      <w:tr>
        <w:tc>
          <w:tcPr>
            <w:tcW w:type="dxa" w:w="3311"/>
            <w:tcMar>
              <w:top w:w="100" w:type="dxa"/>
              <w:start w:w="120" w:type="dxa"/>
              <w:bottom w:w="100" w:type="dxa"/>
              <w:end w:w="120" w:type="dxa"/>
            </w:tcMar>
            <w:vAlign w:val="center"/>
          </w:tcPr>
          <w:p>
            <w:pPr>
              <w:spacing w:after="0" w:line="240" w:lineRule="auto"/>
            </w:pPr>
            <w:r>
              <w:rPr>
                <w:color w:val="16212B"/>
                <w:sz w:val="18"/>
              </w:rPr>
              <w:t>New analytical token/state</w:t>
            </w:r>
          </w:p>
        </w:tc>
        <w:tc>
          <w:tcPr>
            <w:tcW w:type="dxa" w:w="6480"/>
            <w:tcMar>
              <w:top w:w="100" w:type="dxa"/>
              <w:start w:w="120" w:type="dxa"/>
              <w:bottom w:w="100" w:type="dxa"/>
              <w:end w:w="120" w:type="dxa"/>
            </w:tcMar>
            <w:vAlign w:val="center"/>
          </w:tcPr>
          <w:p>
            <w:pPr>
              <w:spacing w:after="0" w:line="240" w:lineRule="auto"/>
            </w:pPr>
            <w:r>
              <w:rPr>
                <w:color w:val="16212B"/>
                <w:sz w:val="18"/>
              </w:rPr>
              <w:t>UX + domain/methodology owner + frontend</w:t>
            </w:r>
          </w:p>
        </w:tc>
      </w:tr>
      <w:tr>
        <w:tc>
          <w:tcPr>
            <w:tcW w:type="dxa" w:w="3311"/>
            <w:tcMar>
              <w:top w:w="100" w:type="dxa"/>
              <w:start w:w="120" w:type="dxa"/>
              <w:bottom w:w="100" w:type="dxa"/>
              <w:end w:w="120" w:type="dxa"/>
            </w:tcMar>
            <w:vAlign w:val="center"/>
          </w:tcPr>
          <w:p>
            <w:pPr>
              <w:spacing w:after="0" w:line="240" w:lineRule="auto"/>
            </w:pPr>
            <w:r>
              <w:rPr>
                <w:color w:val="16212B"/>
                <w:sz w:val="18"/>
              </w:rPr>
              <w:t>New reusable component</w:t>
            </w:r>
          </w:p>
        </w:tc>
        <w:tc>
          <w:tcPr>
            <w:tcW w:type="dxa" w:w="6480"/>
            <w:tcMar>
              <w:top w:w="100" w:type="dxa"/>
              <w:start w:w="120" w:type="dxa"/>
              <w:bottom w:w="100" w:type="dxa"/>
              <w:end w:w="120" w:type="dxa"/>
            </w:tcMar>
            <w:vAlign w:val="center"/>
          </w:tcPr>
          <w:p>
            <w:pPr>
              <w:spacing w:after="0" w:line="240" w:lineRule="auto"/>
            </w:pPr>
            <w:r>
              <w:rPr>
                <w:color w:val="16212B"/>
                <w:sz w:val="18"/>
              </w:rPr>
              <w:t>UX/design + frontend + accessibility/QA</w:t>
            </w:r>
          </w:p>
        </w:tc>
      </w:tr>
      <w:tr>
        <w:tc>
          <w:tcPr>
            <w:tcW w:type="dxa" w:w="3311"/>
            <w:tcMar>
              <w:top w:w="100" w:type="dxa"/>
              <w:start w:w="120" w:type="dxa"/>
              <w:bottom w:w="100" w:type="dxa"/>
              <w:end w:w="120" w:type="dxa"/>
            </w:tcMar>
            <w:vAlign w:val="center"/>
          </w:tcPr>
          <w:p>
            <w:pPr>
              <w:spacing w:after="0" w:line="240" w:lineRule="auto"/>
            </w:pPr>
            <w:r>
              <w:rPr>
                <w:color w:val="16212B"/>
                <w:sz w:val="18"/>
              </w:rPr>
              <w:t>Breaking visual semantic change</w:t>
            </w:r>
          </w:p>
        </w:tc>
        <w:tc>
          <w:tcPr>
            <w:tcW w:type="dxa" w:w="6480"/>
            <w:tcMar>
              <w:top w:w="100" w:type="dxa"/>
              <w:start w:w="120" w:type="dxa"/>
              <w:bottom w:w="100" w:type="dxa"/>
              <w:end w:w="120" w:type="dxa"/>
            </w:tcMar>
            <w:vAlign w:val="center"/>
          </w:tcPr>
          <w:p>
            <w:pPr>
              <w:spacing w:after="0" w:line="240" w:lineRule="auto"/>
            </w:pPr>
            <w:r>
              <w:rPr>
                <w:color w:val="16212B"/>
                <w:sz w:val="18"/>
              </w:rPr>
              <w:t>Product + UX + domain + QA; migration note</w:t>
            </w:r>
          </w:p>
        </w:tc>
      </w:tr>
      <w:tr>
        <w:tc>
          <w:tcPr>
            <w:tcW w:type="dxa" w:w="3311"/>
            <w:tcMar>
              <w:top w:w="100" w:type="dxa"/>
              <w:start w:w="120" w:type="dxa"/>
              <w:bottom w:w="100" w:type="dxa"/>
              <w:end w:w="120" w:type="dxa"/>
            </w:tcMar>
            <w:vAlign w:val="center"/>
          </w:tcPr>
          <w:p>
            <w:pPr>
              <w:spacing w:after="0" w:line="240" w:lineRule="auto"/>
            </w:pPr>
            <w:r>
              <w:rPr>
                <w:color w:val="16212B"/>
                <w:sz w:val="18"/>
              </w:rPr>
              <w:t>One-off feature override</w:t>
            </w:r>
          </w:p>
        </w:tc>
        <w:tc>
          <w:tcPr>
            <w:tcW w:type="dxa" w:w="6480"/>
            <w:tcMar>
              <w:top w:w="100" w:type="dxa"/>
              <w:start w:w="120" w:type="dxa"/>
              <w:bottom w:w="100" w:type="dxa"/>
              <w:end w:w="120" w:type="dxa"/>
            </w:tcMar>
            <w:vAlign w:val="center"/>
          </w:tcPr>
          <w:p>
            <w:pPr>
              <w:spacing w:after="0" w:line="240" w:lineRule="auto"/>
            </w:pPr>
            <w:r>
              <w:rPr>
                <w:color w:val="16212B"/>
                <w:sz w:val="18"/>
              </w:rPr>
              <w:t>Discouraged; justification required</w:t>
            </w:r>
          </w:p>
        </w:tc>
      </w:tr>
    </w:tbl>
    <w:p>
      <w:pPr>
        <w:spacing w:after="0"/>
      </w:pPr>
    </w:p>
    <w:p>
      <w:pPr>
        <w:pStyle w:val="Heading2"/>
      </w:pPr>
      <w:r>
        <w:t>29.1 Versioning</w:t>
      </w:r>
    </w:p>
    <w:p>
      <w:pPr>
        <w:pStyle w:val="ListBullet"/>
        <w:spacing w:after="40" w:line="259" w:lineRule="auto"/>
      </w:pPr>
      <w:r>
        <w:rPr>
          <w:sz w:val="20"/>
        </w:rPr>
        <w:t>v0.x may evolve while MVP is under active design, but analytical semantics require explicit change records.</w:t>
      </w:r>
    </w:p>
    <w:p>
      <w:pPr>
        <w:pStyle w:val="ListBullet"/>
        <w:spacing w:after="40" w:line="259" w:lineRule="auto"/>
      </w:pPr>
      <w:r>
        <w:rPr>
          <w:sz w:val="20"/>
        </w:rPr>
        <w:t>Removed tokens/components SHALL have a migration path where production usage exists.</w:t>
      </w:r>
    </w:p>
    <w:p>
      <w:pPr>
        <w:pStyle w:val="ListBullet"/>
        <w:spacing w:after="40" w:line="259" w:lineRule="auto"/>
      </w:pPr>
      <w:r>
        <w:rPr>
          <w:sz w:val="20"/>
        </w:rPr>
        <w:t>Component and token changelog SHOULD be maintained in repository documentation.</w:t>
      </w:r>
    </w:p>
    <w:p>
      <w:pPr>
        <w:pStyle w:val="ListBullet"/>
        <w:spacing w:after="40" w:line="259" w:lineRule="auto"/>
      </w:pPr>
      <w:r>
        <w:rPr>
          <w:sz w:val="20"/>
        </w:rPr>
        <w:t>Screen-specific visual exceptions SHOULD be documented rather than silently diverging.</w:t>
      </w:r>
    </w:p>
    <w:p>
      <w:pPr>
        <w:pStyle w:val="Heading1"/>
      </w:pPr>
      <w:r>
        <w:t>30. Traceability to CS-AML Product Surfaces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17324D"/>
            <w:tcMar>
              <w:top w:w="100" w:type="dxa"/>
              <w:start w:w="120" w:type="dxa"/>
              <w:bottom w:w="100" w:type="dxa"/>
              <w:end w:w="120" w:type="dxa"/>
            </w:tcMar>
            <w:vAlign w:val="center"/>
          </w:tcPr>
          <w:p>
            <w:pPr>
              <w:jc w:val="center"/>
            </w:pPr>
            <w:r>
              <w:rPr>
                <w:b/>
                <w:color w:val="FFFFFF"/>
                <w:sz w:val="18"/>
              </w:rPr>
              <w:t>Design-system domain</w:t>
            </w:r>
          </w:p>
        </w:tc>
        <w:tc>
          <w:tcPr>
            <w:tcW w:type="dxa" w:w="6768"/>
            <w:shd w:fill="17324D"/>
            <w:tcMar>
              <w:top w:w="100" w:type="dxa"/>
              <w:start w:w="120" w:type="dxa"/>
              <w:bottom w:w="100" w:type="dxa"/>
              <w:end w:w="120" w:type="dxa"/>
            </w:tcMar>
            <w:vAlign w:val="center"/>
          </w:tcPr>
          <w:p>
            <w:pPr>
              <w:jc w:val="center"/>
            </w:pPr>
            <w:r>
              <w:rPr>
                <w:b/>
                <w:color w:val="FFFFFF"/>
                <w:sz w:val="18"/>
              </w:rPr>
              <w:t>Primary dependent screens/patterns</w:t>
            </w:r>
          </w:p>
        </w:tc>
      </w:tr>
      <w:tr>
        <w:tc>
          <w:tcPr>
            <w:tcW w:type="dxa" w:w="3024"/>
            <w:tcMar>
              <w:top w:w="100" w:type="dxa"/>
              <w:start w:w="120" w:type="dxa"/>
              <w:bottom w:w="100" w:type="dxa"/>
              <w:end w:w="120" w:type="dxa"/>
            </w:tcMar>
            <w:vAlign w:val="center"/>
          </w:tcPr>
          <w:p>
            <w:pPr>
              <w:spacing w:after="0" w:line="240" w:lineRule="auto"/>
            </w:pPr>
            <w:r>
              <w:rPr>
                <w:color w:val="16212B"/>
                <w:sz w:val="18"/>
              </w:rPr>
              <w:t>Forms/actions</w:t>
            </w:r>
          </w:p>
        </w:tc>
        <w:tc>
          <w:tcPr>
            <w:tcW w:type="dxa" w:w="6768"/>
            <w:tcMar>
              <w:top w:w="100" w:type="dxa"/>
              <w:start w:w="120" w:type="dxa"/>
              <w:bottom w:w="100" w:type="dxa"/>
              <w:end w:w="120" w:type="dxa"/>
            </w:tcMar>
            <w:vAlign w:val="center"/>
          </w:tcPr>
          <w:p>
            <w:pPr>
              <w:spacing w:after="0" w:line="240" w:lineRule="auto"/>
            </w:pPr>
            <w:r>
              <w:rPr>
                <w:color w:val="16212B"/>
                <w:sz w:val="18"/>
              </w:rPr>
              <w:t>Case charter, source/evidence registration, entity/relationship editing, assessment</w:t>
            </w:r>
          </w:p>
        </w:tc>
      </w:tr>
      <w:tr>
        <w:tc>
          <w:tcPr>
            <w:tcW w:type="dxa" w:w="3024"/>
            <w:tcMar>
              <w:top w:w="100" w:type="dxa"/>
              <w:start w:w="120" w:type="dxa"/>
              <w:bottom w:w="100" w:type="dxa"/>
              <w:end w:w="120" w:type="dxa"/>
            </w:tcMar>
            <w:vAlign w:val="center"/>
          </w:tcPr>
          <w:p>
            <w:pPr>
              <w:spacing w:after="0" w:line="240" w:lineRule="auto"/>
            </w:pPr>
            <w:r>
              <w:rPr>
                <w:color w:val="16212B"/>
                <w:sz w:val="18"/>
              </w:rPr>
              <w:t>Data grids</w:t>
            </w:r>
          </w:p>
        </w:tc>
        <w:tc>
          <w:tcPr>
            <w:tcW w:type="dxa" w:w="6768"/>
            <w:tcMar>
              <w:top w:w="100" w:type="dxa"/>
              <w:start w:w="120" w:type="dxa"/>
              <w:bottom w:w="100" w:type="dxa"/>
              <w:end w:w="120" w:type="dxa"/>
            </w:tcMar>
            <w:vAlign w:val="center"/>
          </w:tcPr>
          <w:p>
            <w:pPr>
              <w:spacing w:after="0" w:line="240" w:lineRule="auto"/>
            </w:pPr>
            <w:r>
              <w:rPr>
                <w:color w:val="16212B"/>
                <w:sz w:val="18"/>
              </w:rPr>
              <w:t>Cases, entities, evidence, products, sharing log, admin registers</w:t>
            </w:r>
          </w:p>
        </w:tc>
      </w:tr>
      <w:tr>
        <w:tc>
          <w:tcPr>
            <w:tcW w:type="dxa" w:w="3024"/>
            <w:tcMar>
              <w:top w:w="100" w:type="dxa"/>
              <w:start w:w="120" w:type="dxa"/>
              <w:bottom w:w="100" w:type="dxa"/>
              <w:end w:w="120" w:type="dxa"/>
            </w:tcMar>
            <w:vAlign w:val="center"/>
          </w:tcPr>
          <w:p>
            <w:pPr>
              <w:spacing w:after="0" w:line="240" w:lineRule="auto"/>
            </w:pPr>
            <w:r>
              <w:rPr>
                <w:color w:val="16212B"/>
                <w:sz w:val="18"/>
              </w:rPr>
              <w:t>Evidence/provenance</w:t>
            </w:r>
          </w:p>
        </w:tc>
        <w:tc>
          <w:tcPr>
            <w:tcW w:type="dxa" w:w="6768"/>
            <w:tcMar>
              <w:top w:w="100" w:type="dxa"/>
              <w:start w:w="120" w:type="dxa"/>
              <w:bottom w:w="100" w:type="dxa"/>
              <w:end w:w="120" w:type="dxa"/>
            </w:tcMar>
            <w:vAlign w:val="center"/>
          </w:tcPr>
          <w:p>
            <w:pPr>
              <w:spacing w:after="0" w:line="240" w:lineRule="auto"/>
            </w:pPr>
            <w:r>
              <w:rPr>
                <w:color w:val="16212B"/>
                <w:sz w:val="18"/>
              </w:rPr>
              <w:t>Evidence Reader, Entity Detail, Assessment, Product Editor, Review</w:t>
            </w:r>
          </w:p>
        </w:tc>
      </w:tr>
      <w:tr>
        <w:tc>
          <w:tcPr>
            <w:tcW w:type="dxa" w:w="3024"/>
            <w:tcMar>
              <w:top w:w="100" w:type="dxa"/>
              <w:start w:w="120" w:type="dxa"/>
              <w:bottom w:w="100" w:type="dxa"/>
              <w:end w:w="120" w:type="dxa"/>
            </w:tcMar>
            <w:vAlign w:val="center"/>
          </w:tcPr>
          <w:p>
            <w:pPr>
              <w:spacing w:after="0" w:line="240" w:lineRule="auto"/>
            </w:pPr>
            <w:r>
              <w:rPr>
                <w:color w:val="16212B"/>
                <w:sz w:val="18"/>
              </w:rPr>
              <w:t>Analytical semantics</w:t>
            </w:r>
          </w:p>
        </w:tc>
        <w:tc>
          <w:tcPr>
            <w:tcW w:type="dxa" w:w="6768"/>
            <w:tcMar>
              <w:top w:w="100" w:type="dxa"/>
              <w:start w:w="120" w:type="dxa"/>
              <w:bottom w:w="100" w:type="dxa"/>
              <w:end w:w="120" w:type="dxa"/>
            </w:tcMar>
            <w:vAlign w:val="center"/>
          </w:tcPr>
          <w:p>
            <w:pPr>
              <w:spacing w:after="0" w:line="240" w:lineRule="auto"/>
            </w:pPr>
            <w:r>
              <w:rPr>
                <w:color w:val="16212B"/>
                <w:sz w:val="18"/>
              </w:rPr>
              <w:t>Value Flow Workspace, Timeline, Hypothesis Matrix, Investigation Graph</w:t>
            </w:r>
          </w:p>
        </w:tc>
      </w:tr>
      <w:tr>
        <w:tc>
          <w:tcPr>
            <w:tcW w:type="dxa" w:w="3024"/>
            <w:tcMar>
              <w:top w:w="100" w:type="dxa"/>
              <w:start w:w="120" w:type="dxa"/>
              <w:bottom w:w="100" w:type="dxa"/>
              <w:end w:w="120" w:type="dxa"/>
            </w:tcMar>
            <w:vAlign w:val="center"/>
          </w:tcPr>
          <w:p>
            <w:pPr>
              <w:spacing w:after="0" w:line="240" w:lineRule="auto"/>
            </w:pPr>
            <w:r>
              <w:rPr>
                <w:color w:val="16212B"/>
                <w:sz w:val="18"/>
              </w:rPr>
              <w:t>Review/dissemination</w:t>
            </w:r>
          </w:p>
        </w:tc>
        <w:tc>
          <w:tcPr>
            <w:tcW w:type="dxa" w:w="6768"/>
            <w:tcMar>
              <w:top w:w="100" w:type="dxa"/>
              <w:start w:w="120" w:type="dxa"/>
              <w:bottom w:w="100" w:type="dxa"/>
              <w:end w:w="120" w:type="dxa"/>
            </w:tcMar>
            <w:vAlign w:val="center"/>
          </w:tcPr>
          <w:p>
            <w:pPr>
              <w:spacing w:after="0" w:line="240" w:lineRule="auto"/>
            </w:pPr>
            <w:r>
              <w:rPr>
                <w:color w:val="16212B"/>
                <w:sz w:val="18"/>
              </w:rPr>
              <w:t>Peer Review Workspace, Dissemination Approval, Export Builder</w:t>
            </w:r>
          </w:p>
        </w:tc>
      </w:tr>
      <w:tr>
        <w:tc>
          <w:tcPr>
            <w:tcW w:type="dxa" w:w="3024"/>
            <w:tcMar>
              <w:top w:w="100" w:type="dxa"/>
              <w:start w:w="120" w:type="dxa"/>
              <w:bottom w:w="100" w:type="dxa"/>
              <w:end w:w="120" w:type="dxa"/>
            </w:tcMar>
            <w:vAlign w:val="center"/>
          </w:tcPr>
          <w:p>
            <w:pPr>
              <w:spacing w:after="0" w:line="240" w:lineRule="auto"/>
            </w:pPr>
            <w:r>
              <w:rPr>
                <w:color w:val="16212B"/>
                <w:sz w:val="18"/>
              </w:rPr>
              <w:t>Security/classification</w:t>
            </w:r>
          </w:p>
        </w:tc>
        <w:tc>
          <w:tcPr>
            <w:tcW w:type="dxa" w:w="6768"/>
            <w:tcMar>
              <w:top w:w="100" w:type="dxa"/>
              <w:start w:w="120" w:type="dxa"/>
              <w:bottom w:w="100" w:type="dxa"/>
              <w:end w:w="120" w:type="dxa"/>
            </w:tcMar>
            <w:vAlign w:val="center"/>
          </w:tcPr>
          <w:p>
            <w:pPr>
              <w:spacing w:after="0" w:line="240" w:lineRule="auto"/>
            </w:pPr>
            <w:r>
              <w:rPr>
                <w:color w:val="16212B"/>
                <w:sz w:val="18"/>
              </w:rPr>
              <w:t>All canonical detail screens, source-protected flows, exports</w:t>
            </w:r>
          </w:p>
        </w:tc>
      </w:tr>
      <w:tr>
        <w:tc>
          <w:tcPr>
            <w:tcW w:type="dxa" w:w="3024"/>
            <w:tcMar>
              <w:top w:w="100" w:type="dxa"/>
              <w:start w:w="120" w:type="dxa"/>
              <w:bottom w:w="100" w:type="dxa"/>
              <w:end w:w="120" w:type="dxa"/>
            </w:tcMar>
            <w:vAlign w:val="center"/>
          </w:tcPr>
          <w:p>
            <w:pPr>
              <w:spacing w:after="0" w:line="240" w:lineRule="auto"/>
            </w:pPr>
            <w:r>
              <w:rPr>
                <w:color w:val="16212B"/>
                <w:sz w:val="18"/>
              </w:rPr>
              <w:t>System states</w:t>
            </w:r>
          </w:p>
        </w:tc>
        <w:tc>
          <w:tcPr>
            <w:tcW w:type="dxa" w:w="6768"/>
            <w:tcMar>
              <w:top w:w="100" w:type="dxa"/>
              <w:start w:w="120" w:type="dxa"/>
              <w:bottom w:w="100" w:type="dxa"/>
              <w:end w:w="120" w:type="dxa"/>
            </w:tcMar>
            <w:vAlign w:val="center"/>
          </w:tcPr>
          <w:p>
            <w:pPr>
              <w:spacing w:after="0" w:line="240" w:lineRule="auto"/>
            </w:pPr>
            <w:r>
              <w:rPr>
                <w:color w:val="16212B"/>
                <w:sz w:val="18"/>
              </w:rPr>
              <w:t>Access denied, edit conflict, integrity warning, async processing</w:t>
            </w:r>
          </w:p>
        </w:tc>
      </w:tr>
    </w:tbl>
    <w:p>
      <w:pPr>
        <w:spacing w:after="0"/>
      </w:pPr>
    </w:p>
    <w:p>
      <w:r>
        <w:br w:type="page"/>
      </w:r>
    </w:p>
    <w:p>
      <w:pPr>
        <w:pStyle w:val="Heading1"/>
      </w:pPr>
      <w:r>
        <w:t>Annex A — MVP Semantic Token Baseline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600"/>
            <w:shd w:fill="17324D"/>
            <w:tcMar>
              <w:top w:w="100" w:type="dxa"/>
              <w:start w:w="120" w:type="dxa"/>
              <w:bottom w:w="100" w:type="dxa"/>
              <w:end w:w="120" w:type="dxa"/>
            </w:tcMar>
            <w:vAlign w:val="center"/>
          </w:tcPr>
          <w:p>
            <w:pPr>
              <w:jc w:val="center"/>
            </w:pPr>
            <w:r>
              <w:rPr>
                <w:b/>
                <w:color w:val="FFFFFF"/>
                <w:sz w:val="17"/>
              </w:rPr>
              <w:t>Token</w:t>
            </w:r>
          </w:p>
        </w:tc>
        <w:tc>
          <w:tcPr>
            <w:tcW w:type="dxa" w:w="1944"/>
            <w:shd w:fill="17324D"/>
            <w:tcMar>
              <w:top w:w="100" w:type="dxa"/>
              <w:start w:w="120" w:type="dxa"/>
              <w:bottom w:w="100" w:type="dxa"/>
              <w:end w:w="120" w:type="dxa"/>
            </w:tcMar>
            <w:vAlign w:val="center"/>
          </w:tcPr>
          <w:p>
            <w:pPr>
              <w:jc w:val="center"/>
            </w:pPr>
            <w:r>
              <w:rPr>
                <w:b/>
                <w:color w:val="FFFFFF"/>
                <w:sz w:val="17"/>
              </w:rPr>
              <w:t>Baseline</w:t>
            </w:r>
          </w:p>
        </w:tc>
        <w:tc>
          <w:tcPr>
            <w:tcW w:type="dxa" w:w="4320"/>
            <w:shd w:fill="17324D"/>
            <w:tcMar>
              <w:top w:w="100" w:type="dxa"/>
              <w:start w:w="120" w:type="dxa"/>
              <w:bottom w:w="100" w:type="dxa"/>
              <w:end w:w="120" w:type="dxa"/>
            </w:tcMar>
            <w:vAlign w:val="center"/>
          </w:tcPr>
          <w:p>
            <w:pPr>
              <w:jc w:val="center"/>
            </w:pPr>
            <w:r>
              <w:rPr>
                <w:b/>
                <w:color w:val="FFFFFF"/>
                <w:sz w:val="17"/>
              </w:rPr>
              <w:t>Meaning</w:t>
            </w:r>
          </w:p>
        </w:tc>
      </w:tr>
      <w:tr>
        <w:tc>
          <w:tcPr>
            <w:tcW w:type="dxa" w:w="3600"/>
            <w:tcMar>
              <w:top w:w="100" w:type="dxa"/>
              <w:start w:w="120" w:type="dxa"/>
              <w:bottom w:w="100" w:type="dxa"/>
              <w:end w:w="120" w:type="dxa"/>
            </w:tcMar>
            <w:vAlign w:val="center"/>
          </w:tcPr>
          <w:p>
            <w:pPr>
              <w:spacing w:after="0" w:line="240" w:lineRule="auto"/>
            </w:pPr>
            <w:r>
              <w:rPr>
                <w:color w:val="16212B"/>
                <w:sz w:val="17"/>
              </w:rPr>
              <w:t>color.text.primary</w:t>
            </w:r>
          </w:p>
        </w:tc>
        <w:tc>
          <w:tcPr>
            <w:tcW w:type="dxa" w:w="1944"/>
            <w:tcMar>
              <w:top w:w="100" w:type="dxa"/>
              <w:start w:w="120" w:type="dxa"/>
              <w:bottom w:w="100" w:type="dxa"/>
              <w:end w:w="120" w:type="dxa"/>
            </w:tcMar>
            <w:vAlign w:val="center"/>
          </w:tcPr>
          <w:p>
            <w:pPr>
              <w:spacing w:after="0" w:line="240" w:lineRule="auto"/>
            </w:pPr>
            <w:r>
              <w:rPr>
                <w:color w:val="16212B"/>
                <w:sz w:val="17"/>
              </w:rPr>
              <w:t>#16212B</w:t>
            </w:r>
          </w:p>
        </w:tc>
        <w:tc>
          <w:tcPr>
            <w:tcW w:type="dxa" w:w="4320"/>
            <w:tcMar>
              <w:top w:w="100" w:type="dxa"/>
              <w:start w:w="120" w:type="dxa"/>
              <w:bottom w:w="100" w:type="dxa"/>
              <w:end w:w="120" w:type="dxa"/>
            </w:tcMar>
            <w:vAlign w:val="center"/>
          </w:tcPr>
          <w:p>
            <w:pPr>
              <w:spacing w:after="0" w:line="240" w:lineRule="auto"/>
            </w:pPr>
            <w:r>
              <w:rPr>
                <w:color w:val="16212B"/>
                <w:sz w:val="17"/>
              </w:rPr>
              <w:t>Primary readable content</w:t>
            </w:r>
          </w:p>
        </w:tc>
      </w:tr>
      <w:tr>
        <w:tc>
          <w:tcPr>
            <w:tcW w:type="dxa" w:w="3600"/>
            <w:tcMar>
              <w:top w:w="100" w:type="dxa"/>
              <w:start w:w="120" w:type="dxa"/>
              <w:bottom w:w="100" w:type="dxa"/>
              <w:end w:w="120" w:type="dxa"/>
            </w:tcMar>
            <w:vAlign w:val="center"/>
          </w:tcPr>
          <w:p>
            <w:pPr>
              <w:spacing w:after="0" w:line="240" w:lineRule="auto"/>
            </w:pPr>
            <w:r>
              <w:rPr>
                <w:color w:val="16212B"/>
                <w:sz w:val="17"/>
              </w:rPr>
              <w:t>color.text.secondary</w:t>
            </w:r>
          </w:p>
        </w:tc>
        <w:tc>
          <w:tcPr>
            <w:tcW w:type="dxa" w:w="1944"/>
            <w:tcMar>
              <w:top w:w="100" w:type="dxa"/>
              <w:start w:w="120" w:type="dxa"/>
              <w:bottom w:w="100" w:type="dxa"/>
              <w:end w:w="120" w:type="dxa"/>
            </w:tcMar>
            <w:vAlign w:val="center"/>
          </w:tcPr>
          <w:p>
            <w:pPr>
              <w:spacing w:after="0" w:line="240" w:lineRule="auto"/>
            </w:pPr>
            <w:r>
              <w:rPr>
                <w:color w:val="16212B"/>
                <w:sz w:val="17"/>
              </w:rPr>
              <w:t>#5E6B75</w:t>
            </w:r>
          </w:p>
        </w:tc>
        <w:tc>
          <w:tcPr>
            <w:tcW w:type="dxa" w:w="4320"/>
            <w:tcMar>
              <w:top w:w="100" w:type="dxa"/>
              <w:start w:w="120" w:type="dxa"/>
              <w:bottom w:w="100" w:type="dxa"/>
              <w:end w:w="120" w:type="dxa"/>
            </w:tcMar>
            <w:vAlign w:val="center"/>
          </w:tcPr>
          <w:p>
            <w:pPr>
              <w:spacing w:after="0" w:line="240" w:lineRule="auto"/>
            </w:pPr>
            <w:r>
              <w:rPr>
                <w:color w:val="16212B"/>
                <w:sz w:val="17"/>
              </w:rPr>
              <w:t>Secondary metadata</w:t>
            </w:r>
          </w:p>
        </w:tc>
      </w:tr>
      <w:tr>
        <w:tc>
          <w:tcPr>
            <w:tcW w:type="dxa" w:w="3600"/>
            <w:tcMar>
              <w:top w:w="100" w:type="dxa"/>
              <w:start w:w="120" w:type="dxa"/>
              <w:bottom w:w="100" w:type="dxa"/>
              <w:end w:w="120" w:type="dxa"/>
            </w:tcMar>
            <w:vAlign w:val="center"/>
          </w:tcPr>
          <w:p>
            <w:pPr>
              <w:spacing w:after="0" w:line="240" w:lineRule="auto"/>
            </w:pPr>
            <w:r>
              <w:rPr>
                <w:color w:val="16212B"/>
                <w:sz w:val="17"/>
              </w:rPr>
              <w:t>color.surface.canvas</w:t>
            </w:r>
          </w:p>
        </w:tc>
        <w:tc>
          <w:tcPr>
            <w:tcW w:type="dxa" w:w="1944"/>
            <w:tcMar>
              <w:top w:w="100" w:type="dxa"/>
              <w:start w:w="120" w:type="dxa"/>
              <w:bottom w:w="100" w:type="dxa"/>
              <w:end w:w="120" w:type="dxa"/>
            </w:tcMar>
            <w:vAlign w:val="center"/>
          </w:tcPr>
          <w:p>
            <w:pPr>
              <w:spacing w:after="0" w:line="240" w:lineRule="auto"/>
            </w:pPr>
            <w:r>
              <w:rPr>
                <w:color w:val="16212B"/>
                <w:sz w:val="17"/>
              </w:rPr>
              <w:t>#F7F9FB</w:t>
            </w:r>
          </w:p>
        </w:tc>
        <w:tc>
          <w:tcPr>
            <w:tcW w:type="dxa" w:w="4320"/>
            <w:tcMar>
              <w:top w:w="100" w:type="dxa"/>
              <w:start w:w="120" w:type="dxa"/>
              <w:bottom w:w="100" w:type="dxa"/>
              <w:end w:w="120" w:type="dxa"/>
            </w:tcMar>
            <w:vAlign w:val="center"/>
          </w:tcPr>
          <w:p>
            <w:pPr>
              <w:spacing w:after="0" w:line="240" w:lineRule="auto"/>
            </w:pPr>
            <w:r>
              <w:rPr>
                <w:color w:val="16212B"/>
                <w:sz w:val="17"/>
              </w:rPr>
              <w:t>Application canvas</w:t>
            </w:r>
          </w:p>
        </w:tc>
      </w:tr>
      <w:tr>
        <w:tc>
          <w:tcPr>
            <w:tcW w:type="dxa" w:w="3600"/>
            <w:tcMar>
              <w:top w:w="100" w:type="dxa"/>
              <w:start w:w="120" w:type="dxa"/>
              <w:bottom w:w="100" w:type="dxa"/>
              <w:end w:w="120" w:type="dxa"/>
            </w:tcMar>
            <w:vAlign w:val="center"/>
          </w:tcPr>
          <w:p>
            <w:pPr>
              <w:spacing w:after="0" w:line="240" w:lineRule="auto"/>
            </w:pPr>
            <w:r>
              <w:rPr>
                <w:color w:val="16212B"/>
                <w:sz w:val="17"/>
              </w:rPr>
              <w:t>color.surface.panel</w:t>
            </w:r>
          </w:p>
        </w:tc>
        <w:tc>
          <w:tcPr>
            <w:tcW w:type="dxa" w:w="1944"/>
            <w:tcMar>
              <w:top w:w="100" w:type="dxa"/>
              <w:start w:w="120" w:type="dxa"/>
              <w:bottom w:w="100" w:type="dxa"/>
              <w:end w:w="120" w:type="dxa"/>
            </w:tcMar>
            <w:vAlign w:val="center"/>
          </w:tcPr>
          <w:p>
            <w:pPr>
              <w:spacing w:after="0" w:line="240" w:lineRule="auto"/>
            </w:pPr>
            <w:r>
              <w:rPr>
                <w:color w:val="16212B"/>
                <w:sz w:val="17"/>
              </w:rPr>
              <w:t>#FFFFFF</w:t>
            </w:r>
          </w:p>
        </w:tc>
        <w:tc>
          <w:tcPr>
            <w:tcW w:type="dxa" w:w="4320"/>
            <w:tcMar>
              <w:top w:w="100" w:type="dxa"/>
              <w:start w:w="120" w:type="dxa"/>
              <w:bottom w:w="100" w:type="dxa"/>
              <w:end w:w="120" w:type="dxa"/>
            </w:tcMar>
            <w:vAlign w:val="center"/>
          </w:tcPr>
          <w:p>
            <w:pPr>
              <w:spacing w:after="0" w:line="240" w:lineRule="auto"/>
            </w:pPr>
            <w:r>
              <w:rPr>
                <w:color w:val="16212B"/>
                <w:sz w:val="17"/>
              </w:rPr>
              <w:t>Panel/card surface</w:t>
            </w:r>
          </w:p>
        </w:tc>
      </w:tr>
      <w:tr>
        <w:tc>
          <w:tcPr>
            <w:tcW w:type="dxa" w:w="3600"/>
            <w:tcMar>
              <w:top w:w="100" w:type="dxa"/>
              <w:start w:w="120" w:type="dxa"/>
              <w:bottom w:w="100" w:type="dxa"/>
              <w:end w:w="120" w:type="dxa"/>
            </w:tcMar>
            <w:vAlign w:val="center"/>
          </w:tcPr>
          <w:p>
            <w:pPr>
              <w:spacing w:after="0" w:line="240" w:lineRule="auto"/>
            </w:pPr>
            <w:r>
              <w:rPr>
                <w:color w:val="16212B"/>
                <w:sz w:val="17"/>
              </w:rPr>
              <w:t>color.border.default</w:t>
            </w:r>
          </w:p>
        </w:tc>
        <w:tc>
          <w:tcPr>
            <w:tcW w:type="dxa" w:w="1944"/>
            <w:tcMar>
              <w:top w:w="100" w:type="dxa"/>
              <w:start w:w="120" w:type="dxa"/>
              <w:bottom w:w="100" w:type="dxa"/>
              <w:end w:w="120" w:type="dxa"/>
            </w:tcMar>
            <w:vAlign w:val="center"/>
          </w:tcPr>
          <w:p>
            <w:pPr>
              <w:spacing w:after="0" w:line="240" w:lineRule="auto"/>
            </w:pPr>
            <w:r>
              <w:rPr>
                <w:color w:val="16212B"/>
                <w:sz w:val="17"/>
              </w:rPr>
              <w:t>#D7DEE5</w:t>
            </w:r>
          </w:p>
        </w:tc>
        <w:tc>
          <w:tcPr>
            <w:tcW w:type="dxa" w:w="4320"/>
            <w:tcMar>
              <w:top w:w="100" w:type="dxa"/>
              <w:start w:w="120" w:type="dxa"/>
              <w:bottom w:w="100" w:type="dxa"/>
              <w:end w:w="120" w:type="dxa"/>
            </w:tcMar>
            <w:vAlign w:val="center"/>
          </w:tcPr>
          <w:p>
            <w:pPr>
              <w:spacing w:after="0" w:line="240" w:lineRule="auto"/>
            </w:pPr>
            <w:r>
              <w:rPr>
                <w:color w:val="16212B"/>
                <w:sz w:val="17"/>
              </w:rPr>
              <w:t>Default border</w:t>
            </w:r>
          </w:p>
        </w:tc>
      </w:tr>
      <w:tr>
        <w:tc>
          <w:tcPr>
            <w:tcW w:type="dxa" w:w="3600"/>
            <w:tcMar>
              <w:top w:w="100" w:type="dxa"/>
              <w:start w:w="120" w:type="dxa"/>
              <w:bottom w:w="100" w:type="dxa"/>
              <w:end w:w="120" w:type="dxa"/>
            </w:tcMar>
            <w:vAlign w:val="center"/>
          </w:tcPr>
          <w:p>
            <w:pPr>
              <w:spacing w:after="0" w:line="240" w:lineRule="auto"/>
            </w:pPr>
            <w:r>
              <w:rPr>
                <w:color w:val="16212B"/>
                <w:sz w:val="17"/>
              </w:rPr>
              <w:t>color.action.primary</w:t>
            </w:r>
          </w:p>
        </w:tc>
        <w:tc>
          <w:tcPr>
            <w:tcW w:type="dxa" w:w="1944"/>
            <w:tcMar>
              <w:top w:w="100" w:type="dxa"/>
              <w:start w:w="120" w:type="dxa"/>
              <w:bottom w:w="100" w:type="dxa"/>
              <w:end w:w="120" w:type="dxa"/>
            </w:tcMar>
            <w:vAlign w:val="center"/>
          </w:tcPr>
          <w:p>
            <w:pPr>
              <w:spacing w:after="0" w:line="240" w:lineRule="auto"/>
            </w:pPr>
            <w:r>
              <w:rPr>
                <w:color w:val="16212B"/>
                <w:sz w:val="17"/>
              </w:rPr>
              <w:t>#285C8E</w:t>
            </w:r>
          </w:p>
        </w:tc>
        <w:tc>
          <w:tcPr>
            <w:tcW w:type="dxa" w:w="4320"/>
            <w:tcMar>
              <w:top w:w="100" w:type="dxa"/>
              <w:start w:w="120" w:type="dxa"/>
              <w:bottom w:w="100" w:type="dxa"/>
              <w:end w:w="120" w:type="dxa"/>
            </w:tcMar>
            <w:vAlign w:val="center"/>
          </w:tcPr>
          <w:p>
            <w:pPr>
              <w:spacing w:after="0" w:line="240" w:lineRule="auto"/>
            </w:pPr>
            <w:r>
              <w:rPr>
                <w:color w:val="16212B"/>
                <w:sz w:val="17"/>
              </w:rPr>
              <w:t>Primary action</w:t>
            </w:r>
          </w:p>
        </w:tc>
      </w:tr>
      <w:tr>
        <w:tc>
          <w:tcPr>
            <w:tcW w:type="dxa" w:w="3600"/>
            <w:tcMar>
              <w:top w:w="100" w:type="dxa"/>
              <w:start w:w="120" w:type="dxa"/>
              <w:bottom w:w="100" w:type="dxa"/>
              <w:end w:w="120" w:type="dxa"/>
            </w:tcMar>
            <w:vAlign w:val="center"/>
          </w:tcPr>
          <w:p>
            <w:pPr>
              <w:spacing w:after="0" w:line="240" w:lineRule="auto"/>
            </w:pPr>
            <w:r>
              <w:rPr>
                <w:color w:val="16212B"/>
                <w:sz w:val="17"/>
              </w:rPr>
              <w:t>color.state.success</w:t>
            </w:r>
          </w:p>
        </w:tc>
        <w:tc>
          <w:tcPr>
            <w:tcW w:type="dxa" w:w="1944"/>
            <w:tcMar>
              <w:top w:w="100" w:type="dxa"/>
              <w:start w:w="120" w:type="dxa"/>
              <w:bottom w:w="100" w:type="dxa"/>
              <w:end w:w="120" w:type="dxa"/>
            </w:tcMar>
            <w:vAlign w:val="center"/>
          </w:tcPr>
          <w:p>
            <w:pPr>
              <w:spacing w:after="0" w:line="240" w:lineRule="auto"/>
            </w:pPr>
            <w:r>
              <w:rPr>
                <w:color w:val="16212B"/>
                <w:sz w:val="17"/>
              </w:rPr>
              <w:t>#246B4A</w:t>
            </w:r>
          </w:p>
        </w:tc>
        <w:tc>
          <w:tcPr>
            <w:tcW w:type="dxa" w:w="4320"/>
            <w:tcMar>
              <w:top w:w="100" w:type="dxa"/>
              <w:start w:w="120" w:type="dxa"/>
              <w:bottom w:w="100" w:type="dxa"/>
              <w:end w:w="120" w:type="dxa"/>
            </w:tcMar>
            <w:vAlign w:val="center"/>
          </w:tcPr>
          <w:p>
            <w:pPr>
              <w:spacing w:after="0" w:line="240" w:lineRule="auto"/>
            </w:pPr>
            <w:r>
              <w:rPr>
                <w:color w:val="16212B"/>
                <w:sz w:val="17"/>
              </w:rPr>
              <w:t>Operational success</w:t>
            </w:r>
          </w:p>
        </w:tc>
      </w:tr>
      <w:tr>
        <w:tc>
          <w:tcPr>
            <w:tcW w:type="dxa" w:w="3600"/>
            <w:tcMar>
              <w:top w:w="100" w:type="dxa"/>
              <w:start w:w="120" w:type="dxa"/>
              <w:bottom w:w="100" w:type="dxa"/>
              <w:end w:w="120" w:type="dxa"/>
            </w:tcMar>
            <w:vAlign w:val="center"/>
          </w:tcPr>
          <w:p>
            <w:pPr>
              <w:spacing w:after="0" w:line="240" w:lineRule="auto"/>
            </w:pPr>
            <w:r>
              <w:rPr>
                <w:color w:val="16212B"/>
                <w:sz w:val="17"/>
              </w:rPr>
              <w:t>color.state.warning</w:t>
            </w:r>
          </w:p>
        </w:tc>
        <w:tc>
          <w:tcPr>
            <w:tcW w:type="dxa" w:w="1944"/>
            <w:tcMar>
              <w:top w:w="100" w:type="dxa"/>
              <w:start w:w="120" w:type="dxa"/>
              <w:bottom w:w="100" w:type="dxa"/>
              <w:end w:w="120" w:type="dxa"/>
            </w:tcMar>
            <w:vAlign w:val="center"/>
          </w:tcPr>
          <w:p>
            <w:pPr>
              <w:spacing w:after="0" w:line="240" w:lineRule="auto"/>
            </w:pPr>
            <w:r>
              <w:rPr>
                <w:color w:val="16212B"/>
                <w:sz w:val="17"/>
              </w:rPr>
              <w:t>#8A5A00</w:t>
            </w:r>
          </w:p>
        </w:tc>
        <w:tc>
          <w:tcPr>
            <w:tcW w:type="dxa" w:w="4320"/>
            <w:tcMar>
              <w:top w:w="100" w:type="dxa"/>
              <w:start w:w="120" w:type="dxa"/>
              <w:bottom w:w="100" w:type="dxa"/>
              <w:end w:w="120" w:type="dxa"/>
            </w:tcMar>
            <w:vAlign w:val="center"/>
          </w:tcPr>
          <w:p>
            <w:pPr>
              <w:spacing w:after="0" w:line="240" w:lineRule="auto"/>
            </w:pPr>
            <w:r>
              <w:rPr>
                <w:color w:val="16212B"/>
                <w:sz w:val="17"/>
              </w:rPr>
              <w:t>Attention/review</w:t>
            </w:r>
          </w:p>
        </w:tc>
      </w:tr>
      <w:tr>
        <w:tc>
          <w:tcPr>
            <w:tcW w:type="dxa" w:w="3600"/>
            <w:tcMar>
              <w:top w:w="100" w:type="dxa"/>
              <w:start w:w="120" w:type="dxa"/>
              <w:bottom w:w="100" w:type="dxa"/>
              <w:end w:w="120" w:type="dxa"/>
            </w:tcMar>
            <w:vAlign w:val="center"/>
          </w:tcPr>
          <w:p>
            <w:pPr>
              <w:spacing w:after="0" w:line="240" w:lineRule="auto"/>
            </w:pPr>
            <w:r>
              <w:rPr>
                <w:color w:val="16212B"/>
                <w:sz w:val="17"/>
              </w:rPr>
              <w:t>color.state.error</w:t>
            </w:r>
          </w:p>
        </w:tc>
        <w:tc>
          <w:tcPr>
            <w:tcW w:type="dxa" w:w="1944"/>
            <w:tcMar>
              <w:top w:w="100" w:type="dxa"/>
              <w:start w:w="120" w:type="dxa"/>
              <w:bottom w:w="100" w:type="dxa"/>
              <w:end w:w="120" w:type="dxa"/>
            </w:tcMar>
            <w:vAlign w:val="center"/>
          </w:tcPr>
          <w:p>
            <w:pPr>
              <w:spacing w:after="0" w:line="240" w:lineRule="auto"/>
            </w:pPr>
            <w:r>
              <w:rPr>
                <w:color w:val="16212B"/>
                <w:sz w:val="17"/>
              </w:rPr>
              <w:t>#A13333</w:t>
            </w:r>
          </w:p>
        </w:tc>
        <w:tc>
          <w:tcPr>
            <w:tcW w:type="dxa" w:w="4320"/>
            <w:tcMar>
              <w:top w:w="100" w:type="dxa"/>
              <w:start w:w="120" w:type="dxa"/>
              <w:bottom w:w="100" w:type="dxa"/>
              <w:end w:w="120" w:type="dxa"/>
            </w:tcMar>
            <w:vAlign w:val="center"/>
          </w:tcPr>
          <w:p>
            <w:pPr>
              <w:spacing w:after="0" w:line="240" w:lineRule="auto"/>
            </w:pPr>
            <w:r>
              <w:rPr>
                <w:color w:val="16212B"/>
                <w:sz w:val="17"/>
              </w:rPr>
              <w:t>Error/destructive</w:t>
            </w:r>
          </w:p>
        </w:tc>
      </w:tr>
      <w:tr>
        <w:tc>
          <w:tcPr>
            <w:tcW w:type="dxa" w:w="3600"/>
            <w:tcMar>
              <w:top w:w="100" w:type="dxa"/>
              <w:start w:w="120" w:type="dxa"/>
              <w:bottom w:w="100" w:type="dxa"/>
              <w:end w:w="120" w:type="dxa"/>
            </w:tcMar>
            <w:vAlign w:val="center"/>
          </w:tcPr>
          <w:p>
            <w:pPr>
              <w:spacing w:after="0" w:line="240" w:lineRule="auto"/>
            </w:pPr>
            <w:r>
              <w:rPr>
                <w:color w:val="16212B"/>
                <w:sz w:val="17"/>
              </w:rPr>
              <w:t>color.analytical.construct</w:t>
            </w:r>
          </w:p>
        </w:tc>
        <w:tc>
          <w:tcPr>
            <w:tcW w:type="dxa" w:w="1944"/>
            <w:tcMar>
              <w:top w:w="100" w:type="dxa"/>
              <w:start w:w="120" w:type="dxa"/>
              <w:bottom w:w="100" w:type="dxa"/>
              <w:end w:w="120" w:type="dxa"/>
            </w:tcMar>
            <w:vAlign w:val="center"/>
          </w:tcPr>
          <w:p>
            <w:pPr>
              <w:spacing w:after="0" w:line="240" w:lineRule="auto"/>
            </w:pPr>
            <w:r>
              <w:rPr>
                <w:color w:val="16212B"/>
                <w:sz w:val="17"/>
              </w:rPr>
              <w:t>#5B4B8A</w:t>
            </w:r>
          </w:p>
        </w:tc>
        <w:tc>
          <w:tcPr>
            <w:tcW w:type="dxa" w:w="4320"/>
            <w:tcMar>
              <w:top w:w="100" w:type="dxa"/>
              <w:start w:w="120" w:type="dxa"/>
              <w:bottom w:w="100" w:type="dxa"/>
              <w:end w:w="120" w:type="dxa"/>
            </w:tcMar>
            <w:vAlign w:val="center"/>
          </w:tcPr>
          <w:p>
            <w:pPr>
              <w:spacing w:after="0" w:line="240" w:lineRule="auto"/>
            </w:pPr>
            <w:r>
              <w:rPr>
                <w:color w:val="16212B"/>
                <w:sz w:val="17"/>
              </w:rPr>
              <w:t>Hypothesis/inference</w:t>
            </w:r>
          </w:p>
        </w:tc>
      </w:tr>
      <w:tr>
        <w:tc>
          <w:tcPr>
            <w:tcW w:type="dxa" w:w="3600"/>
            <w:tcMar>
              <w:top w:w="100" w:type="dxa"/>
              <w:start w:w="120" w:type="dxa"/>
              <w:bottom w:w="100" w:type="dxa"/>
              <w:end w:w="120" w:type="dxa"/>
            </w:tcMar>
            <w:vAlign w:val="center"/>
          </w:tcPr>
          <w:p>
            <w:pPr>
              <w:spacing w:after="0" w:line="240" w:lineRule="auto"/>
            </w:pPr>
            <w:r>
              <w:rPr>
                <w:color w:val="16212B"/>
                <w:sz w:val="17"/>
              </w:rPr>
              <w:t>color.analytical.documented</w:t>
            </w:r>
          </w:p>
        </w:tc>
        <w:tc>
          <w:tcPr>
            <w:tcW w:type="dxa" w:w="1944"/>
            <w:tcMar>
              <w:top w:w="100" w:type="dxa"/>
              <w:start w:w="120" w:type="dxa"/>
              <w:bottom w:w="100" w:type="dxa"/>
              <w:end w:w="120" w:type="dxa"/>
            </w:tcMar>
            <w:vAlign w:val="center"/>
          </w:tcPr>
          <w:p>
            <w:pPr>
              <w:spacing w:after="0" w:line="240" w:lineRule="auto"/>
            </w:pPr>
            <w:r>
              <w:rPr>
                <w:color w:val="16212B"/>
                <w:sz w:val="17"/>
              </w:rPr>
              <w:t>#236A73</w:t>
            </w:r>
          </w:p>
        </w:tc>
        <w:tc>
          <w:tcPr>
            <w:tcW w:type="dxa" w:w="4320"/>
            <w:tcMar>
              <w:top w:w="100" w:type="dxa"/>
              <w:start w:w="120" w:type="dxa"/>
              <w:bottom w:w="100" w:type="dxa"/>
              <w:end w:w="120" w:type="dxa"/>
            </w:tcMar>
            <w:vAlign w:val="center"/>
          </w:tcPr>
          <w:p>
            <w:pPr>
              <w:spacing w:after="0" w:line="240" w:lineRule="auto"/>
            </w:pPr>
            <w:r>
              <w:rPr>
                <w:color w:val="16212B"/>
                <w:sz w:val="17"/>
              </w:rPr>
              <w:t>Documented analytical state</w:t>
            </w:r>
          </w:p>
        </w:tc>
      </w:tr>
      <w:tr>
        <w:tc>
          <w:tcPr>
            <w:tcW w:type="dxa" w:w="3600"/>
            <w:tcMar>
              <w:top w:w="100" w:type="dxa"/>
              <w:start w:w="120" w:type="dxa"/>
              <w:bottom w:w="100" w:type="dxa"/>
              <w:end w:w="120" w:type="dxa"/>
            </w:tcMar>
            <w:vAlign w:val="center"/>
          </w:tcPr>
          <w:p>
            <w:pPr>
              <w:spacing w:after="0" w:line="240" w:lineRule="auto"/>
            </w:pPr>
            <w:r>
              <w:rPr>
                <w:color w:val="16212B"/>
                <w:sz w:val="17"/>
              </w:rPr>
              <w:t>focus.ring</w:t>
            </w:r>
          </w:p>
        </w:tc>
        <w:tc>
          <w:tcPr>
            <w:tcW w:type="dxa" w:w="1944"/>
            <w:tcMar>
              <w:top w:w="100" w:type="dxa"/>
              <w:start w:w="120" w:type="dxa"/>
              <w:bottom w:w="100" w:type="dxa"/>
              <w:end w:w="120" w:type="dxa"/>
            </w:tcMar>
            <w:vAlign w:val="center"/>
          </w:tcPr>
          <w:p>
            <w:pPr>
              <w:spacing w:after="0" w:line="240" w:lineRule="auto"/>
            </w:pPr>
            <w:r>
              <w:rPr>
                <w:color w:val="16212B"/>
                <w:sz w:val="17"/>
              </w:rPr>
              <w:t>#285C8E</w:t>
            </w:r>
          </w:p>
        </w:tc>
        <w:tc>
          <w:tcPr>
            <w:tcW w:type="dxa" w:w="4320"/>
            <w:tcMar>
              <w:top w:w="100" w:type="dxa"/>
              <w:start w:w="120" w:type="dxa"/>
              <w:bottom w:w="100" w:type="dxa"/>
              <w:end w:w="120" w:type="dxa"/>
            </w:tcMar>
            <w:vAlign w:val="center"/>
          </w:tcPr>
          <w:p>
            <w:pPr>
              <w:spacing w:after="0" w:line="240" w:lineRule="auto"/>
            </w:pPr>
            <w:r>
              <w:rPr>
                <w:color w:val="16212B"/>
                <w:sz w:val="17"/>
              </w:rPr>
              <w:t>Keyboard focus ring</w:t>
            </w:r>
          </w:p>
        </w:tc>
      </w:tr>
      <w:tr>
        <w:tc>
          <w:tcPr>
            <w:tcW w:type="dxa" w:w="3600"/>
            <w:tcMar>
              <w:top w:w="100" w:type="dxa"/>
              <w:start w:w="120" w:type="dxa"/>
              <w:bottom w:w="100" w:type="dxa"/>
              <w:end w:w="120" w:type="dxa"/>
            </w:tcMar>
            <w:vAlign w:val="center"/>
          </w:tcPr>
          <w:p>
            <w:pPr>
              <w:spacing w:after="0" w:line="240" w:lineRule="auto"/>
            </w:pPr>
            <w:r>
              <w:rPr>
                <w:color w:val="16212B"/>
                <w:sz w:val="17"/>
              </w:rPr>
              <w:t>space.base</w:t>
            </w:r>
          </w:p>
        </w:tc>
        <w:tc>
          <w:tcPr>
            <w:tcW w:type="dxa" w:w="1944"/>
            <w:tcMar>
              <w:top w:w="100" w:type="dxa"/>
              <w:start w:w="120" w:type="dxa"/>
              <w:bottom w:w="100" w:type="dxa"/>
              <w:end w:w="120" w:type="dxa"/>
            </w:tcMar>
            <w:vAlign w:val="center"/>
          </w:tcPr>
          <w:p>
            <w:pPr>
              <w:spacing w:after="0" w:line="240" w:lineRule="auto"/>
            </w:pPr>
            <w:r>
              <w:rPr>
                <w:color w:val="16212B"/>
                <w:sz w:val="17"/>
              </w:rPr>
              <w:t>4 px</w:t>
            </w:r>
          </w:p>
        </w:tc>
        <w:tc>
          <w:tcPr>
            <w:tcW w:type="dxa" w:w="4320"/>
            <w:tcMar>
              <w:top w:w="100" w:type="dxa"/>
              <w:start w:w="120" w:type="dxa"/>
              <w:bottom w:w="100" w:type="dxa"/>
              <w:end w:w="120" w:type="dxa"/>
            </w:tcMar>
            <w:vAlign w:val="center"/>
          </w:tcPr>
          <w:p>
            <w:pPr>
              <w:spacing w:after="0" w:line="240" w:lineRule="auto"/>
            </w:pPr>
            <w:r>
              <w:rPr>
                <w:color w:val="16212B"/>
                <w:sz w:val="17"/>
              </w:rPr>
              <w:t>Spacing scale base</w:t>
            </w:r>
          </w:p>
        </w:tc>
      </w:tr>
      <w:tr>
        <w:tc>
          <w:tcPr>
            <w:tcW w:type="dxa" w:w="3600"/>
            <w:tcMar>
              <w:top w:w="100" w:type="dxa"/>
              <w:start w:w="120" w:type="dxa"/>
              <w:bottom w:w="100" w:type="dxa"/>
              <w:end w:w="120" w:type="dxa"/>
            </w:tcMar>
            <w:vAlign w:val="center"/>
          </w:tcPr>
          <w:p>
            <w:pPr>
              <w:spacing w:after="0" w:line="240" w:lineRule="auto"/>
            </w:pPr>
            <w:r>
              <w:rPr>
                <w:color w:val="16212B"/>
                <w:sz w:val="17"/>
              </w:rPr>
              <w:t>radius.default</w:t>
            </w:r>
          </w:p>
        </w:tc>
        <w:tc>
          <w:tcPr>
            <w:tcW w:type="dxa" w:w="1944"/>
            <w:tcMar>
              <w:top w:w="100" w:type="dxa"/>
              <w:start w:w="120" w:type="dxa"/>
              <w:bottom w:w="100" w:type="dxa"/>
              <w:end w:w="120" w:type="dxa"/>
            </w:tcMar>
            <w:vAlign w:val="center"/>
          </w:tcPr>
          <w:p>
            <w:pPr>
              <w:spacing w:after="0" w:line="240" w:lineRule="auto"/>
            </w:pPr>
            <w:r>
              <w:rPr>
                <w:color w:val="16212B"/>
                <w:sz w:val="17"/>
              </w:rPr>
              <w:t>8 px</w:t>
            </w:r>
          </w:p>
        </w:tc>
        <w:tc>
          <w:tcPr>
            <w:tcW w:type="dxa" w:w="4320"/>
            <w:tcMar>
              <w:top w:w="100" w:type="dxa"/>
              <w:start w:w="120" w:type="dxa"/>
              <w:bottom w:w="100" w:type="dxa"/>
              <w:end w:w="120" w:type="dxa"/>
            </w:tcMar>
            <w:vAlign w:val="center"/>
          </w:tcPr>
          <w:p>
            <w:pPr>
              <w:spacing w:after="0" w:line="240" w:lineRule="auto"/>
            </w:pPr>
            <w:r>
              <w:rPr>
                <w:color w:val="16212B"/>
                <w:sz w:val="17"/>
              </w:rPr>
              <w:t>Default panels/controls</w:t>
            </w:r>
          </w:p>
        </w:tc>
      </w:tr>
    </w:tbl>
    <w:p>
      <w:pPr>
        <w:spacing w:after="0"/>
      </w:pPr>
    </w:p>
    <w:p>
      <w:pPr>
        <w:spacing w:after="100" w:line="269" w:lineRule="auto"/>
      </w:pPr>
      <w:r>
        <w:rPr>
          <w:sz w:val="21"/>
        </w:rPr>
        <w:t>These values are a reference implementation baseline. Semantic meaning is normative; exact primitive hues MAY change if contrast, branding, or implementation requirements demand it, provided domain semantics remain stable.</w:t>
      </w:r>
    </w:p>
    <w:p>
      <w:pPr>
        <w:pStyle w:val="Heading1"/>
      </w:pPr>
      <w:r>
        <w:t>Annex B — Analytical Legend Baseline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20"/>
            <w:shd w:fill="17324D"/>
            <w:tcMar>
              <w:top w:w="100" w:type="dxa"/>
              <w:start w:w="120" w:type="dxa"/>
              <w:bottom w:w="100" w:type="dxa"/>
              <w:end w:w="120" w:type="dxa"/>
            </w:tcMar>
            <w:vAlign w:val="center"/>
          </w:tcPr>
          <w:p>
            <w:pPr>
              <w:jc w:val="center"/>
            </w:pPr>
            <w:r>
              <w:rPr>
                <w:b/>
                <w:color w:val="FFFFFF"/>
                <w:sz w:val="16"/>
              </w:rPr>
              <w:t>Concept</w:t>
            </w:r>
          </w:p>
        </w:tc>
        <w:tc>
          <w:tcPr>
            <w:tcW w:type="dxa" w:w="3744"/>
            <w:shd w:fill="17324D"/>
            <w:tcMar>
              <w:top w:w="100" w:type="dxa"/>
              <w:start w:w="120" w:type="dxa"/>
              <w:bottom w:w="100" w:type="dxa"/>
              <w:end w:w="120" w:type="dxa"/>
            </w:tcMar>
            <w:vAlign w:val="center"/>
          </w:tcPr>
          <w:p>
            <w:pPr>
              <w:jc w:val="center"/>
            </w:pPr>
            <w:r>
              <w:rPr>
                <w:b/>
                <w:color w:val="FFFFFF"/>
                <w:sz w:val="16"/>
              </w:rPr>
              <w:t>Required non-color cue</w:t>
            </w:r>
          </w:p>
        </w:tc>
        <w:tc>
          <w:tcPr>
            <w:tcW w:type="dxa" w:w="3671"/>
            <w:shd w:fill="17324D"/>
            <w:tcMar>
              <w:top w:w="100" w:type="dxa"/>
              <w:start w:w="120" w:type="dxa"/>
              <w:bottom w:w="100" w:type="dxa"/>
              <w:end w:w="120" w:type="dxa"/>
            </w:tcMar>
            <w:vAlign w:val="center"/>
          </w:tcPr>
          <w:p>
            <w:pPr>
              <w:jc w:val="center"/>
            </w:pPr>
            <w:r>
              <w:rPr>
                <w:b/>
                <w:color w:val="FFFFFF"/>
                <w:sz w:val="16"/>
              </w:rPr>
              <w:t>Recommended visual family</w:t>
            </w:r>
          </w:p>
        </w:tc>
      </w:tr>
      <w:tr>
        <w:tc>
          <w:tcPr>
            <w:tcW w:type="dxa" w:w="2520"/>
            <w:tcMar>
              <w:top w:w="100" w:type="dxa"/>
              <w:start w:w="120" w:type="dxa"/>
              <w:bottom w:w="100" w:type="dxa"/>
              <w:end w:w="120" w:type="dxa"/>
            </w:tcMar>
            <w:vAlign w:val="center"/>
          </w:tcPr>
          <w:p>
            <w:pPr>
              <w:spacing w:after="0" w:line="240" w:lineRule="auto"/>
            </w:pPr>
            <w:r>
              <w:rPr>
                <w:color w:val="16212B"/>
                <w:sz w:val="16"/>
              </w:rPr>
              <w:t>Claim</w:t>
            </w:r>
          </w:p>
        </w:tc>
        <w:tc>
          <w:tcPr>
            <w:tcW w:type="dxa" w:w="3744"/>
            <w:tcMar>
              <w:top w:w="100" w:type="dxa"/>
              <w:start w:w="120" w:type="dxa"/>
              <w:bottom w:w="100" w:type="dxa"/>
              <w:end w:w="120" w:type="dxa"/>
            </w:tcMar>
            <w:vAlign w:val="center"/>
          </w:tcPr>
          <w:p>
            <w:pPr>
              <w:spacing w:after="0" w:line="240" w:lineRule="auto"/>
            </w:pPr>
            <w:r>
              <w:rPr>
                <w:color w:val="16212B"/>
                <w:sz w:val="16"/>
              </w:rPr>
              <w:t>Text label “Claim”</w:t>
            </w:r>
          </w:p>
        </w:tc>
        <w:tc>
          <w:tcPr>
            <w:tcW w:type="dxa" w:w="3671"/>
            <w:tcMar>
              <w:top w:w="100" w:type="dxa"/>
              <w:start w:w="120" w:type="dxa"/>
              <w:bottom w:w="100" w:type="dxa"/>
              <w:end w:w="120" w:type="dxa"/>
            </w:tcMar>
            <w:vAlign w:val="center"/>
          </w:tcPr>
          <w:p>
            <w:pPr>
              <w:spacing w:after="0" w:line="240" w:lineRule="auto"/>
            </w:pPr>
            <w:r>
              <w:rPr>
                <w:color w:val="16212B"/>
                <w:sz w:val="16"/>
              </w:rPr>
              <w:t>Neutral outline</w:t>
            </w:r>
          </w:p>
        </w:tc>
      </w:tr>
      <w:tr>
        <w:tc>
          <w:tcPr>
            <w:tcW w:type="dxa" w:w="2520"/>
            <w:tcMar>
              <w:top w:w="100" w:type="dxa"/>
              <w:start w:w="120" w:type="dxa"/>
              <w:bottom w:w="100" w:type="dxa"/>
              <w:end w:w="120" w:type="dxa"/>
            </w:tcMar>
            <w:vAlign w:val="center"/>
          </w:tcPr>
          <w:p>
            <w:pPr>
              <w:spacing w:after="0" w:line="240" w:lineRule="auto"/>
            </w:pPr>
            <w:r>
              <w:rPr>
                <w:color w:val="16212B"/>
                <w:sz w:val="16"/>
              </w:rPr>
              <w:t>Fact</w:t>
            </w:r>
          </w:p>
        </w:tc>
        <w:tc>
          <w:tcPr>
            <w:tcW w:type="dxa" w:w="3744"/>
            <w:tcMar>
              <w:top w:w="100" w:type="dxa"/>
              <w:start w:w="120" w:type="dxa"/>
              <w:bottom w:w="100" w:type="dxa"/>
              <w:end w:w="120" w:type="dxa"/>
            </w:tcMar>
            <w:vAlign w:val="center"/>
          </w:tcPr>
          <w:p>
            <w:pPr>
              <w:spacing w:after="0" w:line="240" w:lineRule="auto"/>
            </w:pPr>
            <w:r>
              <w:rPr>
                <w:color w:val="16212B"/>
                <w:sz w:val="16"/>
              </w:rPr>
              <w:t>Text label “Fact”</w:t>
            </w:r>
          </w:p>
        </w:tc>
        <w:tc>
          <w:tcPr>
            <w:tcW w:type="dxa" w:w="3671"/>
            <w:tcMar>
              <w:top w:w="100" w:type="dxa"/>
              <w:start w:w="120" w:type="dxa"/>
              <w:bottom w:w="100" w:type="dxa"/>
              <w:end w:w="120" w:type="dxa"/>
            </w:tcMar>
            <w:vAlign w:val="center"/>
          </w:tcPr>
          <w:p>
            <w:pPr>
              <w:spacing w:after="0" w:line="240" w:lineRule="auto"/>
            </w:pPr>
            <w:r>
              <w:rPr>
                <w:color w:val="16212B"/>
                <w:sz w:val="16"/>
              </w:rPr>
              <w:t>Strong neutral/blue</w:t>
            </w:r>
          </w:p>
        </w:tc>
      </w:tr>
      <w:tr>
        <w:tc>
          <w:tcPr>
            <w:tcW w:type="dxa" w:w="2520"/>
            <w:tcMar>
              <w:top w:w="100" w:type="dxa"/>
              <w:start w:w="120" w:type="dxa"/>
              <w:bottom w:w="100" w:type="dxa"/>
              <w:end w:w="120" w:type="dxa"/>
            </w:tcMar>
            <w:vAlign w:val="center"/>
          </w:tcPr>
          <w:p>
            <w:pPr>
              <w:spacing w:after="0" w:line="240" w:lineRule="auto"/>
            </w:pPr>
            <w:r>
              <w:rPr>
                <w:color w:val="16212B"/>
                <w:sz w:val="16"/>
              </w:rPr>
              <w:t>Inference</w:t>
            </w:r>
          </w:p>
        </w:tc>
        <w:tc>
          <w:tcPr>
            <w:tcW w:type="dxa" w:w="3744"/>
            <w:tcMar>
              <w:top w:w="100" w:type="dxa"/>
              <w:start w:w="120" w:type="dxa"/>
              <w:bottom w:w="100" w:type="dxa"/>
              <w:end w:w="120" w:type="dxa"/>
            </w:tcMar>
            <w:vAlign w:val="center"/>
          </w:tcPr>
          <w:p>
            <w:pPr>
              <w:spacing w:after="0" w:line="240" w:lineRule="auto"/>
            </w:pPr>
            <w:r>
              <w:rPr>
                <w:color w:val="16212B"/>
                <w:sz w:val="16"/>
              </w:rPr>
              <w:t>Text label “Inference”</w:t>
            </w:r>
          </w:p>
        </w:tc>
        <w:tc>
          <w:tcPr>
            <w:tcW w:type="dxa" w:w="3671"/>
            <w:tcMar>
              <w:top w:w="100" w:type="dxa"/>
              <w:start w:w="120" w:type="dxa"/>
              <w:bottom w:w="100" w:type="dxa"/>
              <w:end w:w="120" w:type="dxa"/>
            </w:tcMar>
            <w:vAlign w:val="center"/>
          </w:tcPr>
          <w:p>
            <w:pPr>
              <w:spacing w:after="0" w:line="240" w:lineRule="auto"/>
            </w:pPr>
            <w:r>
              <w:rPr>
                <w:color w:val="16212B"/>
                <w:sz w:val="16"/>
              </w:rPr>
              <w:t>Purple outline</w:t>
            </w:r>
          </w:p>
        </w:tc>
      </w:tr>
      <w:tr>
        <w:tc>
          <w:tcPr>
            <w:tcW w:type="dxa" w:w="2520"/>
            <w:tcMar>
              <w:top w:w="100" w:type="dxa"/>
              <w:start w:w="120" w:type="dxa"/>
              <w:bottom w:w="100" w:type="dxa"/>
              <w:end w:w="120" w:type="dxa"/>
            </w:tcMar>
            <w:vAlign w:val="center"/>
          </w:tcPr>
          <w:p>
            <w:pPr>
              <w:spacing w:after="0" w:line="240" w:lineRule="auto"/>
            </w:pPr>
            <w:r>
              <w:rPr>
                <w:color w:val="16212B"/>
                <w:sz w:val="16"/>
              </w:rPr>
              <w:t>Disputed</w:t>
            </w:r>
          </w:p>
        </w:tc>
        <w:tc>
          <w:tcPr>
            <w:tcW w:type="dxa" w:w="3744"/>
            <w:tcMar>
              <w:top w:w="100" w:type="dxa"/>
              <w:start w:w="120" w:type="dxa"/>
              <w:bottom w:w="100" w:type="dxa"/>
              <w:end w:w="120" w:type="dxa"/>
            </w:tcMar>
            <w:vAlign w:val="center"/>
          </w:tcPr>
          <w:p>
            <w:pPr>
              <w:spacing w:after="0" w:line="240" w:lineRule="auto"/>
            </w:pPr>
            <w:r>
              <w:rPr>
                <w:color w:val="16212B"/>
                <w:sz w:val="16"/>
              </w:rPr>
              <w:t>Text label “Disputed” + icon/pattern</w:t>
            </w:r>
          </w:p>
        </w:tc>
        <w:tc>
          <w:tcPr>
            <w:tcW w:type="dxa" w:w="3671"/>
            <w:tcMar>
              <w:top w:w="100" w:type="dxa"/>
              <w:start w:w="120" w:type="dxa"/>
              <w:bottom w:w="100" w:type="dxa"/>
              <w:end w:w="120" w:type="dxa"/>
            </w:tcMar>
            <w:vAlign w:val="center"/>
          </w:tcPr>
          <w:p>
            <w:pPr>
              <w:spacing w:after="0" w:line="240" w:lineRule="auto"/>
            </w:pPr>
            <w:r>
              <w:rPr>
                <w:color w:val="16212B"/>
                <w:sz w:val="16"/>
              </w:rPr>
              <w:t>Amber</w:t>
            </w:r>
          </w:p>
        </w:tc>
      </w:tr>
      <w:tr>
        <w:tc>
          <w:tcPr>
            <w:tcW w:type="dxa" w:w="2520"/>
            <w:tcMar>
              <w:top w:w="100" w:type="dxa"/>
              <w:start w:w="120" w:type="dxa"/>
              <w:bottom w:w="100" w:type="dxa"/>
              <w:end w:w="120" w:type="dxa"/>
            </w:tcMar>
            <w:vAlign w:val="center"/>
          </w:tcPr>
          <w:p>
            <w:pPr>
              <w:spacing w:after="0" w:line="240" w:lineRule="auto"/>
            </w:pPr>
            <w:r>
              <w:rPr>
                <w:color w:val="16212B"/>
                <w:sz w:val="16"/>
              </w:rPr>
              <w:t>Unknown</w:t>
            </w:r>
          </w:p>
        </w:tc>
        <w:tc>
          <w:tcPr>
            <w:tcW w:type="dxa" w:w="3744"/>
            <w:tcMar>
              <w:top w:w="100" w:type="dxa"/>
              <w:start w:w="120" w:type="dxa"/>
              <w:bottom w:w="100" w:type="dxa"/>
              <w:end w:w="120" w:type="dxa"/>
            </w:tcMar>
            <w:vAlign w:val="center"/>
          </w:tcPr>
          <w:p>
            <w:pPr>
              <w:spacing w:after="0" w:line="240" w:lineRule="auto"/>
            </w:pPr>
            <w:r>
              <w:rPr>
                <w:color w:val="16212B"/>
                <w:sz w:val="16"/>
              </w:rPr>
              <w:t>Text label “Unknown” + dashed treatment</w:t>
            </w:r>
          </w:p>
        </w:tc>
        <w:tc>
          <w:tcPr>
            <w:tcW w:type="dxa" w:w="3671"/>
            <w:tcMar>
              <w:top w:w="100" w:type="dxa"/>
              <w:start w:w="120" w:type="dxa"/>
              <w:bottom w:w="100" w:type="dxa"/>
              <w:end w:w="120" w:type="dxa"/>
            </w:tcMar>
            <w:vAlign w:val="center"/>
          </w:tcPr>
          <w:p>
            <w:pPr>
              <w:spacing w:after="0" w:line="240" w:lineRule="auto"/>
            </w:pPr>
            <w:r>
              <w:rPr>
                <w:color w:val="16212B"/>
                <w:sz w:val="16"/>
              </w:rPr>
              <w:t>Gray</w:t>
            </w:r>
          </w:p>
        </w:tc>
      </w:tr>
      <w:tr>
        <w:tc>
          <w:tcPr>
            <w:tcW w:type="dxa" w:w="2520"/>
            <w:tcMar>
              <w:top w:w="100" w:type="dxa"/>
              <w:start w:w="120" w:type="dxa"/>
              <w:bottom w:w="100" w:type="dxa"/>
              <w:end w:w="120" w:type="dxa"/>
            </w:tcMar>
            <w:vAlign w:val="center"/>
          </w:tcPr>
          <w:p>
            <w:pPr>
              <w:spacing w:after="0" w:line="240" w:lineRule="auto"/>
            </w:pPr>
            <w:r>
              <w:rPr>
                <w:color w:val="16212B"/>
                <w:sz w:val="16"/>
              </w:rPr>
              <w:t>DIRECT flow</w:t>
            </w:r>
          </w:p>
        </w:tc>
        <w:tc>
          <w:tcPr>
            <w:tcW w:type="dxa" w:w="3744"/>
            <w:tcMar>
              <w:top w:w="100" w:type="dxa"/>
              <w:start w:w="120" w:type="dxa"/>
              <w:bottom w:w="100" w:type="dxa"/>
              <w:end w:w="120" w:type="dxa"/>
            </w:tcMar>
            <w:vAlign w:val="center"/>
          </w:tcPr>
          <w:p>
            <w:pPr>
              <w:spacing w:after="0" w:line="240" w:lineRule="auto"/>
            </w:pPr>
            <w:r>
              <w:rPr>
                <w:color w:val="16212B"/>
                <w:sz w:val="16"/>
              </w:rPr>
              <w:t>DIRECT label + solid line</w:t>
            </w:r>
          </w:p>
        </w:tc>
        <w:tc>
          <w:tcPr>
            <w:tcW w:type="dxa" w:w="3671"/>
            <w:tcMar>
              <w:top w:w="100" w:type="dxa"/>
              <w:start w:w="120" w:type="dxa"/>
              <w:bottom w:w="100" w:type="dxa"/>
              <w:end w:w="120" w:type="dxa"/>
            </w:tcMar>
            <w:vAlign w:val="center"/>
          </w:tcPr>
          <w:p>
            <w:pPr>
              <w:spacing w:after="0" w:line="240" w:lineRule="auto"/>
            </w:pPr>
            <w:r>
              <w:rPr>
                <w:color w:val="16212B"/>
                <w:sz w:val="16"/>
              </w:rPr>
              <w:t>Neutral/blue</w:t>
            </w:r>
          </w:p>
        </w:tc>
      </w:tr>
      <w:tr>
        <w:tc>
          <w:tcPr>
            <w:tcW w:type="dxa" w:w="2520"/>
            <w:tcMar>
              <w:top w:w="100" w:type="dxa"/>
              <w:start w:w="120" w:type="dxa"/>
              <w:bottom w:w="100" w:type="dxa"/>
              <w:end w:w="120" w:type="dxa"/>
            </w:tcMar>
            <w:vAlign w:val="center"/>
          </w:tcPr>
          <w:p>
            <w:pPr>
              <w:spacing w:after="0" w:line="240" w:lineRule="auto"/>
            </w:pPr>
            <w:r>
              <w:rPr>
                <w:color w:val="16212B"/>
                <w:sz w:val="16"/>
              </w:rPr>
              <w:t>DOCUMENTED flow</w:t>
            </w:r>
          </w:p>
        </w:tc>
        <w:tc>
          <w:tcPr>
            <w:tcW w:type="dxa" w:w="3744"/>
            <w:tcMar>
              <w:top w:w="100" w:type="dxa"/>
              <w:start w:w="120" w:type="dxa"/>
              <w:bottom w:w="100" w:type="dxa"/>
              <w:end w:w="120" w:type="dxa"/>
            </w:tcMar>
            <w:vAlign w:val="center"/>
          </w:tcPr>
          <w:p>
            <w:pPr>
              <w:spacing w:after="0" w:line="240" w:lineRule="auto"/>
            </w:pPr>
            <w:r>
              <w:rPr>
                <w:color w:val="16212B"/>
                <w:sz w:val="16"/>
              </w:rPr>
              <w:t>DOCUMENTED label + distinct solid line</w:t>
            </w:r>
          </w:p>
        </w:tc>
        <w:tc>
          <w:tcPr>
            <w:tcW w:type="dxa" w:w="3671"/>
            <w:tcMar>
              <w:top w:w="100" w:type="dxa"/>
              <w:start w:w="120" w:type="dxa"/>
              <w:bottom w:w="100" w:type="dxa"/>
              <w:end w:w="120" w:type="dxa"/>
            </w:tcMar>
            <w:vAlign w:val="center"/>
          </w:tcPr>
          <w:p>
            <w:pPr>
              <w:spacing w:after="0" w:line="240" w:lineRule="auto"/>
            </w:pPr>
            <w:r>
              <w:rPr>
                <w:color w:val="16212B"/>
                <w:sz w:val="16"/>
              </w:rPr>
              <w:t>Cyan</w:t>
            </w:r>
          </w:p>
        </w:tc>
      </w:tr>
      <w:tr>
        <w:tc>
          <w:tcPr>
            <w:tcW w:type="dxa" w:w="2520"/>
            <w:tcMar>
              <w:top w:w="100" w:type="dxa"/>
              <w:start w:w="120" w:type="dxa"/>
              <w:bottom w:w="100" w:type="dxa"/>
              <w:end w:w="120" w:type="dxa"/>
            </w:tcMar>
            <w:vAlign w:val="center"/>
          </w:tcPr>
          <w:p>
            <w:pPr>
              <w:spacing w:after="0" w:line="240" w:lineRule="auto"/>
            </w:pPr>
            <w:r>
              <w:rPr>
                <w:color w:val="16212B"/>
                <w:sz w:val="16"/>
              </w:rPr>
              <w:t>RECONSTRUCTED flow</w:t>
            </w:r>
          </w:p>
        </w:tc>
        <w:tc>
          <w:tcPr>
            <w:tcW w:type="dxa" w:w="3744"/>
            <w:tcMar>
              <w:top w:w="100" w:type="dxa"/>
              <w:start w:w="120" w:type="dxa"/>
              <w:bottom w:w="100" w:type="dxa"/>
              <w:end w:w="120" w:type="dxa"/>
            </w:tcMar>
            <w:vAlign w:val="center"/>
          </w:tcPr>
          <w:p>
            <w:pPr>
              <w:spacing w:after="0" w:line="240" w:lineRule="auto"/>
            </w:pPr>
            <w:r>
              <w:rPr>
                <w:color w:val="16212B"/>
                <w:sz w:val="16"/>
              </w:rPr>
              <w:t>RECONSTRUCTED label + dashed line</w:t>
            </w:r>
          </w:p>
        </w:tc>
        <w:tc>
          <w:tcPr>
            <w:tcW w:type="dxa" w:w="3671"/>
            <w:tcMar>
              <w:top w:w="100" w:type="dxa"/>
              <w:start w:w="120" w:type="dxa"/>
              <w:bottom w:w="100" w:type="dxa"/>
              <w:end w:w="120" w:type="dxa"/>
            </w:tcMar>
            <w:vAlign w:val="center"/>
          </w:tcPr>
          <w:p>
            <w:pPr>
              <w:spacing w:after="0" w:line="240" w:lineRule="auto"/>
            </w:pPr>
            <w:r>
              <w:rPr>
                <w:color w:val="16212B"/>
                <w:sz w:val="16"/>
              </w:rPr>
              <w:t>Purple/neutral</w:t>
            </w:r>
          </w:p>
        </w:tc>
      </w:tr>
      <w:tr>
        <w:tc>
          <w:tcPr>
            <w:tcW w:type="dxa" w:w="2520"/>
            <w:tcMar>
              <w:top w:w="100" w:type="dxa"/>
              <w:start w:w="120" w:type="dxa"/>
              <w:bottom w:w="100" w:type="dxa"/>
              <w:end w:w="120" w:type="dxa"/>
            </w:tcMar>
            <w:vAlign w:val="center"/>
          </w:tcPr>
          <w:p>
            <w:pPr>
              <w:spacing w:after="0" w:line="240" w:lineRule="auto"/>
            </w:pPr>
            <w:r>
              <w:rPr>
                <w:color w:val="16212B"/>
                <w:sz w:val="16"/>
              </w:rPr>
              <w:t>HYPOTHETICAL flow</w:t>
            </w:r>
          </w:p>
        </w:tc>
        <w:tc>
          <w:tcPr>
            <w:tcW w:type="dxa" w:w="3744"/>
            <w:tcMar>
              <w:top w:w="100" w:type="dxa"/>
              <w:start w:w="120" w:type="dxa"/>
              <w:bottom w:w="100" w:type="dxa"/>
              <w:end w:w="120" w:type="dxa"/>
            </w:tcMar>
            <w:vAlign w:val="center"/>
          </w:tcPr>
          <w:p>
            <w:pPr>
              <w:spacing w:after="0" w:line="240" w:lineRule="auto"/>
            </w:pPr>
            <w:r>
              <w:rPr>
                <w:color w:val="16212B"/>
                <w:sz w:val="16"/>
              </w:rPr>
              <w:t>HYPOTHETICAL label + dotted line</w:t>
            </w:r>
          </w:p>
        </w:tc>
        <w:tc>
          <w:tcPr>
            <w:tcW w:type="dxa" w:w="3671"/>
            <w:tcMar>
              <w:top w:w="100" w:type="dxa"/>
              <w:start w:w="120" w:type="dxa"/>
              <w:bottom w:w="100" w:type="dxa"/>
              <w:end w:w="120" w:type="dxa"/>
            </w:tcMar>
            <w:vAlign w:val="center"/>
          </w:tcPr>
          <w:p>
            <w:pPr>
              <w:spacing w:after="0" w:line="240" w:lineRule="auto"/>
            </w:pPr>
            <w:r>
              <w:rPr>
                <w:color w:val="16212B"/>
                <w:sz w:val="16"/>
              </w:rPr>
              <w:t>Gray/purple</w:t>
            </w:r>
          </w:p>
        </w:tc>
      </w:tr>
      <w:tr>
        <w:tc>
          <w:tcPr>
            <w:tcW w:type="dxa" w:w="2520"/>
            <w:tcMar>
              <w:top w:w="100" w:type="dxa"/>
              <w:start w:w="120" w:type="dxa"/>
              <w:bottom w:w="100" w:type="dxa"/>
              <w:end w:w="120" w:type="dxa"/>
            </w:tcMar>
            <w:vAlign w:val="center"/>
          </w:tcPr>
          <w:p>
            <w:pPr>
              <w:spacing w:after="0" w:line="240" w:lineRule="auto"/>
            </w:pPr>
            <w:r>
              <w:rPr>
                <w:color w:val="16212B"/>
                <w:sz w:val="16"/>
              </w:rPr>
              <w:t>Restricted classification</w:t>
            </w:r>
          </w:p>
        </w:tc>
        <w:tc>
          <w:tcPr>
            <w:tcW w:type="dxa" w:w="3744"/>
            <w:tcMar>
              <w:top w:w="100" w:type="dxa"/>
              <w:start w:w="120" w:type="dxa"/>
              <w:bottom w:w="100" w:type="dxa"/>
              <w:end w:w="120" w:type="dxa"/>
            </w:tcMar>
            <w:vAlign w:val="center"/>
          </w:tcPr>
          <w:p>
            <w:pPr>
              <w:spacing w:after="0" w:line="240" w:lineRule="auto"/>
            </w:pPr>
            <w:r>
              <w:rPr>
                <w:color w:val="16212B"/>
                <w:sz w:val="16"/>
              </w:rPr>
              <w:t>Text + lock symbol</w:t>
            </w:r>
          </w:p>
        </w:tc>
        <w:tc>
          <w:tcPr>
            <w:tcW w:type="dxa" w:w="3671"/>
            <w:tcMar>
              <w:top w:w="100" w:type="dxa"/>
              <w:start w:w="120" w:type="dxa"/>
              <w:bottom w:w="100" w:type="dxa"/>
              <w:end w:w="120" w:type="dxa"/>
            </w:tcMar>
            <w:vAlign w:val="center"/>
          </w:tcPr>
          <w:p>
            <w:pPr>
              <w:spacing w:after="0" w:line="240" w:lineRule="auto"/>
            </w:pPr>
            <w:r>
              <w:rPr>
                <w:color w:val="16212B"/>
                <w:sz w:val="16"/>
              </w:rPr>
              <w:t>Amber/brown</w:t>
            </w:r>
          </w:p>
        </w:tc>
      </w:tr>
      <w:tr>
        <w:tc>
          <w:tcPr>
            <w:tcW w:type="dxa" w:w="2520"/>
            <w:tcMar>
              <w:top w:w="100" w:type="dxa"/>
              <w:start w:w="120" w:type="dxa"/>
              <w:bottom w:w="100" w:type="dxa"/>
              <w:end w:w="120" w:type="dxa"/>
            </w:tcMar>
            <w:vAlign w:val="center"/>
          </w:tcPr>
          <w:p>
            <w:pPr>
              <w:spacing w:after="0" w:line="240" w:lineRule="auto"/>
            </w:pPr>
            <w:r>
              <w:rPr>
                <w:color w:val="16212B"/>
                <w:sz w:val="16"/>
              </w:rPr>
              <w:t>Source-Protected</w:t>
            </w:r>
          </w:p>
        </w:tc>
        <w:tc>
          <w:tcPr>
            <w:tcW w:type="dxa" w:w="3744"/>
            <w:tcMar>
              <w:top w:w="100" w:type="dxa"/>
              <w:start w:w="120" w:type="dxa"/>
              <w:bottom w:w="100" w:type="dxa"/>
              <w:end w:w="120" w:type="dxa"/>
            </w:tcMar>
            <w:vAlign w:val="center"/>
          </w:tcPr>
          <w:p>
            <w:pPr>
              <w:spacing w:after="0" w:line="240" w:lineRule="auto"/>
            </w:pPr>
            <w:r>
              <w:rPr>
                <w:color w:val="16212B"/>
                <w:sz w:val="16"/>
              </w:rPr>
              <w:t>Text + shield/lock symbol</w:t>
            </w:r>
          </w:p>
        </w:tc>
        <w:tc>
          <w:tcPr>
            <w:tcW w:type="dxa" w:w="3671"/>
            <w:tcMar>
              <w:top w:w="100" w:type="dxa"/>
              <w:start w:w="120" w:type="dxa"/>
              <w:bottom w:w="100" w:type="dxa"/>
              <w:end w:w="120" w:type="dxa"/>
            </w:tcMar>
            <w:vAlign w:val="center"/>
          </w:tcPr>
          <w:p>
            <w:pPr>
              <w:spacing w:after="0" w:line="240" w:lineRule="auto"/>
            </w:pPr>
            <w:r>
              <w:rPr>
                <w:color w:val="16212B"/>
                <w:sz w:val="16"/>
              </w:rPr>
              <w:t>Distinct secure treatment</w:t>
            </w:r>
          </w:p>
        </w:tc>
      </w:tr>
    </w:tbl>
    <w:p>
      <w:pPr>
        <w:spacing w:after="0"/>
      </w:pPr>
    </w:p>
    <w:p>
      <w:pPr>
        <w:pStyle w:val="Heading1"/>
      </w:pPr>
      <w:r>
        <w:t>Annex C — UI Design Review Checklist</w:t>
      </w:r>
    </w:p>
    <w:p>
      <w:pPr>
        <w:pStyle w:val="ListBullet"/>
        <w:spacing w:after="40" w:line="259" w:lineRule="auto"/>
      </w:pPr>
      <w:r>
        <w:rPr>
          <w:sz w:val="20"/>
        </w:rPr>
        <w:t>Does the screen use canonical design-system components where available?</w:t>
      </w:r>
    </w:p>
    <w:p>
      <w:pPr>
        <w:pStyle w:val="ListBullet"/>
        <w:spacing w:after="40" w:line="259" w:lineRule="auto"/>
      </w:pPr>
      <w:r>
        <w:rPr>
          <w:sz w:val="20"/>
        </w:rPr>
        <w:t>Are proposition, confidence, flow, classification, and review states semantically correct?</w:t>
      </w:r>
    </w:p>
    <w:p>
      <w:pPr>
        <w:pStyle w:val="ListBullet"/>
        <w:spacing w:after="40" w:line="259" w:lineRule="auto"/>
      </w:pPr>
      <w:r>
        <w:rPr>
          <w:sz w:val="20"/>
        </w:rPr>
        <w:t>Does any color, icon, size, ranking, or animation imply guilt or suspicion without methodological basis?</w:t>
      </w:r>
    </w:p>
    <w:p>
      <w:pPr>
        <w:pStyle w:val="ListBullet"/>
        <w:spacing w:after="40" w:line="259" w:lineRule="auto"/>
      </w:pPr>
      <w:r>
        <w:rPr>
          <w:sz w:val="20"/>
        </w:rPr>
        <w:t>Can critical meaning be understood without color?</w:t>
      </w:r>
    </w:p>
    <w:p>
      <w:pPr>
        <w:pStyle w:val="ListBullet"/>
        <w:spacing w:after="40" w:line="259" w:lineRule="auto"/>
      </w:pPr>
      <w:r>
        <w:rPr>
          <w:sz w:val="20"/>
        </w:rPr>
        <w:t>Are focus, keyboard, error, loading, empty, read-only, conflict, and permission states addressed?</w:t>
      </w:r>
    </w:p>
    <w:p>
      <w:pPr>
        <w:pStyle w:val="ListBullet"/>
        <w:spacing w:after="40" w:line="259" w:lineRule="auto"/>
      </w:pPr>
      <w:r>
        <w:rPr>
          <w:sz w:val="20"/>
        </w:rPr>
        <w:t>Are provenance and evidence links visually inspectable where decisions depend on them?</w:t>
      </w:r>
    </w:p>
    <w:p>
      <w:pPr>
        <w:pStyle w:val="ListBullet"/>
        <w:spacing w:after="40" w:line="259" w:lineRule="auto"/>
      </w:pPr>
      <w:r>
        <w:rPr>
          <w:sz w:val="20"/>
        </w:rPr>
        <w:t>Do graphs/timelines/value-flow views provide legends and accessible alternatives?</w:t>
      </w:r>
    </w:p>
    <w:p>
      <w:pPr>
        <w:pStyle w:val="ListBullet"/>
        <w:spacing w:after="40" w:line="259" w:lineRule="auto"/>
      </w:pPr>
      <w:r>
        <w:rPr>
          <w:sz w:val="20"/>
        </w:rPr>
        <w:t>Do destructive or external actions state their consequence?</w:t>
      </w:r>
    </w:p>
    <w:p>
      <w:pPr>
        <w:pStyle w:val="ListBullet"/>
        <w:spacing w:after="40" w:line="259" w:lineRule="auto"/>
      </w:pPr>
      <w:r>
        <w:rPr>
          <w:sz w:val="20"/>
        </w:rPr>
        <w:t>Are compact/dense layouts still readable and accessible?</w:t>
      </w:r>
    </w:p>
    <w:p>
      <w:pPr>
        <w:pStyle w:val="ListBullet"/>
        <w:spacing w:after="40" w:line="259" w:lineRule="auto"/>
      </w:pPr>
      <w:r>
        <w:rPr>
          <w:sz w:val="20"/>
        </w:rPr>
        <w:t>Will the visual semantics survive screenshot/PDF/grayscale export?</w:t>
      </w:r>
    </w:p>
    <w:p>
      <w:pPr>
        <w:pStyle w:val="ListBullet"/>
        <w:spacing w:after="40" w:line="259" w:lineRule="auto"/>
      </w:pPr>
      <w:r>
        <w:rPr>
          <w:sz w:val="20"/>
        </w:rPr>
        <w:t>Does the implementation use semantic tokens instead of feature-specific raw values?</w:t>
      </w:r>
    </w:p>
    <w:p>
      <w:pPr>
        <w:pStyle w:val="ListBullet"/>
        <w:spacing w:after="40" w:line="259" w:lineRule="auto"/>
      </w:pPr>
      <w:r>
        <w:rPr>
          <w:sz w:val="20"/>
        </w:rPr>
        <w:t>Has the change been checked against UX, IA, Screen Inventory, and Wireframe specifications?</w:t>
      </w:r>
    </w:p>
    <w:p>
      <w:pPr>
        <w:pStyle w:val="Heading1"/>
      </w:pPr>
      <w:r>
        <w:t>Annex D — UI Design System Handoff Contract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17324D"/>
            <w:tcMar>
              <w:top w:w="100" w:type="dxa"/>
              <w:start w:w="120" w:type="dxa"/>
              <w:bottom w:w="100" w:type="dxa"/>
              <w:end w:w="120" w:type="dxa"/>
            </w:tcMar>
            <w:vAlign w:val="center"/>
          </w:tcPr>
          <w:p>
            <w:pPr>
              <w:jc w:val="center"/>
            </w:pPr>
            <w:r>
              <w:rPr>
                <w:b/>
                <w:color w:val="FFFFFF"/>
                <w:sz w:val="17"/>
              </w:rPr>
              <w:t>Discipline</w:t>
            </w:r>
          </w:p>
        </w:tc>
        <w:tc>
          <w:tcPr>
            <w:tcW w:type="dxa" w:w="4031"/>
            <w:shd w:fill="17324D"/>
            <w:tcMar>
              <w:top w:w="100" w:type="dxa"/>
              <w:start w:w="120" w:type="dxa"/>
              <w:bottom w:w="100" w:type="dxa"/>
              <w:end w:w="120" w:type="dxa"/>
            </w:tcMar>
            <w:vAlign w:val="center"/>
          </w:tcPr>
          <w:p>
            <w:pPr>
              <w:jc w:val="center"/>
            </w:pPr>
            <w:r>
              <w:rPr>
                <w:b/>
                <w:color w:val="FFFFFF"/>
                <w:sz w:val="17"/>
              </w:rPr>
              <w:t>Owns</w:t>
            </w:r>
          </w:p>
        </w:tc>
        <w:tc>
          <w:tcPr>
            <w:tcW w:type="dxa" w:w="3456"/>
            <w:shd w:fill="17324D"/>
            <w:tcMar>
              <w:top w:w="100" w:type="dxa"/>
              <w:start w:w="120" w:type="dxa"/>
              <w:bottom w:w="100" w:type="dxa"/>
              <w:end w:w="120" w:type="dxa"/>
            </w:tcMar>
            <w:vAlign w:val="center"/>
          </w:tcPr>
          <w:p>
            <w:pPr>
              <w:jc w:val="center"/>
            </w:pPr>
            <w:r>
              <w:rPr>
                <w:b/>
                <w:color w:val="FFFFFF"/>
                <w:sz w:val="17"/>
              </w:rPr>
              <w:t>Consumes from UI DS</w:t>
            </w:r>
          </w:p>
        </w:tc>
      </w:tr>
      <w:tr>
        <w:tc>
          <w:tcPr>
            <w:tcW w:type="dxa" w:w="2448"/>
            <w:tcMar>
              <w:top w:w="100" w:type="dxa"/>
              <w:start w:w="120" w:type="dxa"/>
              <w:bottom w:w="100" w:type="dxa"/>
              <w:end w:w="120" w:type="dxa"/>
            </w:tcMar>
            <w:vAlign w:val="center"/>
          </w:tcPr>
          <w:p>
            <w:pPr>
              <w:spacing w:after="0" w:line="240" w:lineRule="auto"/>
            </w:pPr>
            <w:r>
              <w:rPr>
                <w:color w:val="16212B"/>
                <w:sz w:val="17"/>
              </w:rPr>
              <w:t>UX</w:t>
            </w:r>
          </w:p>
        </w:tc>
        <w:tc>
          <w:tcPr>
            <w:tcW w:type="dxa" w:w="4031"/>
            <w:tcMar>
              <w:top w:w="100" w:type="dxa"/>
              <w:start w:w="120" w:type="dxa"/>
              <w:bottom w:w="100" w:type="dxa"/>
              <w:end w:w="120" w:type="dxa"/>
            </w:tcMar>
            <w:vAlign w:val="center"/>
          </w:tcPr>
          <w:p>
            <w:pPr>
              <w:spacing w:after="0" w:line="240" w:lineRule="auto"/>
            </w:pPr>
            <w:r>
              <w:rPr>
                <w:color w:val="16212B"/>
                <w:sz w:val="17"/>
              </w:rPr>
              <w:t>Task flow, interaction behaviour, feedback, safety</w:t>
            </w:r>
          </w:p>
        </w:tc>
        <w:tc>
          <w:tcPr>
            <w:tcW w:type="dxa" w:w="3456"/>
            <w:tcMar>
              <w:top w:w="100" w:type="dxa"/>
              <w:start w:w="120" w:type="dxa"/>
              <w:bottom w:w="100" w:type="dxa"/>
              <w:end w:w="120" w:type="dxa"/>
            </w:tcMar>
            <w:vAlign w:val="center"/>
          </w:tcPr>
          <w:p>
            <w:pPr>
              <w:spacing w:after="0" w:line="240" w:lineRule="auto"/>
            </w:pPr>
            <w:r>
              <w:rPr>
                <w:color w:val="16212B"/>
                <w:sz w:val="17"/>
              </w:rPr>
              <w:t>Components, states, semantic visual tokens</w:t>
            </w:r>
          </w:p>
        </w:tc>
      </w:tr>
      <w:tr>
        <w:tc>
          <w:tcPr>
            <w:tcW w:type="dxa" w:w="2448"/>
            <w:tcMar>
              <w:top w:w="100" w:type="dxa"/>
              <w:start w:w="120" w:type="dxa"/>
              <w:bottom w:w="100" w:type="dxa"/>
              <w:end w:w="120" w:type="dxa"/>
            </w:tcMar>
            <w:vAlign w:val="center"/>
          </w:tcPr>
          <w:p>
            <w:pPr>
              <w:spacing w:after="0" w:line="240" w:lineRule="auto"/>
            </w:pPr>
            <w:r>
              <w:rPr>
                <w:color w:val="16212B"/>
                <w:sz w:val="17"/>
              </w:rPr>
              <w:t>Information Architecture</w:t>
            </w:r>
          </w:p>
        </w:tc>
        <w:tc>
          <w:tcPr>
            <w:tcW w:type="dxa" w:w="4031"/>
            <w:tcMar>
              <w:top w:w="100" w:type="dxa"/>
              <w:start w:w="120" w:type="dxa"/>
              <w:bottom w:w="100" w:type="dxa"/>
              <w:end w:w="120" w:type="dxa"/>
            </w:tcMar>
            <w:vAlign w:val="center"/>
          </w:tcPr>
          <w:p>
            <w:pPr>
              <w:spacing w:after="0" w:line="240" w:lineRule="auto"/>
            </w:pPr>
            <w:r>
              <w:rPr>
                <w:color w:val="16212B"/>
                <w:sz w:val="17"/>
              </w:rPr>
              <w:t>Navigation, hierarchy, taxonomy, labels</w:t>
            </w:r>
          </w:p>
        </w:tc>
        <w:tc>
          <w:tcPr>
            <w:tcW w:type="dxa" w:w="3456"/>
            <w:tcMar>
              <w:top w:w="100" w:type="dxa"/>
              <w:start w:w="120" w:type="dxa"/>
              <w:bottom w:w="100" w:type="dxa"/>
              <w:end w:w="120" w:type="dxa"/>
            </w:tcMar>
            <w:vAlign w:val="center"/>
          </w:tcPr>
          <w:p>
            <w:pPr>
              <w:spacing w:after="0" w:line="240" w:lineRule="auto"/>
            </w:pPr>
            <w:r>
              <w:rPr>
                <w:color w:val="16212B"/>
                <w:sz w:val="17"/>
              </w:rPr>
              <w:t>Component affordances and state presentation</w:t>
            </w:r>
          </w:p>
        </w:tc>
      </w:tr>
      <w:tr>
        <w:tc>
          <w:tcPr>
            <w:tcW w:type="dxa" w:w="2448"/>
            <w:tcMar>
              <w:top w:w="100" w:type="dxa"/>
              <w:start w:w="120" w:type="dxa"/>
              <w:bottom w:w="100" w:type="dxa"/>
              <w:end w:w="120" w:type="dxa"/>
            </w:tcMar>
            <w:vAlign w:val="center"/>
          </w:tcPr>
          <w:p>
            <w:pPr>
              <w:spacing w:after="0" w:line="240" w:lineRule="auto"/>
            </w:pPr>
            <w:r>
              <w:rPr>
                <w:color w:val="16212B"/>
                <w:sz w:val="17"/>
              </w:rPr>
              <w:t>Frontend Engineering</w:t>
            </w:r>
          </w:p>
        </w:tc>
        <w:tc>
          <w:tcPr>
            <w:tcW w:type="dxa" w:w="4031"/>
            <w:tcMar>
              <w:top w:w="100" w:type="dxa"/>
              <w:start w:w="120" w:type="dxa"/>
              <w:bottom w:w="100" w:type="dxa"/>
              <w:end w:w="120" w:type="dxa"/>
            </w:tcMar>
            <w:vAlign w:val="center"/>
          </w:tcPr>
          <w:p>
            <w:pPr>
              <w:spacing w:after="0" w:line="240" w:lineRule="auto"/>
            </w:pPr>
            <w:r>
              <w:rPr>
                <w:color w:val="16212B"/>
                <w:sz w:val="17"/>
              </w:rPr>
              <w:t>Implementation, component APIs, rendering</w:t>
            </w:r>
          </w:p>
        </w:tc>
        <w:tc>
          <w:tcPr>
            <w:tcW w:type="dxa" w:w="3456"/>
            <w:tcMar>
              <w:top w:w="100" w:type="dxa"/>
              <w:start w:w="120" w:type="dxa"/>
              <w:bottom w:w="100" w:type="dxa"/>
              <w:end w:w="120" w:type="dxa"/>
            </w:tcMar>
            <w:vAlign w:val="center"/>
          </w:tcPr>
          <w:p>
            <w:pPr>
              <w:spacing w:after="0" w:line="240" w:lineRule="auto"/>
            </w:pPr>
            <w:r>
              <w:rPr>
                <w:color w:val="16212B"/>
                <w:sz w:val="17"/>
              </w:rPr>
              <w:t>Tokens, component contracts, accessibility rules</w:t>
            </w:r>
          </w:p>
        </w:tc>
      </w:tr>
      <w:tr>
        <w:tc>
          <w:tcPr>
            <w:tcW w:type="dxa" w:w="2448"/>
            <w:tcMar>
              <w:top w:w="100" w:type="dxa"/>
              <w:start w:w="120" w:type="dxa"/>
              <w:bottom w:w="100" w:type="dxa"/>
              <w:end w:w="120" w:type="dxa"/>
            </w:tcMar>
            <w:vAlign w:val="center"/>
          </w:tcPr>
          <w:p>
            <w:pPr>
              <w:spacing w:after="0" w:line="240" w:lineRule="auto"/>
            </w:pPr>
            <w:r>
              <w:rPr>
                <w:color w:val="16212B"/>
                <w:sz w:val="17"/>
              </w:rPr>
              <w:t>QA / Accessibility</w:t>
            </w:r>
          </w:p>
        </w:tc>
        <w:tc>
          <w:tcPr>
            <w:tcW w:type="dxa" w:w="4031"/>
            <w:tcMar>
              <w:top w:w="100" w:type="dxa"/>
              <w:start w:w="120" w:type="dxa"/>
              <w:bottom w:w="100" w:type="dxa"/>
              <w:end w:w="120" w:type="dxa"/>
            </w:tcMar>
            <w:vAlign w:val="center"/>
          </w:tcPr>
          <w:p>
            <w:pPr>
              <w:spacing w:after="0" w:line="240" w:lineRule="auto"/>
            </w:pPr>
            <w:r>
              <w:rPr>
                <w:color w:val="16212B"/>
                <w:sz w:val="17"/>
              </w:rPr>
              <w:t>Verification</w:t>
            </w:r>
          </w:p>
        </w:tc>
        <w:tc>
          <w:tcPr>
            <w:tcW w:type="dxa" w:w="3456"/>
            <w:tcMar>
              <w:top w:w="100" w:type="dxa"/>
              <w:start w:w="120" w:type="dxa"/>
              <w:bottom w:w="100" w:type="dxa"/>
              <w:end w:w="120" w:type="dxa"/>
            </w:tcMar>
            <w:vAlign w:val="center"/>
          </w:tcPr>
          <w:p>
            <w:pPr>
              <w:spacing w:after="0" w:line="240" w:lineRule="auto"/>
            </w:pPr>
            <w:r>
              <w:rPr>
                <w:color w:val="16212B"/>
                <w:sz w:val="17"/>
              </w:rPr>
              <w:t>Expected variants/states and test requirements</w:t>
            </w:r>
          </w:p>
        </w:tc>
      </w:tr>
      <w:tr>
        <w:tc>
          <w:tcPr>
            <w:tcW w:type="dxa" w:w="2448"/>
            <w:tcMar>
              <w:top w:w="100" w:type="dxa"/>
              <w:start w:w="120" w:type="dxa"/>
              <w:bottom w:w="100" w:type="dxa"/>
              <w:end w:w="120" w:type="dxa"/>
            </w:tcMar>
            <w:vAlign w:val="center"/>
          </w:tcPr>
          <w:p>
            <w:pPr>
              <w:spacing w:after="0" w:line="240" w:lineRule="auto"/>
            </w:pPr>
            <w:r>
              <w:rPr>
                <w:color w:val="16212B"/>
                <w:sz w:val="17"/>
              </w:rPr>
              <w:t>Domain / Methodology</w:t>
            </w:r>
          </w:p>
        </w:tc>
        <w:tc>
          <w:tcPr>
            <w:tcW w:type="dxa" w:w="4031"/>
            <w:tcMar>
              <w:top w:w="100" w:type="dxa"/>
              <w:start w:w="120" w:type="dxa"/>
              <w:bottom w:w="100" w:type="dxa"/>
              <w:end w:w="120" w:type="dxa"/>
            </w:tcMar>
            <w:vAlign w:val="center"/>
          </w:tcPr>
          <w:p>
            <w:pPr>
              <w:spacing w:after="0" w:line="240" w:lineRule="auto"/>
            </w:pPr>
            <w:r>
              <w:rPr>
                <w:color w:val="16212B"/>
                <w:sz w:val="17"/>
              </w:rPr>
              <w:t>Analytical meaning</w:t>
            </w:r>
          </w:p>
        </w:tc>
        <w:tc>
          <w:tcPr>
            <w:tcW w:type="dxa" w:w="3456"/>
            <w:tcMar>
              <w:top w:w="100" w:type="dxa"/>
              <w:start w:w="120" w:type="dxa"/>
              <w:bottom w:w="100" w:type="dxa"/>
              <w:end w:w="120" w:type="dxa"/>
            </w:tcMar>
            <w:vAlign w:val="center"/>
          </w:tcPr>
          <w:p>
            <w:pPr>
              <w:spacing w:after="0" w:line="240" w:lineRule="auto"/>
            </w:pPr>
            <w:r>
              <w:rPr>
                <w:color w:val="16212B"/>
                <w:sz w:val="17"/>
              </w:rPr>
              <w:t>Visual mappings for epistemic/provenance states</w:t>
            </w:r>
          </w:p>
        </w:tc>
      </w:tr>
      <w:tr>
        <w:tc>
          <w:tcPr>
            <w:tcW w:type="dxa" w:w="2448"/>
            <w:tcMar>
              <w:top w:w="100" w:type="dxa"/>
              <w:start w:w="120" w:type="dxa"/>
              <w:bottom w:w="100" w:type="dxa"/>
              <w:end w:w="120" w:type="dxa"/>
            </w:tcMar>
            <w:vAlign w:val="center"/>
          </w:tcPr>
          <w:p>
            <w:pPr>
              <w:spacing w:after="0" w:line="240" w:lineRule="auto"/>
            </w:pPr>
            <w:r>
              <w:rPr>
                <w:color w:val="16212B"/>
                <w:sz w:val="17"/>
              </w:rPr>
              <w:t>Product</w:t>
            </w:r>
          </w:p>
        </w:tc>
        <w:tc>
          <w:tcPr>
            <w:tcW w:type="dxa" w:w="4031"/>
            <w:tcMar>
              <w:top w:w="100" w:type="dxa"/>
              <w:start w:w="120" w:type="dxa"/>
              <w:bottom w:w="100" w:type="dxa"/>
              <w:end w:w="120" w:type="dxa"/>
            </w:tcMar>
            <w:vAlign w:val="center"/>
          </w:tcPr>
          <w:p>
            <w:pPr>
              <w:spacing w:after="0" w:line="240" w:lineRule="auto"/>
            </w:pPr>
            <w:r>
              <w:rPr>
                <w:color w:val="16212B"/>
                <w:sz w:val="17"/>
              </w:rPr>
              <w:t>Scope/priorities</w:t>
            </w:r>
          </w:p>
        </w:tc>
        <w:tc>
          <w:tcPr>
            <w:tcW w:type="dxa" w:w="3456"/>
            <w:tcMar>
              <w:top w:w="100" w:type="dxa"/>
              <w:start w:w="120" w:type="dxa"/>
              <w:bottom w:w="100" w:type="dxa"/>
              <w:end w:w="120" w:type="dxa"/>
            </w:tcMar>
            <w:vAlign w:val="center"/>
          </w:tcPr>
          <w:p>
            <w:pPr>
              <w:spacing w:after="0" w:line="240" w:lineRule="auto"/>
            </w:pPr>
            <w:r>
              <w:rPr>
                <w:color w:val="16212B"/>
                <w:sz w:val="17"/>
              </w:rPr>
              <w:t>Reusable patterns and readiness evidence</w:t>
            </w:r>
          </w:p>
        </w:tc>
      </w:tr>
    </w:tbl>
    <w:p>
      <w:pPr>
        <w:spacing w:after="0"/>
      </w:pPr>
    </w:p>
    <w:p>
      <w:pPr>
        <w:pStyle w:val="Heading2"/>
      </w:pPr>
      <w:r>
        <w:t>Final release rule</w:t>
      </w:r>
    </w:p>
    <w:p>
      <w:pPr>
        <w:spacing w:after="100" w:line="269" w:lineRule="auto"/>
      </w:pPr>
      <w:r>
        <w:rPr>
          <w:sz w:val="21"/>
        </w:rPr>
        <w:t>UI completion requires correct semantic tokens/components, preserved analytical meaning, critical accessibility, required states, and consistency with the UX and IA specifications.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CS-AML UI Design System Specification v0.1  |  UI-DS-0.1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6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85C8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6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