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D6D"/>
          <w:sz w:val="34"/>
        </w:rPr>
        <w:t>Frozen-Origin 28-Day Demand Forecasting at Store-Item Granularity: An Architectural-Diversity Ensemble and an Independent Integrity Audit</w:t>
      </w:r>
    </w:p>
    <w:p>
      <w:r>
        <w:rPr>
          <w:b/>
          <w:color w:val="555550"/>
          <w:sz w:val="17"/>
        </w:rPr>
        <w:t>Independent technical audit and research report</w:t>
      </w:r>
    </w:p>
    <w:p>
      <w:r>
        <w:rPr>
          <w:b/>
        </w:rPr>
        <w:t>Project:</w:t>
      </w:r>
      <w:r>
        <w:t xml:space="preserve"> NPN_HACKATHON — Walmart M5 retail demand forecasting</w:t>
      </w:r>
    </w:p>
    <w:p>
      <w:r>
        <w:rPr>
          <w:b/>
        </w:rPr>
        <w:t>Audit scope:</w:t>
      </w:r>
      <w:r>
        <w:t xml:space="preserve"> all source code, data, features, experiments, models, predictions and reports contained in the project directory</w:t>
      </w:r>
    </w:p>
    <w:p>
      <w:r>
        <w:rPr>
          <w:b/>
        </w:rPr>
        <w:t>Audit stance:</w:t>
      </w:r>
      <w:r>
        <w:t xml:space="preserve"> adversarial-neutral. No claim in this paper is accepted because the project asserts it; every number was re-derived from a stored artifact or is explicitly labelled as unverifiable.</w:t>
      </w:r>
    </w:p>
    <w:p>
      <w:pPr>
        <w:pStyle w:val="Heading1"/>
      </w:pPr>
      <w:r>
        <w:rPr>
          <w:color w:val="1A3D6D"/>
          <w:sz w:val="26"/>
        </w:rPr>
        <w:t>Abstract</w:t>
      </w:r>
    </w:p>
    <w:p>
      <w:r>
        <w:t>We audit and document a demand-forecasting system that predicts daily unit sales for 30,490 store-item series over a 28-day horizon from a frozen forecast origin. The task is regression on a zero-inflated count target: 32% of the 59.2M (series, day) cells are non-zero and 68.0% are exactly zero. The final system is an equal-architecture-diverse ensemble: a direct 38-feature LightGBM Tweedie model that emits all 28 days in one shot, combined at fixed weight 0.60/0.40 with a one-step recursive model of the same family rolled forward 28 times on its own output.</w:t>
      </w:r>
    </w:p>
    <w:p>
      <w:r>
        <w:t xml:space="preserve">On the primary held-out window (d_1914–d_1941, 853,720 predictions) the shipped system scores </w:t>
      </w:r>
      <w:r>
        <w:rPr>
          <w:b/>
        </w:rPr>
        <w:t>RMSE 2.0929</w:t>
      </w:r>
      <w:r>
        <w:t xml:space="preserve">, </w:t>
      </w:r>
      <w:r>
        <w:rPr>
          <w:b/>
        </w:rPr>
        <w:t>MAE 1.0395</w:t>
      </w:r>
      <w:r>
        <w:t>, WAPE 0.7205, bias -0.0224. We reproduced this figure from scratch during the audit (drift 3.9e-05). Across four independent 28-day windows the ensemble improves mean RMSE by -0.0242 against its own direct member, at a mean MAE cost of +0.0186.</w:t>
      </w:r>
    </w:p>
    <w:p>
      <w:r>
        <w:t xml:space="preserve">The central empirical finding is that </w:t>
      </w:r>
      <w:r>
        <w:rPr>
          <w:b/>
        </w:rPr>
        <w:t>ensemble gain here comes from architectural difference, not from averaging</w:t>
      </w:r>
      <w:r>
        <w:t>. A pre-registered negative control — the champion blended with a reseeded copy of itself — yields only -0.0044 RMSE at residual correlation 0.9940, whereas blending across architectures yields -0.0291 at correlation 0.9496. This also explains a prior failed ensembling experiment in the same project.</w:t>
      </w:r>
    </w:p>
    <w:p>
      <w:r>
        <w:t xml:space="preserve">Our integrity audit finds </w:t>
      </w:r>
      <w:r>
        <w:rPr>
          <w:b/>
        </w:rPr>
        <w:t>no target leakage</w:t>
      </w:r>
      <w:r>
        <w:t xml:space="preserve"> in the shipped pipeline. A corruption test we ran independently shows that all 38 features are bit-identical when every post-origin day is overwritten, while price features correctly respond to future prices, which are legitimately known. We do report one genuine artifact defect (a mislabelled prediction file) and several reproducibility gaps. We further show that an external comparison figure circulating around this project (RMSE 2.0324) is </w:t>
      </w:r>
      <w:r>
        <w:rPr>
          <w:b/>
        </w:rPr>
        <w:t>not comparable</w:t>
      </w:r>
      <w:r>
        <w:t>, because the approach it describes recomputes rolling features inside the forecast horizon, using validation-window actuals on up to 27 of 28 days.</w:t>
      </w:r>
    </w:p>
    <w:p>
      <w:r>
        <w:rPr>
          <w:b/>
          <w:color w:val="555550"/>
          <w:sz w:val="17"/>
        </w:rPr>
        <w:t>Overall assessment: methodology sound; result modest but real.</w:t>
      </w:r>
    </w:p>
    <w:p>
      <w:pPr>
        <w:pStyle w:val="Heading1"/>
      </w:pPr>
      <w:r>
        <w:rPr>
          <w:color w:val="1A3D6D"/>
          <w:sz w:val="26"/>
        </w:rPr>
        <w:t>Keywords</w:t>
      </w:r>
    </w:p>
    <w:p>
      <w:r>
        <w:t>retail demand forecasting; M5; intermittent demand; zero-inflated count regression; gradient-boosted trees; Tweedie loss; direct vs recursive forecasting; ensemble diversity; data leakage audit; rolling-origin validation</w:t>
      </w:r>
    </w:p>
    <w:p>
      <w:pPr>
        <w:pStyle w:val="Heading1"/>
      </w:pPr>
      <w:r>
        <w:rPr>
          <w:color w:val="1A3D6D"/>
          <w:sz w:val="26"/>
        </w:rPr>
        <w:t>1. Introduction</w:t>
      </w:r>
    </w:p>
    <w:p>
      <w:r>
        <w:t xml:space="preserve">Retail replenishment decisions are made per store, per item, days to weeks before demand materialises. The forecast that supports them must therefore be produced </w:t>
      </w:r>
      <w:r>
        <w:rPr>
          <w:i/>
        </w:rPr>
        <w:t>once</w:t>
      </w:r>
      <w:r>
        <w:t>, from information available at a fixed moment, and must cover the whole lead time. This is a materially harder problem than one-day-ahead forecasting refreshed daily, and the difference is easy to erase accidentally: any feature recomputed inside the horizon using observed sales converts the task into something closer to nowcasting and inflates measured accuracy.</w:t>
      </w:r>
    </w:p>
    <w:p>
      <w:r>
        <w:t>This paper documents and independently audits a system built for the M5 store-item forecasting task under a strict frozen-origin protocol. Our contributions are:</w:t>
      </w:r>
    </w:p>
    <w:p>
      <w:pPr>
        <w:pStyle w:val="ListNumber"/>
      </w:pPr>
      <w:r>
        <w:rPr>
          <w:b/>
        </w:rPr>
        <w:t>An audited leakage-safe pipeline.</w:t>
      </w:r>
      <w:r>
        <w:t xml:space="preserve"> We re-run the project's corruption test ourselves and confirm that no feature reads post-origin sales, while verifying the mirror property that legitimately-known future covariates </w:t>
      </w:r>
      <w:r>
        <w:rPr>
          <w:i/>
        </w:rPr>
        <w:t>are</w:t>
      </w:r>
      <w:r>
        <w:t xml:space="preserve"> used.</w:t>
      </w:r>
    </w:p>
    <w:p>
      <w:pPr>
        <w:pStyle w:val="ListNumber"/>
      </w:pPr>
      <w:r>
        <w:rPr>
          <w:b/>
        </w:rPr>
        <w:t>An architectural-diversity ensemble</w:t>
      </w:r>
      <w:r>
        <w:t xml:space="preserve"> whose gain is attributed by a pre-registered negative control, separating 'averaging helps' from 'different architectures help'.</w:t>
      </w:r>
    </w:p>
    <w:p>
      <w:pPr>
        <w:pStyle w:val="ListNumber"/>
      </w:pPr>
      <w:r>
        <w:rPr>
          <w:b/>
        </w:rPr>
        <w:t>A negative-results catalogue.</w:t>
      </w:r>
      <w:r>
        <w:t xml:space="preserve"> Seven candidate directions were rejected on measured headroom before training. We report the bounds, because in a mature pipeline knowing what cannot work is the more transferable result.</w:t>
      </w:r>
    </w:p>
    <w:p>
      <w:pPr>
        <w:pStyle w:val="ListNumber"/>
      </w:pPr>
      <w:r>
        <w:rPr>
          <w:b/>
        </w:rPr>
        <w:t>An honest non-comparability analysis</w:t>
      </w:r>
      <w:r>
        <w:t xml:space="preserve"> of an external reference score.</w:t>
      </w:r>
    </w:p>
    <w:p>
      <w:pPr>
        <w:pStyle w:val="Heading1"/>
      </w:pPr>
      <w:r>
        <w:rPr>
          <w:color w:val="1A3D6D"/>
          <w:sz w:val="26"/>
        </w:rPr>
        <w:t>2. Problem Statement</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Property</w:t>
            </w:r>
          </w:p>
        </w:tc>
        <w:tc>
          <w:tcPr>
            <w:tcW w:type="dxa" w:w="4824"/>
          </w:tcPr>
          <w:p>
            <w:pPr>
              <w:spacing w:after="40"/>
            </w:pPr>
            <w:r>
              <w:rPr>
                <w:b/>
                <w:sz w:val="16"/>
              </w:rPr>
              <w:t>Value</w:t>
            </w:r>
          </w:p>
        </w:tc>
      </w:tr>
      <w:tr>
        <w:tc>
          <w:tcPr>
            <w:tcW w:type="dxa" w:w="4824"/>
          </w:tcPr>
          <w:p>
            <w:pPr>
              <w:spacing w:after="40"/>
            </w:pPr>
            <w:r>
              <w:rPr>
                <w:sz w:val="16"/>
              </w:rPr>
              <w:t>Task type</w:t>
            </w:r>
          </w:p>
        </w:tc>
        <w:tc>
          <w:tcPr>
            <w:tcW w:type="dxa" w:w="4824"/>
          </w:tcPr>
          <w:p>
            <w:pPr>
              <w:spacing w:after="40"/>
            </w:pPr>
            <w:r>
              <w:rPr>
                <w:sz w:val="16"/>
              </w:rPr>
              <w:t>Regression (forecasting), not classification</w:t>
            </w:r>
          </w:p>
        </w:tc>
      </w:tr>
      <w:tr>
        <w:tc>
          <w:tcPr>
            <w:tcW w:type="dxa" w:w="4824"/>
          </w:tcPr>
          <w:p>
            <w:pPr>
              <w:spacing w:after="40"/>
            </w:pPr>
            <w:r>
              <w:rPr>
                <w:sz w:val="16"/>
              </w:rPr>
              <w:t>Target</w:t>
            </w:r>
          </w:p>
        </w:tc>
        <w:tc>
          <w:tcPr>
            <w:tcW w:type="dxa" w:w="4824"/>
          </w:tcPr>
          <w:p>
            <w:pPr>
              <w:spacing w:after="40"/>
            </w:pPr>
            <w:r>
              <w:rPr>
                <w:rFonts w:ascii="Consolas" w:hAnsi="Consolas"/>
                <w:sz w:val="16"/>
              </w:rPr>
              <w:t>sales</w:t>
            </w:r>
            <w:r>
              <w:rPr>
                <w:sz w:val="16"/>
              </w:rPr>
              <w:t xml:space="preserve"> — units of one item sold in one store on one day</w:t>
            </w:r>
          </w:p>
        </w:tc>
      </w:tr>
      <w:tr>
        <w:tc>
          <w:tcPr>
            <w:tcW w:type="dxa" w:w="4824"/>
          </w:tcPr>
          <w:p>
            <w:pPr>
              <w:spacing w:after="40"/>
            </w:pPr>
            <w:r>
              <w:rPr>
                <w:sz w:val="16"/>
              </w:rPr>
              <w:t>Target support</w:t>
            </w:r>
          </w:p>
        </w:tc>
        <w:tc>
          <w:tcPr>
            <w:tcW w:type="dxa" w:w="4824"/>
          </w:tcPr>
          <w:p>
            <w:pPr>
              <w:spacing w:after="40"/>
            </w:pPr>
            <w:r>
              <w:rPr>
                <w:sz w:val="16"/>
              </w:rPr>
              <w:t>Non-negative integers, 0 … 763 observed</w:t>
            </w:r>
          </w:p>
        </w:tc>
      </w:tr>
      <w:tr>
        <w:tc>
          <w:tcPr>
            <w:tcW w:type="dxa" w:w="4824"/>
          </w:tcPr>
          <w:p>
            <w:pPr>
              <w:spacing w:after="40"/>
            </w:pPr>
            <w:r>
              <w:rPr>
                <w:sz w:val="16"/>
              </w:rPr>
              <w:t>Granularity</w:t>
            </w:r>
          </w:p>
        </w:tc>
        <w:tc>
          <w:tcPr>
            <w:tcW w:type="dxa" w:w="4824"/>
          </w:tcPr>
          <w:p>
            <w:pPr>
              <w:spacing w:after="40"/>
            </w:pPr>
            <w:r>
              <w:rPr>
                <w:sz w:val="16"/>
              </w:rPr>
              <w:t>30,490 store-item series</w:t>
            </w:r>
          </w:p>
        </w:tc>
      </w:tr>
      <w:tr>
        <w:tc>
          <w:tcPr>
            <w:tcW w:type="dxa" w:w="4824"/>
          </w:tcPr>
          <w:p>
            <w:pPr>
              <w:spacing w:after="40"/>
            </w:pPr>
            <w:r>
              <w:rPr>
                <w:sz w:val="16"/>
              </w:rPr>
              <w:t>Horizon</w:t>
            </w:r>
          </w:p>
        </w:tc>
        <w:tc>
          <w:tcPr>
            <w:tcW w:type="dxa" w:w="4824"/>
          </w:tcPr>
          <w:p>
            <w:pPr>
              <w:spacing w:after="40"/>
            </w:pPr>
            <w:r>
              <w:rPr>
                <w:sz w:val="16"/>
              </w:rPr>
              <w:t>28 days, all emitted at once from the origin</w:t>
            </w:r>
          </w:p>
        </w:tc>
      </w:tr>
      <w:tr>
        <w:tc>
          <w:tcPr>
            <w:tcW w:type="dxa" w:w="4824"/>
          </w:tcPr>
          <w:p>
            <w:pPr>
              <w:spacing w:after="40"/>
            </w:pPr>
            <w:r>
              <w:rPr>
                <w:sz w:val="16"/>
              </w:rPr>
              <w:t>Origin (validation)</w:t>
            </w:r>
          </w:p>
        </w:tc>
        <w:tc>
          <w:tcPr>
            <w:tcW w:type="dxa" w:w="4824"/>
          </w:tcPr>
          <w:p>
            <w:pPr>
              <w:spacing w:after="40"/>
            </w:pPr>
            <w:r>
              <w:rPr>
                <w:rFonts w:ascii="Consolas" w:hAnsi="Consolas"/>
                <w:sz w:val="16"/>
              </w:rPr>
              <w:t>d_1913</w:t>
            </w:r>
            <w:r>
              <w:rPr>
                <w:sz w:val="16"/>
              </w:rPr>
              <w:t xml:space="preserve"> = 2016-04-24</w:t>
            </w:r>
          </w:p>
        </w:tc>
      </w:tr>
      <w:tr>
        <w:tc>
          <w:tcPr>
            <w:tcW w:type="dxa" w:w="4824"/>
          </w:tcPr>
          <w:p>
            <w:pPr>
              <w:spacing w:after="40"/>
            </w:pPr>
            <w:r>
              <w:rPr>
                <w:sz w:val="16"/>
              </w:rPr>
              <w:t>Origin (deployment)</w:t>
            </w:r>
          </w:p>
        </w:tc>
        <w:tc>
          <w:tcPr>
            <w:tcW w:type="dxa" w:w="4824"/>
          </w:tcPr>
          <w:p>
            <w:pPr>
              <w:spacing w:after="40"/>
            </w:pPr>
            <w:r>
              <w:rPr>
                <w:rFonts w:ascii="Consolas" w:hAnsi="Consolas"/>
                <w:sz w:val="16"/>
              </w:rPr>
              <w:t>d_1941</w:t>
            </w:r>
            <w:r>
              <w:rPr>
                <w:sz w:val="16"/>
              </w:rPr>
              <w:t xml:space="preserve"> = 2016-05-22</w:t>
            </w:r>
          </w:p>
        </w:tc>
      </w:tr>
      <w:tr>
        <w:tc>
          <w:tcPr>
            <w:tcW w:type="dxa" w:w="4824"/>
          </w:tcPr>
          <w:p>
            <w:pPr>
              <w:spacing w:after="40"/>
            </w:pPr>
            <w:r>
              <w:rPr>
                <w:sz w:val="16"/>
              </w:rPr>
              <w:t>Predictions per window</w:t>
            </w:r>
          </w:p>
        </w:tc>
        <w:tc>
          <w:tcPr>
            <w:tcW w:type="dxa" w:w="4824"/>
          </w:tcPr>
          <w:p>
            <w:pPr>
              <w:spacing w:after="40"/>
            </w:pPr>
            <w:r>
              <w:rPr>
                <w:sz w:val="16"/>
              </w:rPr>
              <w:t>30,490 × 28 = 853,720</w:t>
            </w:r>
          </w:p>
        </w:tc>
      </w:tr>
    </w:tbl>
    <w:p/>
    <w:p>
      <w:r>
        <w:rPr>
          <w:b/>
        </w:rPr>
        <w:t>The protocol.</w:t>
      </w:r>
      <w:r>
        <w:t xml:space="preserve"> At origin </w:t>
      </w:r>
      <w:r>
        <w:rPr>
          <w:i/>
        </w:rPr>
        <w:t>T</w:t>
      </w:r>
      <w:r>
        <w:t xml:space="preserve">, the model emits ŷ for </w:t>
      </w:r>
      <w:r>
        <w:rPr>
          <w:i/>
        </w:rPr>
        <w:t>T+1 … T+28</w:t>
      </w:r>
      <w:r>
        <w:t xml:space="preserve">. No information from that window may enter any feature, model selection, calibration or ensemble weight. Calendar and price data for the horizon </w:t>
      </w:r>
      <w:r>
        <w:rPr>
          <w:i/>
        </w:rPr>
        <w:t>are</w:t>
      </w:r>
      <w:r>
        <w:t xml:space="preserve"> admissible: in this dataset both are published in advance, and refusing them would forgo information a real planner has.</w:t>
      </w:r>
    </w:p>
    <w:p>
      <w:r>
        <w:rPr>
          <w:b/>
        </w:rPr>
        <w:t>Operational use.</w:t>
      </w:r>
      <w:r>
        <w:t xml:space="preserve"> The output feeds replenishment: how many units to position in each store over the next four weeks. Under-forecasting causes stockouts and lost sales; over-forecasting causes carrying cost and waste. Because the cost of error is convex, RMSE is the primary metric.</w:t>
      </w:r>
    </w:p>
    <w:p>
      <w:pPr>
        <w:pStyle w:val="Heading1"/>
      </w:pPr>
      <w:r>
        <w:rPr>
          <w:color w:val="1A3D6D"/>
          <w:sz w:val="26"/>
        </w:rPr>
        <w:t>3. Research Objectives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w:t>
            </w:r>
          </w:p>
        </w:tc>
        <w:tc>
          <w:tcPr>
            <w:tcW w:type="dxa" w:w="3216"/>
          </w:tcPr>
          <w:p>
            <w:pPr>
              <w:spacing w:after="40"/>
            </w:pPr>
            <w:r>
              <w:rPr>
                <w:b/>
                <w:sz w:val="16"/>
              </w:rPr>
              <w:t>Objective</w:t>
            </w:r>
          </w:p>
        </w:tc>
        <w:tc>
          <w:tcPr>
            <w:tcW w:type="dxa" w:w="3216"/>
          </w:tcPr>
          <w:p>
            <w:pPr>
              <w:spacing w:after="40"/>
            </w:pPr>
            <w:r>
              <w:rPr>
                <w:b/>
                <w:sz w:val="16"/>
              </w:rPr>
              <w:t>Status</w:t>
            </w:r>
          </w:p>
        </w:tc>
      </w:tr>
      <w:tr>
        <w:tc>
          <w:tcPr>
            <w:tcW w:type="dxa" w:w="3216"/>
          </w:tcPr>
          <w:p>
            <w:pPr>
              <w:spacing w:after="40"/>
            </w:pPr>
            <w:r>
              <w:rPr>
                <w:sz w:val="16"/>
              </w:rPr>
              <w:t>O1</w:t>
            </w:r>
          </w:p>
        </w:tc>
        <w:tc>
          <w:tcPr>
            <w:tcW w:type="dxa" w:w="3216"/>
          </w:tcPr>
          <w:p>
            <w:pPr>
              <w:spacing w:after="40"/>
            </w:pPr>
            <w:r>
              <w:rPr>
                <w:sz w:val="16"/>
              </w:rPr>
              <w:t>Build a leakage-safe frozen-origin 28-day forecaster</w:t>
            </w:r>
          </w:p>
        </w:tc>
        <w:tc>
          <w:tcPr>
            <w:tcW w:type="dxa" w:w="3216"/>
          </w:tcPr>
          <w:p>
            <w:pPr>
              <w:spacing w:after="40"/>
            </w:pPr>
            <w:r>
              <w:rPr>
                <w:sz w:val="16"/>
              </w:rPr>
              <w:t>Achieved and audited</w:t>
            </w:r>
          </w:p>
        </w:tc>
      </w:tr>
      <w:tr>
        <w:tc>
          <w:tcPr>
            <w:tcW w:type="dxa" w:w="3216"/>
          </w:tcPr>
          <w:p>
            <w:pPr>
              <w:spacing w:after="40"/>
            </w:pPr>
            <w:r>
              <w:rPr>
                <w:sz w:val="16"/>
              </w:rPr>
              <w:t>O2</w:t>
            </w:r>
          </w:p>
        </w:tc>
        <w:tc>
          <w:tcPr>
            <w:tcW w:type="dxa" w:w="3216"/>
          </w:tcPr>
          <w:p>
            <w:pPr>
              <w:spacing w:after="40"/>
            </w:pPr>
            <w:r>
              <w:rPr>
                <w:sz w:val="16"/>
              </w:rPr>
              <w:t>Establish that improvements are real, not window- or seed-luck</w:t>
            </w:r>
          </w:p>
        </w:tc>
        <w:tc>
          <w:tcPr>
            <w:tcW w:type="dxa" w:w="3216"/>
          </w:tcPr>
          <w:p>
            <w:pPr>
              <w:spacing w:after="40"/>
            </w:pPr>
            <w:r>
              <w:rPr>
                <w:sz w:val="16"/>
              </w:rPr>
              <w:t>Achieved (multi-window + multi-seed protocols)</w:t>
            </w:r>
          </w:p>
        </w:tc>
      </w:tr>
      <w:tr>
        <w:tc>
          <w:tcPr>
            <w:tcW w:type="dxa" w:w="3216"/>
          </w:tcPr>
          <w:p>
            <w:pPr>
              <w:spacing w:after="40"/>
            </w:pPr>
            <w:r>
              <w:rPr>
                <w:sz w:val="16"/>
              </w:rPr>
              <w:t>O3</w:t>
            </w:r>
          </w:p>
        </w:tc>
        <w:tc>
          <w:tcPr>
            <w:tcW w:type="dxa" w:w="3216"/>
          </w:tcPr>
          <w:p>
            <w:pPr>
              <w:spacing w:after="40"/>
            </w:pPr>
            <w:r>
              <w:rPr>
                <w:sz w:val="16"/>
              </w:rPr>
              <w:t>Determine where remaining error lives and whether it is reducible</w:t>
            </w:r>
          </w:p>
        </w:tc>
        <w:tc>
          <w:tcPr>
            <w:tcW w:type="dxa" w:w="3216"/>
          </w:tcPr>
          <w:p>
            <w:pPr>
              <w:spacing w:after="40"/>
            </w:pPr>
            <w:r>
              <w:rPr>
                <w:sz w:val="16"/>
              </w:rPr>
              <w:t>Achieved (oracle bounds computed)</w:t>
            </w:r>
          </w:p>
        </w:tc>
      </w:tr>
      <w:tr>
        <w:tc>
          <w:tcPr>
            <w:tcW w:type="dxa" w:w="3216"/>
          </w:tcPr>
          <w:p>
            <w:pPr>
              <w:spacing w:after="40"/>
            </w:pPr>
            <w:r>
              <w:rPr>
                <w:sz w:val="16"/>
              </w:rPr>
              <w:t>O4</w:t>
            </w:r>
          </w:p>
        </w:tc>
        <w:tc>
          <w:tcPr>
            <w:tcW w:type="dxa" w:w="3216"/>
          </w:tcPr>
          <w:p>
            <w:pPr>
              <w:spacing w:after="40"/>
            </w:pPr>
            <w:r>
              <w:rPr>
                <w:sz w:val="16"/>
              </w:rPr>
              <w:t>Explain the gap to an external reported score</w:t>
            </w:r>
          </w:p>
        </w:tc>
        <w:tc>
          <w:tcPr>
            <w:tcW w:type="dxa" w:w="3216"/>
          </w:tcPr>
          <w:p>
            <w:pPr>
              <w:spacing w:after="40"/>
            </w:pPr>
            <w:r>
              <w:rPr>
                <w:sz w:val="16"/>
              </w:rPr>
              <w:t>Achieved (leakage quantified)</w:t>
            </w:r>
          </w:p>
        </w:tc>
      </w:tr>
    </w:tbl>
    <w:p/>
    <w:p>
      <w:pPr>
        <w:pStyle w:val="Heading1"/>
      </w:pPr>
      <w:r>
        <w:rPr>
          <w:color w:val="1A3D6D"/>
          <w:sz w:val="26"/>
        </w:rPr>
        <w:t>4. Dataset Description</w:t>
      </w:r>
    </w:p>
    <w:p>
      <w:r>
        <w:t xml:space="preserve">Source: the M5 competition files, held read-only in </w:t>
      </w:r>
      <w:r>
        <w:rPr>
          <w:rFonts w:ascii="Consolas" w:hAnsi="Consolas"/>
          <w:sz w:val="17"/>
        </w:rPr>
        <w:t>data/raw/</w:t>
      </w:r>
      <w:r>
        <w:t>. The audit confirmed the loader's integrity fingerprints against the raw CSVs.</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Property</w:t>
            </w:r>
          </w:p>
        </w:tc>
        <w:tc>
          <w:tcPr>
            <w:tcW w:type="dxa" w:w="4824"/>
          </w:tcPr>
          <w:p>
            <w:pPr>
              <w:spacing w:after="40"/>
            </w:pPr>
            <w:r>
              <w:rPr>
                <w:b/>
                <w:sz w:val="16"/>
              </w:rPr>
              <w:t>Verified value</w:t>
            </w:r>
          </w:p>
        </w:tc>
      </w:tr>
      <w:tr>
        <w:tc>
          <w:tcPr>
            <w:tcW w:type="dxa" w:w="4824"/>
          </w:tcPr>
          <w:p>
            <w:pPr>
              <w:spacing w:after="40"/>
            </w:pPr>
            <w:r>
              <w:rPr>
                <w:sz w:val="16"/>
              </w:rPr>
              <w:t>Sales matrix</w:t>
            </w:r>
          </w:p>
        </w:tc>
        <w:tc>
          <w:tcPr>
            <w:tcW w:type="dxa" w:w="4824"/>
          </w:tcPr>
          <w:p>
            <w:pPr>
              <w:spacing w:after="40"/>
            </w:pPr>
            <w:r>
              <w:rPr>
                <w:sz w:val="16"/>
              </w:rPr>
              <w:t>30,490 series × 1,941 days (int16)</w:t>
            </w:r>
          </w:p>
        </w:tc>
      </w:tr>
      <w:tr>
        <w:tc>
          <w:tcPr>
            <w:tcW w:type="dxa" w:w="4824"/>
          </w:tcPr>
          <w:p>
            <w:pPr>
              <w:spacing w:after="40"/>
            </w:pPr>
            <w:r>
              <w:rPr>
                <w:sz w:val="16"/>
              </w:rPr>
              <w:t>Panel cells</w:t>
            </w:r>
          </w:p>
        </w:tc>
        <w:tc>
          <w:tcPr>
            <w:tcW w:type="dxa" w:w="4824"/>
          </w:tcPr>
          <w:p>
            <w:pPr>
              <w:spacing w:after="40"/>
            </w:pPr>
            <w:r>
              <w:rPr>
                <w:sz w:val="16"/>
              </w:rPr>
              <w:t>59,181,090</w:t>
            </w:r>
          </w:p>
        </w:tc>
      </w:tr>
      <w:tr>
        <w:tc>
          <w:tcPr>
            <w:tcW w:type="dxa" w:w="4824"/>
          </w:tcPr>
          <w:p>
            <w:pPr>
              <w:spacing w:after="40"/>
            </w:pPr>
            <w:r>
              <w:rPr>
                <w:sz w:val="16"/>
              </w:rPr>
              <w:t>Date range</w:t>
            </w:r>
          </w:p>
        </w:tc>
        <w:tc>
          <w:tcPr>
            <w:tcW w:type="dxa" w:w="4824"/>
          </w:tcPr>
          <w:p>
            <w:pPr>
              <w:spacing w:after="40"/>
            </w:pPr>
            <w:r>
              <w:rPr>
                <w:sz w:val="16"/>
              </w:rPr>
              <w:t>2011-01-29 → 2016-05-22</w:t>
            </w:r>
          </w:p>
        </w:tc>
      </w:tr>
      <w:tr>
        <w:tc>
          <w:tcPr>
            <w:tcW w:type="dxa" w:w="4824"/>
          </w:tcPr>
          <w:p>
            <w:pPr>
              <w:spacing w:after="40"/>
            </w:pPr>
            <w:r>
              <w:rPr>
                <w:sz w:val="16"/>
              </w:rPr>
              <w:t>Calendar</w:t>
            </w:r>
          </w:p>
        </w:tc>
        <w:tc>
          <w:tcPr>
            <w:tcW w:type="dxa" w:w="4824"/>
          </w:tcPr>
          <w:p>
            <w:pPr>
              <w:spacing w:after="40"/>
            </w:pPr>
            <w:r>
              <w:rPr>
                <w:sz w:val="16"/>
              </w:rPr>
              <w:t>1,969 days (28 beyond sales, by design)</w:t>
            </w:r>
          </w:p>
        </w:tc>
      </w:tr>
      <w:tr>
        <w:tc>
          <w:tcPr>
            <w:tcW w:type="dxa" w:w="4824"/>
          </w:tcPr>
          <w:p>
            <w:pPr>
              <w:spacing w:after="40"/>
            </w:pPr>
            <w:r>
              <w:rPr>
                <w:sz w:val="16"/>
              </w:rPr>
              <w:t>Total units sold</w:t>
            </w:r>
          </w:p>
        </w:tc>
        <w:tc>
          <w:tcPr>
            <w:tcW w:type="dxa" w:w="4824"/>
          </w:tcPr>
          <w:p>
            <w:pPr>
              <w:spacing w:after="40"/>
            </w:pPr>
            <w:r>
              <w:rPr>
                <w:sz w:val="16"/>
              </w:rPr>
              <w:t>66,927,173 (matches fingerprint)</w:t>
            </w:r>
          </w:p>
        </w:tc>
      </w:tr>
      <w:tr>
        <w:tc>
          <w:tcPr>
            <w:tcW w:type="dxa" w:w="4824"/>
          </w:tcPr>
          <w:p>
            <w:pPr>
              <w:spacing w:after="40"/>
            </w:pPr>
            <w:r>
              <w:rPr>
                <w:sz w:val="16"/>
              </w:rPr>
              <w:t>Zero cells</w:t>
            </w:r>
          </w:p>
        </w:tc>
        <w:tc>
          <w:tcPr>
            <w:tcW w:type="dxa" w:w="4824"/>
          </w:tcPr>
          <w:p>
            <w:pPr>
              <w:spacing w:after="40"/>
            </w:pPr>
            <w:r>
              <w:rPr>
                <w:sz w:val="16"/>
              </w:rPr>
              <w:t xml:space="preserve">40,241,819 = </w:t>
            </w:r>
            <w:r>
              <w:rPr>
                <w:b/>
                <w:sz w:val="16"/>
              </w:rPr>
              <w:t>68.00%</w:t>
            </w:r>
          </w:p>
        </w:tc>
      </w:tr>
      <w:tr>
        <w:tc>
          <w:tcPr>
            <w:tcW w:type="dxa" w:w="4824"/>
          </w:tcPr>
          <w:p>
            <w:pPr>
              <w:spacing w:after="40"/>
            </w:pPr>
            <w:r>
              <w:rPr>
                <w:sz w:val="16"/>
              </w:rPr>
              <w:t>Max single-day sales</w:t>
            </w:r>
          </w:p>
        </w:tc>
        <w:tc>
          <w:tcPr>
            <w:tcW w:type="dxa" w:w="4824"/>
          </w:tcPr>
          <w:p>
            <w:pPr>
              <w:spacing w:after="40"/>
            </w:pPr>
            <w:r>
              <w:rPr>
                <w:sz w:val="16"/>
              </w:rPr>
              <w:t>763</w:t>
            </w:r>
          </w:p>
        </w:tc>
      </w:tr>
      <w:tr>
        <w:tc>
          <w:tcPr>
            <w:tcW w:type="dxa" w:w="4824"/>
          </w:tcPr>
          <w:p>
            <w:pPr>
              <w:spacing w:after="40"/>
            </w:pPr>
            <w:r>
              <w:rPr>
                <w:sz w:val="16"/>
              </w:rPr>
              <w:t>Mean units per cell</w:t>
            </w:r>
          </w:p>
        </w:tc>
        <w:tc>
          <w:tcPr>
            <w:tcW w:type="dxa" w:w="4824"/>
          </w:tcPr>
          <w:p>
            <w:pPr>
              <w:spacing w:after="40"/>
            </w:pPr>
            <w:r>
              <w:rPr>
                <w:sz w:val="16"/>
              </w:rPr>
              <w:t>1.1309</w:t>
            </w:r>
          </w:p>
        </w:tc>
      </w:tr>
      <w:tr>
        <w:tc>
          <w:tcPr>
            <w:tcW w:type="dxa" w:w="4824"/>
          </w:tcPr>
          <w:p>
            <w:pPr>
              <w:spacing w:after="40"/>
            </w:pPr>
            <w:r>
              <w:rPr>
                <w:sz w:val="16"/>
              </w:rPr>
              <w:t>Median / p90 / p99</w:t>
            </w:r>
          </w:p>
        </w:tc>
        <w:tc>
          <w:tcPr>
            <w:tcW w:type="dxa" w:w="4824"/>
          </w:tcPr>
          <w:p>
            <w:pPr>
              <w:spacing w:after="40"/>
            </w:pPr>
            <w:r>
              <w:rPr>
                <w:sz w:val="16"/>
              </w:rPr>
              <w:t>0 / 3 / 15</w:t>
            </w:r>
          </w:p>
        </w:tc>
      </w:tr>
      <w:tr>
        <w:tc>
          <w:tcPr>
            <w:tcW w:type="dxa" w:w="4824"/>
          </w:tcPr>
          <w:p>
            <w:pPr>
              <w:spacing w:after="40"/>
            </w:pPr>
            <w:r>
              <w:rPr>
                <w:sz w:val="16"/>
              </w:rPr>
              <w:t>Missing sales values</w:t>
            </w:r>
          </w:p>
        </w:tc>
        <w:tc>
          <w:tcPr>
            <w:tcW w:type="dxa" w:w="4824"/>
          </w:tcPr>
          <w:p>
            <w:pPr>
              <w:spacing w:after="40"/>
            </w:pPr>
            <w:r>
              <w:rPr>
                <w:sz w:val="16"/>
              </w:rPr>
              <w:t>0</w:t>
            </w:r>
          </w:p>
        </w:tc>
      </w:tr>
      <w:tr>
        <w:tc>
          <w:tcPr>
            <w:tcW w:type="dxa" w:w="4824"/>
          </w:tcPr>
          <w:p>
            <w:pPr>
              <w:spacing w:after="40"/>
            </w:pPr>
            <w:r>
              <w:rPr>
                <w:sz w:val="16"/>
              </w:rPr>
              <w:t>Hierarchy</w:t>
            </w:r>
          </w:p>
        </w:tc>
        <w:tc>
          <w:tcPr>
            <w:tcW w:type="dxa" w:w="4824"/>
          </w:tcPr>
          <w:p>
            <w:pPr>
              <w:spacing w:after="40"/>
            </w:pPr>
            <w:r>
              <w:rPr>
                <w:sz w:val="16"/>
              </w:rPr>
              <w:t>3,049 items, 10 stores, 7 departments, 3 categories, 3 states</w:t>
            </w:r>
          </w:p>
        </w:tc>
      </w:tr>
      <w:tr>
        <w:tc>
          <w:tcPr>
            <w:tcW w:type="dxa" w:w="4824"/>
          </w:tcPr>
          <w:p>
            <w:pPr>
              <w:spacing w:after="40"/>
            </w:pPr>
            <w:r>
              <w:rPr>
                <w:sz w:val="16"/>
              </w:rPr>
              <w:t>Price matrix</w:t>
            </w:r>
          </w:p>
        </w:tc>
        <w:tc>
          <w:tcPr>
            <w:tcW w:type="dxa" w:w="4824"/>
          </w:tcPr>
          <w:p>
            <w:pPr>
              <w:spacing w:after="40"/>
            </w:pPr>
            <w:r>
              <w:rPr>
                <w:sz w:val="16"/>
              </w:rPr>
              <w:t>30,490 × 282 weeks, 20.44% NaN</w:t>
            </w:r>
          </w:p>
        </w:tc>
      </w:tr>
      <w:tr>
        <w:tc>
          <w:tcPr>
            <w:tcW w:type="dxa" w:w="4824"/>
          </w:tcPr>
          <w:p>
            <w:pPr>
              <w:spacing w:after="40"/>
            </w:pPr>
            <w:r>
              <w:rPr>
                <w:sz w:val="16"/>
              </w:rPr>
              <w:t>Calendar events</w:t>
            </w:r>
          </w:p>
        </w:tc>
        <w:tc>
          <w:tcPr>
            <w:tcW w:type="dxa" w:w="4824"/>
          </w:tcPr>
          <w:p>
            <w:pPr>
              <w:spacing w:after="40"/>
            </w:pPr>
            <w:r>
              <w:rPr>
                <w:sz w:val="16"/>
              </w:rPr>
              <w:t>162 days with a primary event, 5 with a secondary</w:t>
            </w:r>
          </w:p>
        </w:tc>
      </w:tr>
    </w:tbl>
    <w:p/>
    <w:p>
      <w:pPr>
        <w:jc w:val="center"/>
      </w:pPr>
      <w:r>
        <w:drawing>
          <wp:inline xmlns:a="http://schemas.openxmlformats.org/drawingml/2006/main" xmlns:pic="http://schemas.openxmlformats.org/drawingml/2006/picture">
            <wp:extent cx="5852160" cy="3183183"/>
            <wp:docPr id="1" name="Picture 1"/>
            <wp:cNvGraphicFramePr>
              <a:graphicFrameLocks noChangeAspect="1"/>
            </wp:cNvGraphicFramePr>
            <a:graphic>
              <a:graphicData uri="http://schemas.openxmlformats.org/drawingml/2006/picture">
                <pic:pic>
                  <pic:nvPicPr>
                    <pic:cNvPr id="0" name="fig1_demand_distribution.png"/>
                    <pic:cNvPicPr/>
                  </pic:nvPicPr>
                  <pic:blipFill>
                    <a:blip r:embed="rId9"/>
                    <a:stretch>
                      <a:fillRect/>
                    </a:stretch>
                  </pic:blipFill>
                  <pic:spPr>
                    <a:xfrm>
                      <a:off x="0" y="0"/>
                      <a:ext cx="5852160" cy="3183183"/>
                    </a:xfrm>
                    <a:prstGeom prst="rect"/>
                  </pic:spPr>
                </pic:pic>
              </a:graphicData>
            </a:graphic>
          </wp:inline>
        </w:drawing>
      </w:r>
    </w:p>
    <w:p>
      <w:r>
        <w:rPr>
          <w:b/>
        </w:rPr>
        <w:t>Interpretation.</w:t>
      </w:r>
      <w:r>
        <w:t xml:space="preserve"> The 20.44% price-NaN share is not corruption: a missing price means the item was not listed in that store that week. The audit confirmed </w:t>
      </w:r>
      <w:r>
        <w:rPr>
          <w:rFonts w:ascii="Consolas" w:hAnsi="Consolas"/>
          <w:sz w:val="17"/>
        </w:rPr>
        <w:t>pre_listing</w:t>
      </w:r>
      <w:r>
        <w:t xml:space="preserve"> and </w:t>
      </w:r>
      <w:r>
        <w:rPr>
          <w:rFonts w:ascii="Consolas" w:hAnsi="Consolas"/>
          <w:sz w:val="17"/>
        </w:rPr>
        <w:t>price_is_missing</w:t>
      </w:r>
      <w:r>
        <w:t xml:space="preserve"> coincide exactly at probe origins (e.g. 47.84% of series at </w:t>
      </w:r>
      <w:r>
        <w:rPr>
          <w:rFonts w:ascii="Consolas" w:hAnsi="Consolas"/>
          <w:sz w:val="17"/>
        </w:rPr>
        <w:t>d_201</w:t>
      </w:r>
      <w:r>
        <w:t>), so the NaN carries the listing signal rather than hiding it.</w:t>
      </w:r>
    </w:p>
    <w:p>
      <w:r>
        <w:rPr>
          <w:b/>
        </w:rPr>
        <w:t>Limitations of the data itself.</w:t>
      </w:r>
      <w:r>
        <w:t xml:space="preserve"> No promotion calendar, no inventory or stockout flags, no footfall, no weather, no competitor prices. A zero can mean 'no demand', 'not stocked' or 'not yet launched', and only the third is identifiable. This ceiling is a property of M5, not of the modelling.</w:t>
      </w:r>
    </w:p>
    <w:p>
      <w:pPr>
        <w:pStyle w:val="Heading1"/>
      </w:pPr>
      <w:r>
        <w:rPr>
          <w:color w:val="1A3D6D"/>
          <w:sz w:val="26"/>
        </w:rPr>
        <w:t>5. Data Preprocessing</w:t>
      </w:r>
    </w:p>
    <w:p>
      <w:r>
        <w:t xml:space="preserve">The pipeline is deliberately thin, and the audit confirms the claim in </w:t>
      </w:r>
      <w:r>
        <w:rPr>
          <w:rFonts w:ascii="Consolas" w:hAnsi="Consolas"/>
          <w:sz w:val="17"/>
        </w:rPr>
        <w:t>features.py</w:t>
      </w:r>
      <w:r>
        <w:t xml:space="preserve"> that there is </w:t>
      </w:r>
      <w:r>
        <w:rPr>
          <w:i/>
        </w:rPr>
        <w:t>no</w:t>
      </w:r>
      <w:r>
        <w:t xml:space="preserve"> smoothing, no zero-dropping and no zero-to-NaN replacement.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Step</w:t>
            </w:r>
          </w:p>
        </w:tc>
        <w:tc>
          <w:tcPr>
            <w:tcW w:type="dxa" w:w="3216"/>
          </w:tcPr>
          <w:p>
            <w:pPr>
              <w:spacing w:after="40"/>
            </w:pPr>
            <w:r>
              <w:rPr>
                <w:b/>
                <w:sz w:val="16"/>
              </w:rPr>
              <w:t>What is done</w:t>
            </w:r>
          </w:p>
        </w:tc>
        <w:tc>
          <w:tcPr>
            <w:tcW w:type="dxa" w:w="3216"/>
          </w:tcPr>
          <w:p>
            <w:pPr>
              <w:spacing w:after="40"/>
            </w:pPr>
            <w:r>
              <w:rPr>
                <w:b/>
                <w:sz w:val="16"/>
              </w:rPr>
              <w:t>Audit note</w:t>
            </w:r>
          </w:p>
        </w:tc>
      </w:tr>
      <w:tr>
        <w:tc>
          <w:tcPr>
            <w:tcW w:type="dxa" w:w="3216"/>
          </w:tcPr>
          <w:p>
            <w:pPr>
              <w:spacing w:after="40"/>
            </w:pPr>
            <w:r>
              <w:rPr>
                <w:sz w:val="16"/>
              </w:rPr>
              <w:t>Reshape</w:t>
            </w:r>
          </w:p>
        </w:tc>
        <w:tc>
          <w:tcPr>
            <w:tcW w:type="dxa" w:w="3216"/>
          </w:tcPr>
          <w:p>
            <w:pPr>
              <w:spacing w:after="40"/>
            </w:pPr>
            <w:r>
              <w:rPr>
                <w:sz w:val="16"/>
              </w:rPr>
              <w:t xml:space="preserve">Wide CSV → </w:t>
            </w:r>
            <w:r>
              <w:rPr>
                <w:rFonts w:ascii="Consolas" w:hAnsi="Consolas"/>
                <w:sz w:val="16"/>
              </w:rPr>
              <w:t>(30490 × 1941)</w:t>
            </w:r>
            <w:r>
              <w:rPr>
                <w:sz w:val="16"/>
              </w:rPr>
              <w:t xml:space="preserve"> int16 matrix</w:t>
            </w:r>
          </w:p>
        </w:tc>
        <w:tc>
          <w:tcPr>
            <w:tcW w:type="dxa" w:w="3216"/>
          </w:tcPr>
          <w:p>
            <w:pPr>
              <w:spacing w:after="40"/>
            </w:pPr>
            <w:r>
              <w:rPr>
                <w:sz w:val="16"/>
              </w:rPr>
              <w:t>Raw files opened read-only</w:t>
            </w:r>
          </w:p>
        </w:tc>
      </w:tr>
      <w:tr>
        <w:tc>
          <w:tcPr>
            <w:tcW w:type="dxa" w:w="3216"/>
          </w:tcPr>
          <w:p>
            <w:pPr>
              <w:spacing w:after="40"/>
            </w:pPr>
            <w:r>
              <w:rPr>
                <w:sz w:val="16"/>
              </w:rPr>
              <w:t>Calendar join</w:t>
            </w:r>
          </w:p>
        </w:tc>
        <w:tc>
          <w:tcPr>
            <w:tcW w:type="dxa" w:w="3216"/>
          </w:tcPr>
          <w:p>
            <w:pPr>
              <w:spacing w:after="40"/>
            </w:pPr>
            <w:r>
              <w:rPr>
                <w:sz w:val="16"/>
              </w:rPr>
              <w:t>By day index</w:t>
            </w:r>
          </w:p>
        </w:tc>
        <w:tc>
          <w:tcPr>
            <w:tcW w:type="dxa" w:w="3216"/>
          </w:tcPr>
          <w:p>
            <w:pPr>
              <w:spacing w:after="40"/>
            </w:pPr>
            <w:r>
              <w:rPr>
                <w:sz w:val="16"/>
              </w:rPr>
              <w:t>Verified aligned, 0-based</w:t>
            </w:r>
          </w:p>
        </w:tc>
      </w:tr>
      <w:tr>
        <w:tc>
          <w:tcPr>
            <w:tcW w:type="dxa" w:w="3216"/>
          </w:tcPr>
          <w:p>
            <w:pPr>
              <w:spacing w:after="40"/>
            </w:pPr>
            <w:r>
              <w:rPr>
                <w:sz w:val="16"/>
              </w:rPr>
              <w:t>Price join</w:t>
            </w:r>
          </w:p>
        </w:tc>
        <w:tc>
          <w:tcPr>
            <w:tcW w:type="dxa" w:w="3216"/>
          </w:tcPr>
          <w:p>
            <w:pPr>
              <w:spacing w:after="40"/>
            </w:pPr>
            <w:r>
              <w:rPr>
                <w:sz w:val="16"/>
              </w:rPr>
              <w:t xml:space="preserve">By </w:t>
            </w:r>
            <w:r>
              <w:rPr>
                <w:rFonts w:ascii="Consolas" w:hAnsi="Consolas"/>
                <w:sz w:val="16"/>
              </w:rPr>
              <w:t>(store, item, wm_yr_wk)</w:t>
            </w:r>
          </w:p>
        </w:tc>
        <w:tc>
          <w:tcPr>
            <w:tcW w:type="dxa" w:w="3216"/>
          </w:tcPr>
          <w:p>
            <w:pPr>
              <w:spacing w:after="40"/>
            </w:pPr>
            <w:r>
              <w:rPr>
                <w:sz w:val="16"/>
              </w:rPr>
              <w:t>NaN retained as signal</w:t>
            </w:r>
          </w:p>
        </w:tc>
      </w:tr>
      <w:tr>
        <w:tc>
          <w:tcPr>
            <w:tcW w:type="dxa" w:w="3216"/>
          </w:tcPr>
          <w:p>
            <w:pPr>
              <w:spacing w:after="40"/>
            </w:pPr>
            <w:r>
              <w:rPr>
                <w:sz w:val="16"/>
              </w:rPr>
              <w:t>Missing values</w:t>
            </w:r>
          </w:p>
        </w:tc>
        <w:tc>
          <w:tcPr>
            <w:tcW w:type="dxa" w:w="3216"/>
          </w:tcPr>
          <w:p>
            <w:pPr>
              <w:spacing w:after="40"/>
            </w:pPr>
            <w:r>
              <w:rPr>
                <w:b/>
                <w:sz w:val="16"/>
              </w:rPr>
              <w:t>Not imputed</w:t>
            </w:r>
          </w:p>
        </w:tc>
        <w:tc>
          <w:tcPr>
            <w:tcW w:type="dxa" w:w="3216"/>
          </w:tcPr>
          <w:p>
            <w:pPr>
              <w:spacing w:after="40"/>
            </w:pPr>
            <w:r>
              <w:rPr>
                <w:sz w:val="16"/>
              </w:rPr>
              <w:t>Absence is informative here</w:t>
            </w:r>
          </w:p>
        </w:tc>
      </w:tr>
      <w:tr>
        <w:tc>
          <w:tcPr>
            <w:tcW w:type="dxa" w:w="3216"/>
          </w:tcPr>
          <w:p>
            <w:pPr>
              <w:spacing w:after="40"/>
            </w:pPr>
            <w:r>
              <w:rPr>
                <w:sz w:val="16"/>
              </w:rPr>
              <w:t>Outliers</w:t>
            </w:r>
          </w:p>
        </w:tc>
        <w:tc>
          <w:tcPr>
            <w:tcW w:type="dxa" w:w="3216"/>
          </w:tcPr>
          <w:p>
            <w:pPr>
              <w:spacing w:after="40"/>
            </w:pPr>
            <w:r>
              <w:rPr>
                <w:b/>
                <w:sz w:val="16"/>
              </w:rPr>
              <w:t>Not removed or clipped</w:t>
            </w:r>
          </w:p>
        </w:tc>
        <w:tc>
          <w:tcPr>
            <w:tcW w:type="dxa" w:w="3216"/>
          </w:tcPr>
          <w:p>
            <w:pPr>
              <w:spacing w:after="40"/>
            </w:pPr>
            <w:r>
              <w:rPr>
                <w:sz w:val="16"/>
              </w:rPr>
              <w:t>Spikes are real demand</w:t>
            </w:r>
          </w:p>
        </w:tc>
      </w:tr>
      <w:tr>
        <w:tc>
          <w:tcPr>
            <w:tcW w:type="dxa" w:w="3216"/>
          </w:tcPr>
          <w:p>
            <w:pPr>
              <w:spacing w:after="40"/>
            </w:pPr>
            <w:r>
              <w:rPr>
                <w:sz w:val="16"/>
              </w:rPr>
              <w:t>Scaling</w:t>
            </w:r>
          </w:p>
        </w:tc>
        <w:tc>
          <w:tcPr>
            <w:tcW w:type="dxa" w:w="3216"/>
          </w:tcPr>
          <w:p>
            <w:pPr>
              <w:spacing w:after="40"/>
            </w:pPr>
            <w:r>
              <w:rPr>
                <w:b/>
                <w:sz w:val="16"/>
              </w:rPr>
              <w:t>None</w:t>
            </w:r>
          </w:p>
        </w:tc>
        <w:tc>
          <w:tcPr>
            <w:tcW w:type="dxa" w:w="3216"/>
          </w:tcPr>
          <w:p>
            <w:pPr>
              <w:spacing w:after="40"/>
            </w:pPr>
            <w:r>
              <w:rPr>
                <w:sz w:val="16"/>
              </w:rPr>
              <w:t>Trees are scale-invariant</w:t>
            </w:r>
          </w:p>
        </w:tc>
      </w:tr>
      <w:tr>
        <w:tc>
          <w:tcPr>
            <w:tcW w:type="dxa" w:w="3216"/>
          </w:tcPr>
          <w:p>
            <w:pPr>
              <w:spacing w:after="40"/>
            </w:pPr>
            <w:r>
              <w:rPr>
                <w:sz w:val="16"/>
              </w:rPr>
              <w:t>Encoding</w:t>
            </w:r>
          </w:p>
        </w:tc>
        <w:tc>
          <w:tcPr>
            <w:tcW w:type="dxa" w:w="3216"/>
          </w:tcPr>
          <w:p>
            <w:pPr>
              <w:spacing w:after="40"/>
            </w:pPr>
            <w:r>
              <w:rPr>
                <w:sz w:val="16"/>
              </w:rPr>
              <w:t>Native LightGBM categoricals</w:t>
            </w:r>
          </w:p>
        </w:tc>
        <w:tc>
          <w:tcPr>
            <w:tcW w:type="dxa" w:w="3216"/>
          </w:tcPr>
          <w:p>
            <w:pPr>
              <w:spacing w:after="40"/>
            </w:pPr>
            <w:r>
              <w:rPr>
                <w:sz w:val="16"/>
              </w:rPr>
              <w:t>No target encoding anywhere</w:t>
            </w:r>
          </w:p>
        </w:tc>
      </w:tr>
      <w:tr>
        <w:tc>
          <w:tcPr>
            <w:tcW w:type="dxa" w:w="3216"/>
          </w:tcPr>
          <w:p>
            <w:pPr>
              <w:spacing w:after="40"/>
            </w:pPr>
            <w:r>
              <w:rPr>
                <w:sz w:val="16"/>
              </w:rPr>
              <w:t>Target transform</w:t>
            </w:r>
          </w:p>
        </w:tc>
        <w:tc>
          <w:tcPr>
            <w:tcW w:type="dxa" w:w="3216"/>
          </w:tcPr>
          <w:p>
            <w:pPr>
              <w:spacing w:after="40"/>
            </w:pPr>
            <w:r>
              <w:rPr>
                <w:b/>
                <w:sz w:val="16"/>
              </w:rPr>
              <w:t>None</w:t>
            </w:r>
          </w:p>
        </w:tc>
        <w:tc>
          <w:tcPr>
            <w:tcW w:type="dxa" w:w="3216"/>
          </w:tcPr>
          <w:p>
            <w:pPr>
              <w:spacing w:after="40"/>
            </w:pPr>
            <w:r>
              <w:rPr>
                <w:sz w:val="16"/>
              </w:rPr>
              <w:t>Tweedie handles the zero mass directly</w:t>
            </w:r>
          </w:p>
        </w:tc>
      </w:tr>
    </w:tbl>
    <w:p/>
    <w:p>
      <w:r>
        <w:t>The absence of target encoding and of any global normalisation is a genuine leakage-safety property: both are classic vectors for statistics computed over data that includes the validation window.</w:t>
      </w:r>
    </w:p>
    <w:p>
      <w:r>
        <w:rPr>
          <w:b/>
        </w:rPr>
        <w:t>Train/validation construction.</w:t>
      </w:r>
      <w:r>
        <w:t xml:space="preserve"> Training rows are built from 15 origins spaced 28 days apart, each contributing a full 28-day target block. The newest permitted origin is </w:t>
      </w:r>
      <w:r>
        <w:rPr>
          <w:rFonts w:ascii="Consolas" w:hAnsi="Consolas"/>
          <w:sz w:val="17"/>
        </w:rPr>
        <w:t>validation_origin − 28</w:t>
      </w:r>
      <w:r>
        <w:t xml:space="preserve">, so the newest training target lands exactly on </w:t>
      </w:r>
      <w:r>
        <w:rPr>
          <w:rFonts w:ascii="Consolas" w:hAnsi="Consolas"/>
          <w:sz w:val="17"/>
        </w:rPr>
        <w:t>d_1913</w:t>
      </w:r>
      <w:r>
        <w:t xml:space="preserve"> while validation begins at </w:t>
      </w:r>
      <w:r>
        <w:rPr>
          <w:rFonts w:ascii="Consolas" w:hAnsi="Consolas"/>
          <w:sz w:val="17"/>
        </w:rPr>
        <w:t>d_1914</w:t>
      </w:r>
      <w:r>
        <w:t xml:space="preserve">. The audit re-verified this boundary numerically at build time; </w:t>
      </w:r>
      <w:r>
        <w:rPr>
          <w:rFonts w:ascii="Consolas" w:hAnsi="Consolas"/>
          <w:sz w:val="17"/>
        </w:rPr>
        <w:t>build_training_frame</w:t>
      </w:r>
      <w:r>
        <w:t xml:space="preserve"> additionally raises an assertion if any training target reaches the validation window.</w:t>
      </w:r>
    </w:p>
    <w:p>
      <w:pPr>
        <w:pStyle w:val="Heading1"/>
      </w:pPr>
      <w:r>
        <w:rPr>
          <w:color w:val="1A3D6D"/>
          <w:sz w:val="26"/>
        </w:rPr>
        <w:t>6. Feature Engineering</w:t>
      </w:r>
    </w:p>
    <w:p>
      <w:r>
        <w:t>The direct member uses 38 features in seven original groups plus two later additions. Every one is computed standing at the origin and then held constant across the horizon, except those that vary with the target day's calendar.</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Pr>
                <w:b/>
                <w:sz w:val="16"/>
              </w:rPr>
              <w:t>Group</w:t>
            </w:r>
          </w:p>
        </w:tc>
        <w:tc>
          <w:tcPr>
            <w:tcW w:type="dxa" w:w="2412"/>
          </w:tcPr>
          <w:p>
            <w:pPr>
              <w:spacing w:after="40"/>
            </w:pPr>
            <w:r>
              <w:rPr>
                <w:b/>
                <w:sz w:val="16"/>
              </w:rPr>
              <w:t>Features</w:t>
            </w:r>
          </w:p>
        </w:tc>
        <w:tc>
          <w:tcPr>
            <w:tcW w:type="dxa" w:w="2412"/>
          </w:tcPr>
          <w:p>
            <w:pPr>
              <w:spacing w:after="40"/>
            </w:pPr>
            <w:r>
              <w:rPr>
                <w:b/>
                <w:sz w:val="16"/>
              </w:rPr>
              <w:t>Source window</w:t>
            </w:r>
          </w:p>
        </w:tc>
        <w:tc>
          <w:tcPr>
            <w:tcW w:type="dxa" w:w="2412"/>
          </w:tcPr>
          <w:p>
            <w:pPr>
              <w:spacing w:after="40"/>
            </w:pPr>
            <w:r>
              <w:rPr>
                <w:b/>
                <w:sz w:val="16"/>
              </w:rPr>
              <w:t>Origin-safe?</w:t>
            </w:r>
          </w:p>
        </w:tc>
      </w:tr>
      <w:tr>
        <w:tc>
          <w:tcPr>
            <w:tcW w:type="dxa" w:w="2412"/>
          </w:tcPr>
          <w:p>
            <w:pPr>
              <w:spacing w:after="40"/>
            </w:pPr>
            <w:r>
              <w:rPr>
                <w:sz w:val="16"/>
              </w:rPr>
              <w:t>A. Calendar (9)</w:t>
            </w:r>
          </w:p>
        </w:tc>
        <w:tc>
          <w:tcPr>
            <w:tcW w:type="dxa" w:w="2412"/>
          </w:tcPr>
          <w:p>
            <w:pPr>
              <w:spacing w:after="40"/>
            </w:pPr>
            <w:r>
              <w:rPr>
                <w:rFonts w:ascii="Consolas" w:hAnsi="Consolas"/>
                <w:sz w:val="16"/>
              </w:rPr>
              <w:t>wday</w:t>
            </w:r>
            <w:r>
              <w:rPr>
                <w:sz w:val="16"/>
              </w:rPr>
              <w:t xml:space="preserve">, </w:t>
            </w:r>
            <w:r>
              <w:rPr>
                <w:rFonts w:ascii="Consolas" w:hAnsi="Consolas"/>
                <w:sz w:val="16"/>
              </w:rPr>
              <w:t>month</w:t>
            </w:r>
            <w:r>
              <w:rPr>
                <w:sz w:val="16"/>
              </w:rPr>
              <w:t xml:space="preserve">, </w:t>
            </w:r>
            <w:r>
              <w:rPr>
                <w:rFonts w:ascii="Consolas" w:hAnsi="Consolas"/>
                <w:sz w:val="16"/>
              </w:rPr>
              <w:t>year</w:t>
            </w:r>
            <w:r>
              <w:rPr>
                <w:sz w:val="16"/>
              </w:rPr>
              <w:t xml:space="preserve">, </w:t>
            </w:r>
            <w:r>
              <w:rPr>
                <w:rFonts w:ascii="Consolas" w:hAnsi="Consolas"/>
                <w:sz w:val="16"/>
              </w:rPr>
              <w:t>is_weekend</w:t>
            </w:r>
            <w:r>
              <w:rPr>
                <w:sz w:val="16"/>
              </w:rPr>
              <w:t xml:space="preserve">, </w:t>
            </w:r>
            <w:r>
              <w:rPr>
                <w:rFonts w:ascii="Consolas" w:hAnsi="Consolas"/>
                <w:sz w:val="16"/>
              </w:rPr>
              <w:t>event_name_1/2</w:t>
            </w:r>
            <w:r>
              <w:rPr>
                <w:sz w:val="16"/>
              </w:rPr>
              <w:t xml:space="preserve">, </w:t>
            </w:r>
            <w:r>
              <w:rPr>
                <w:rFonts w:ascii="Consolas" w:hAnsi="Consolas"/>
                <w:sz w:val="16"/>
              </w:rPr>
              <w:t>event_type_1/2</w:t>
            </w:r>
            <w:r>
              <w:rPr>
                <w:sz w:val="16"/>
              </w:rPr>
              <w:t xml:space="preserve">, </w:t>
            </w:r>
            <w:r>
              <w:rPr>
                <w:rFonts w:ascii="Consolas" w:hAnsi="Consolas"/>
                <w:sz w:val="16"/>
              </w:rPr>
              <w:t>snap</w:t>
            </w:r>
          </w:p>
        </w:tc>
        <w:tc>
          <w:tcPr>
            <w:tcW w:type="dxa" w:w="2412"/>
          </w:tcPr>
          <w:p>
            <w:pPr>
              <w:spacing w:after="40"/>
            </w:pPr>
            <w:r>
              <w:rPr>
                <w:sz w:val="16"/>
              </w:rPr>
              <w:t>target day</w:t>
            </w:r>
          </w:p>
        </w:tc>
        <w:tc>
          <w:tcPr>
            <w:tcW w:type="dxa" w:w="2412"/>
          </w:tcPr>
          <w:p>
            <w:pPr>
              <w:spacing w:after="40"/>
            </w:pPr>
            <w:r>
              <w:rPr>
                <w:sz w:val="16"/>
              </w:rPr>
              <w:t>Yes — published in advance</w:t>
            </w:r>
          </w:p>
        </w:tc>
      </w:tr>
      <w:tr>
        <w:tc>
          <w:tcPr>
            <w:tcW w:type="dxa" w:w="2412"/>
          </w:tcPr>
          <w:p>
            <w:pPr>
              <w:spacing w:after="40"/>
            </w:pPr>
            <w:r>
              <w:rPr>
                <w:sz w:val="16"/>
              </w:rPr>
              <w:t>B. Demand (8)</w:t>
            </w:r>
          </w:p>
        </w:tc>
        <w:tc>
          <w:tcPr>
            <w:tcW w:type="dxa" w:w="2412"/>
          </w:tcPr>
          <w:p>
            <w:pPr>
              <w:spacing w:after="40"/>
            </w:pPr>
            <w:r>
              <w:rPr>
                <w:rFonts w:ascii="Consolas" w:hAnsi="Consolas"/>
                <w:sz w:val="16"/>
              </w:rPr>
              <w:t>lag_1/7/14/28</w:t>
            </w:r>
            <w:r>
              <w:rPr>
                <w:sz w:val="16"/>
              </w:rPr>
              <w:t xml:space="preserve">, </w:t>
            </w:r>
            <w:r>
              <w:rPr>
                <w:rFonts w:ascii="Consolas" w:hAnsi="Consolas"/>
                <w:sz w:val="16"/>
              </w:rPr>
              <w:t>rolling_mean_7/28</w:t>
            </w:r>
            <w:r>
              <w:rPr>
                <w:sz w:val="16"/>
              </w:rPr>
              <w:t xml:space="preserve">, </w:t>
            </w:r>
            <w:r>
              <w:rPr>
                <w:rFonts w:ascii="Consolas" w:hAnsi="Consolas"/>
                <w:sz w:val="16"/>
              </w:rPr>
              <w:t>rolling_std_7/28</w:t>
            </w:r>
          </w:p>
        </w:tc>
        <w:tc>
          <w:tcPr>
            <w:tcW w:type="dxa" w:w="2412"/>
          </w:tcPr>
          <w:p>
            <w:pPr>
              <w:spacing w:after="40"/>
            </w:pPr>
            <w:r>
              <w:rPr>
                <w:rFonts w:ascii="Consolas" w:hAnsi="Consolas"/>
                <w:sz w:val="16"/>
              </w:rPr>
              <w:t>[T−27, T]</w:t>
            </w:r>
          </w:p>
        </w:tc>
        <w:tc>
          <w:tcPr>
            <w:tcW w:type="dxa" w:w="2412"/>
          </w:tcPr>
          <w:p>
            <w:pPr>
              <w:spacing w:after="40"/>
            </w:pPr>
            <w:r>
              <w:rPr>
                <w:sz w:val="16"/>
              </w:rPr>
              <w:t>Yes — see definition below</w:t>
            </w:r>
          </w:p>
        </w:tc>
      </w:tr>
      <w:tr>
        <w:tc>
          <w:tcPr>
            <w:tcW w:type="dxa" w:w="2412"/>
          </w:tcPr>
          <w:p>
            <w:pPr>
              <w:spacing w:after="40"/>
            </w:pPr>
            <w:r>
              <w:rPr>
                <w:sz w:val="16"/>
              </w:rPr>
              <w:t>C. Recency (3)</w:t>
            </w:r>
          </w:p>
        </w:tc>
        <w:tc>
          <w:tcPr>
            <w:tcW w:type="dxa" w:w="2412"/>
          </w:tcPr>
          <w:p>
            <w:pPr>
              <w:spacing w:after="40"/>
            </w:pPr>
            <w:r>
              <w:rPr>
                <w:rFonts w:ascii="Consolas" w:hAnsi="Consolas"/>
                <w:sz w:val="16"/>
              </w:rPr>
              <w:t>days_since_last_sale</w:t>
            </w:r>
            <w:r>
              <w:rPr>
                <w:sz w:val="16"/>
              </w:rPr>
              <w:t xml:space="preserve">, </w:t>
            </w:r>
            <w:r>
              <w:rPr>
                <w:rFonts w:ascii="Consolas" w:hAnsi="Consolas"/>
                <w:sz w:val="16"/>
              </w:rPr>
              <w:t>zero_streak_length</w:t>
            </w:r>
            <w:r>
              <w:rPr>
                <w:sz w:val="16"/>
              </w:rPr>
              <w:t xml:space="preserve">, </w:t>
            </w:r>
            <w:r>
              <w:rPr>
                <w:rFonts w:ascii="Consolas" w:hAnsi="Consolas"/>
                <w:sz w:val="16"/>
              </w:rPr>
              <w:t>days_since_first_sale</w:t>
            </w:r>
          </w:p>
        </w:tc>
        <w:tc>
          <w:tcPr>
            <w:tcW w:type="dxa" w:w="2412"/>
          </w:tcPr>
          <w:p>
            <w:pPr>
              <w:spacing w:after="40"/>
            </w:pPr>
            <w:r>
              <w:rPr>
                <w:rFonts w:ascii="Consolas" w:hAnsi="Consolas"/>
                <w:sz w:val="16"/>
              </w:rPr>
              <w:t>≤ T</w:t>
            </w:r>
          </w:p>
        </w:tc>
        <w:tc>
          <w:tcPr>
            <w:tcW w:type="dxa" w:w="2412"/>
          </w:tcPr>
          <w:p>
            <w:pPr>
              <w:spacing w:after="40"/>
            </w:pPr>
            <w:r>
              <w:rPr>
                <w:sz w:val="16"/>
              </w:rPr>
              <w:t>Yes</w:t>
            </w:r>
          </w:p>
        </w:tc>
      </w:tr>
      <w:tr>
        <w:tc>
          <w:tcPr>
            <w:tcW w:type="dxa" w:w="2412"/>
          </w:tcPr>
          <w:p>
            <w:pPr>
              <w:spacing w:after="40"/>
            </w:pPr>
            <w:r>
              <w:rPr>
                <w:sz w:val="16"/>
              </w:rPr>
              <w:t>D. Listing (2)</w:t>
            </w:r>
          </w:p>
        </w:tc>
        <w:tc>
          <w:tcPr>
            <w:tcW w:type="dxa" w:w="2412"/>
          </w:tcPr>
          <w:p>
            <w:pPr>
              <w:spacing w:after="40"/>
            </w:pPr>
            <w:r>
              <w:rPr>
                <w:rFonts w:ascii="Consolas" w:hAnsi="Consolas"/>
                <w:sz w:val="16"/>
              </w:rPr>
              <w:t>days_since_first_listing</w:t>
            </w:r>
            <w:r>
              <w:rPr>
                <w:sz w:val="16"/>
              </w:rPr>
              <w:t xml:space="preserve">, </w:t>
            </w:r>
            <w:r>
              <w:rPr>
                <w:rFonts w:ascii="Consolas" w:hAnsi="Consolas"/>
                <w:sz w:val="16"/>
              </w:rPr>
              <w:t>pre_listing</w:t>
            </w:r>
          </w:p>
        </w:tc>
        <w:tc>
          <w:tcPr>
            <w:tcW w:type="dxa" w:w="2412"/>
          </w:tcPr>
          <w:p>
            <w:pPr>
              <w:spacing w:after="40"/>
            </w:pPr>
            <w:r>
              <w:rPr>
                <w:rFonts w:ascii="Consolas" w:hAnsi="Consolas"/>
                <w:sz w:val="16"/>
              </w:rPr>
              <w:t>≤ T</w:t>
            </w:r>
          </w:p>
        </w:tc>
        <w:tc>
          <w:tcPr>
            <w:tcW w:type="dxa" w:w="2412"/>
          </w:tcPr>
          <w:p>
            <w:pPr>
              <w:spacing w:after="40"/>
            </w:pPr>
            <w:r>
              <w:rPr>
                <w:sz w:val="16"/>
              </w:rPr>
              <w:t>Yes</w:t>
            </w:r>
          </w:p>
        </w:tc>
      </w:tr>
      <w:tr>
        <w:tc>
          <w:tcPr>
            <w:tcW w:type="dxa" w:w="2412"/>
          </w:tcPr>
          <w:p>
            <w:pPr>
              <w:spacing w:after="40"/>
            </w:pPr>
            <w:r>
              <w:rPr>
                <w:sz w:val="16"/>
              </w:rPr>
              <w:t>E. Price (4)</w:t>
            </w:r>
          </w:p>
        </w:tc>
        <w:tc>
          <w:tcPr>
            <w:tcW w:type="dxa" w:w="2412"/>
          </w:tcPr>
          <w:p>
            <w:pPr>
              <w:spacing w:after="40"/>
            </w:pPr>
            <w:r>
              <w:rPr>
                <w:rFonts w:ascii="Consolas" w:hAnsi="Consolas"/>
                <w:sz w:val="16"/>
              </w:rPr>
              <w:t>sell_price</w:t>
            </w:r>
            <w:r>
              <w:rPr>
                <w:sz w:val="16"/>
              </w:rPr>
              <w:t xml:space="preserve">, </w:t>
            </w:r>
            <w:r>
              <w:rPr>
                <w:rFonts w:ascii="Consolas" w:hAnsi="Consolas"/>
                <w:sz w:val="16"/>
              </w:rPr>
              <w:t>recent_avg_price</w:t>
            </w:r>
            <w:r>
              <w:rPr>
                <w:sz w:val="16"/>
              </w:rPr>
              <w:t xml:space="preserve">, </w:t>
            </w:r>
            <w:r>
              <w:rPr>
                <w:rFonts w:ascii="Consolas" w:hAnsi="Consolas"/>
                <w:sz w:val="16"/>
              </w:rPr>
              <w:t>price_rel_to_recent_avg</w:t>
            </w:r>
            <w:r>
              <w:rPr>
                <w:sz w:val="16"/>
              </w:rPr>
              <w:t xml:space="preserve">, </w:t>
            </w:r>
            <w:r>
              <w:rPr>
                <w:rFonts w:ascii="Consolas" w:hAnsi="Consolas"/>
                <w:sz w:val="16"/>
              </w:rPr>
              <w:t>price_is_missing</w:t>
            </w:r>
          </w:p>
        </w:tc>
        <w:tc>
          <w:tcPr>
            <w:tcW w:type="dxa" w:w="2412"/>
          </w:tcPr>
          <w:p>
            <w:pPr>
              <w:spacing w:after="40"/>
            </w:pPr>
            <w:r>
              <w:rPr>
                <w:sz w:val="16"/>
              </w:rPr>
              <w:t>target week + 8-week trailing</w:t>
            </w:r>
          </w:p>
        </w:tc>
        <w:tc>
          <w:tcPr>
            <w:tcW w:type="dxa" w:w="2412"/>
          </w:tcPr>
          <w:p>
            <w:pPr>
              <w:spacing w:after="40"/>
            </w:pPr>
            <w:r>
              <w:rPr>
                <w:sz w:val="16"/>
              </w:rPr>
              <w:t>Yes — prices known ahead</w:t>
            </w:r>
          </w:p>
        </w:tc>
      </w:tr>
      <w:tr>
        <w:tc>
          <w:tcPr>
            <w:tcW w:type="dxa" w:w="2412"/>
          </w:tcPr>
          <w:p>
            <w:pPr>
              <w:spacing w:after="40"/>
            </w:pPr>
            <w:r>
              <w:rPr>
                <w:sz w:val="16"/>
              </w:rPr>
              <w:t>F. Hierarchy (5)</w:t>
            </w:r>
          </w:p>
        </w:tc>
        <w:tc>
          <w:tcPr>
            <w:tcW w:type="dxa" w:w="2412"/>
          </w:tcPr>
          <w:p>
            <w:pPr>
              <w:spacing w:after="40"/>
            </w:pPr>
            <w:r>
              <w:rPr>
                <w:rFonts w:ascii="Consolas" w:hAnsi="Consolas"/>
                <w:sz w:val="16"/>
              </w:rPr>
              <w:t>item_id</w:t>
            </w:r>
            <w:r>
              <w:rPr>
                <w:sz w:val="16"/>
              </w:rPr>
              <w:t xml:space="preserve">, </w:t>
            </w:r>
            <w:r>
              <w:rPr>
                <w:rFonts w:ascii="Consolas" w:hAnsi="Consolas"/>
                <w:sz w:val="16"/>
              </w:rPr>
              <w:t>dept_id</w:t>
            </w:r>
            <w:r>
              <w:rPr>
                <w:sz w:val="16"/>
              </w:rPr>
              <w:t xml:space="preserve">, </w:t>
            </w:r>
            <w:r>
              <w:rPr>
                <w:rFonts w:ascii="Consolas" w:hAnsi="Consolas"/>
                <w:sz w:val="16"/>
              </w:rPr>
              <w:t>cat_id</w:t>
            </w:r>
            <w:r>
              <w:rPr>
                <w:sz w:val="16"/>
              </w:rPr>
              <w:t xml:space="preserve">, </w:t>
            </w:r>
            <w:r>
              <w:rPr>
                <w:rFonts w:ascii="Consolas" w:hAnsi="Consolas"/>
                <w:sz w:val="16"/>
              </w:rPr>
              <w:t>store_id</w:t>
            </w:r>
            <w:r>
              <w:rPr>
                <w:sz w:val="16"/>
              </w:rPr>
              <w:t xml:space="preserve">, </w:t>
            </w:r>
            <w:r>
              <w:rPr>
                <w:rFonts w:ascii="Consolas" w:hAnsi="Consolas"/>
                <w:sz w:val="16"/>
              </w:rPr>
              <w:t>state_id</w:t>
            </w:r>
          </w:p>
        </w:tc>
        <w:tc>
          <w:tcPr>
            <w:tcW w:type="dxa" w:w="2412"/>
          </w:tcPr>
          <w:p>
            <w:pPr>
              <w:spacing w:after="40"/>
            </w:pPr>
            <w:r>
              <w:rPr>
                <w:sz w:val="16"/>
              </w:rPr>
              <w:t>static</w:t>
            </w:r>
          </w:p>
        </w:tc>
        <w:tc>
          <w:tcPr>
            <w:tcW w:type="dxa" w:w="2412"/>
          </w:tcPr>
          <w:p>
            <w:pPr>
              <w:spacing w:after="40"/>
            </w:pPr>
            <w:r>
              <w:rPr>
                <w:sz w:val="16"/>
              </w:rPr>
              <w:t>Yes</w:t>
            </w:r>
          </w:p>
        </w:tc>
      </w:tr>
      <w:tr>
        <w:tc>
          <w:tcPr>
            <w:tcW w:type="dxa" w:w="2412"/>
          </w:tcPr>
          <w:p>
            <w:pPr>
              <w:spacing w:after="40"/>
            </w:pPr>
            <w:r>
              <w:rPr>
                <w:sz w:val="16"/>
              </w:rPr>
              <w:t>G. Horizon (1)</w:t>
            </w:r>
          </w:p>
        </w:tc>
        <w:tc>
          <w:tcPr>
            <w:tcW w:type="dxa" w:w="2412"/>
          </w:tcPr>
          <w:p>
            <w:pPr>
              <w:spacing w:after="40"/>
            </w:pPr>
            <w:r>
              <w:rPr>
                <w:rFonts w:ascii="Consolas" w:hAnsi="Consolas"/>
                <w:sz w:val="16"/>
              </w:rPr>
              <w:t>horizon</w:t>
            </w:r>
            <w:r>
              <w:rPr>
                <w:sz w:val="16"/>
              </w:rPr>
              <w:t xml:space="preserve"> (1…28)</w:t>
            </w:r>
          </w:p>
        </w:tc>
        <w:tc>
          <w:tcPr>
            <w:tcW w:type="dxa" w:w="2412"/>
          </w:tcPr>
          <w:p>
            <w:pPr>
              <w:spacing w:after="40"/>
            </w:pPr>
            <w:r>
              <w:rPr>
                <w:sz w:val="16"/>
              </w:rPr>
              <w:t>structural</w:t>
            </w:r>
          </w:p>
        </w:tc>
        <w:tc>
          <w:tcPr>
            <w:tcW w:type="dxa" w:w="2412"/>
          </w:tcPr>
          <w:p>
            <w:pPr>
              <w:spacing w:after="40"/>
            </w:pPr>
            <w:r>
              <w:rPr>
                <w:sz w:val="16"/>
              </w:rPr>
              <w:t>Yes</w:t>
            </w:r>
          </w:p>
        </w:tc>
      </w:tr>
      <w:tr>
        <w:tc>
          <w:tcPr>
            <w:tcW w:type="dxa" w:w="2412"/>
          </w:tcPr>
          <w:p>
            <w:pPr>
              <w:spacing w:after="40"/>
            </w:pPr>
            <w:r>
              <w:rPr>
                <w:sz w:val="16"/>
              </w:rPr>
              <w:t>H. Shape (4)</w:t>
            </w:r>
          </w:p>
        </w:tc>
        <w:tc>
          <w:tcPr>
            <w:tcW w:type="dxa" w:w="2412"/>
          </w:tcPr>
          <w:p>
            <w:pPr>
              <w:spacing w:after="40"/>
            </w:pPr>
            <w:r>
              <w:rPr>
                <w:rFonts w:ascii="Consolas" w:hAnsi="Consolas"/>
                <w:sz w:val="16"/>
              </w:rPr>
              <w:t>wday_ratio_52w</w:t>
            </w:r>
            <w:r>
              <w:rPr>
                <w:sz w:val="16"/>
              </w:rPr>
              <w:t xml:space="preserve">, </w:t>
            </w:r>
            <w:r>
              <w:rPr>
                <w:rFonts w:ascii="Consolas" w:hAnsi="Consolas"/>
                <w:sz w:val="16"/>
              </w:rPr>
              <w:t>wday_ratio_13w</w:t>
            </w:r>
            <w:r>
              <w:rPr>
                <w:sz w:val="16"/>
              </w:rPr>
              <w:t xml:space="preserve">, </w:t>
            </w:r>
            <w:r>
              <w:rPr>
                <w:rFonts w:ascii="Consolas" w:hAnsi="Consolas"/>
                <w:sz w:val="16"/>
              </w:rPr>
              <w:t>snap_lift</w:t>
            </w:r>
            <w:r>
              <w:rPr>
                <w:sz w:val="16"/>
              </w:rPr>
              <w:t xml:space="preserve">, </w:t>
            </w:r>
            <w:r>
              <w:rPr>
                <w:rFonts w:ascii="Consolas" w:hAnsi="Consolas"/>
                <w:sz w:val="16"/>
              </w:rPr>
              <w:t>weekend_lift</w:t>
            </w:r>
          </w:p>
        </w:tc>
        <w:tc>
          <w:tcPr>
            <w:tcW w:type="dxa" w:w="2412"/>
          </w:tcPr>
          <w:p>
            <w:pPr>
              <w:spacing w:after="40"/>
            </w:pPr>
            <w:r>
              <w:rPr>
                <w:rFonts w:ascii="Consolas" w:hAnsi="Consolas"/>
                <w:sz w:val="16"/>
              </w:rPr>
              <w:t>[T−363, T]</w:t>
            </w:r>
          </w:p>
        </w:tc>
        <w:tc>
          <w:tcPr>
            <w:tcW w:type="dxa" w:w="2412"/>
          </w:tcPr>
          <w:p>
            <w:pPr>
              <w:spacing w:after="40"/>
            </w:pPr>
            <w:r>
              <w:rPr>
                <w:sz w:val="16"/>
              </w:rPr>
              <w:t>Yes</w:t>
            </w:r>
          </w:p>
        </w:tc>
      </w:tr>
      <w:tr>
        <w:tc>
          <w:tcPr>
            <w:tcW w:type="dxa" w:w="2412"/>
          </w:tcPr>
          <w:p>
            <w:pPr>
              <w:spacing w:after="40"/>
            </w:pPr>
            <w:r>
              <w:rPr>
                <w:sz w:val="16"/>
              </w:rPr>
              <w:t>I. Cycle (2)</w:t>
            </w:r>
          </w:p>
        </w:tc>
        <w:tc>
          <w:tcPr>
            <w:tcW w:type="dxa" w:w="2412"/>
          </w:tcPr>
          <w:p>
            <w:pPr>
              <w:spacing w:after="40"/>
            </w:pPr>
            <w:r>
              <w:rPr>
                <w:rFonts w:ascii="Consolas" w:hAnsi="Consolas"/>
                <w:sz w:val="16"/>
              </w:rPr>
              <w:t>month_ratio</w:t>
            </w:r>
            <w:r>
              <w:rPr>
                <w:sz w:val="16"/>
              </w:rPr>
              <w:t xml:space="preserve">, </w:t>
            </w:r>
            <w:r>
              <w:rPr>
                <w:rFonts w:ascii="Consolas" w:hAnsi="Consolas"/>
                <w:sz w:val="16"/>
              </w:rPr>
              <w:t>dom_ratio</w:t>
            </w:r>
          </w:p>
        </w:tc>
        <w:tc>
          <w:tcPr>
            <w:tcW w:type="dxa" w:w="2412"/>
          </w:tcPr>
          <w:p>
            <w:pPr>
              <w:spacing w:after="40"/>
            </w:pPr>
            <w:r>
              <w:rPr>
                <w:rFonts w:ascii="Consolas" w:hAnsi="Consolas"/>
                <w:sz w:val="16"/>
              </w:rPr>
              <w:t>[T−727, T]</w:t>
            </w:r>
          </w:p>
        </w:tc>
        <w:tc>
          <w:tcPr>
            <w:tcW w:type="dxa" w:w="2412"/>
          </w:tcPr>
          <w:p>
            <w:pPr>
              <w:spacing w:after="40"/>
            </w:pPr>
            <w:r>
              <w:rPr>
                <w:sz w:val="16"/>
              </w:rPr>
              <w:t>Yes</w:t>
            </w:r>
          </w:p>
        </w:tc>
      </w:tr>
    </w:tbl>
    <w:p/>
    <w:p>
      <w:r>
        <w:rPr>
          <w:b/>
        </w:rPr>
        <w:t>The lag definition is the crux of this pipeline's integrity.</w:t>
      </w:r>
      <w:r>
        <w:t xml:space="preserve"> Lags are </w:t>
      </w:r>
      <w:r>
        <w:rPr>
          <w:i/>
        </w:rPr>
        <w:t>origin-relative</w:t>
      </w:r>
      <w:r>
        <w:t>, not target-relative:</w:t>
      </w:r>
    </w:p>
    <w:p>
      <w:pPr>
        <w:ind w:left="360"/>
      </w:pPr>
      <w:r>
        <w:rPr>
          <w:rFonts w:ascii="Consolas" w:hAnsi="Consolas"/>
          <w:sz w:val="17"/>
        </w:rPr>
        <w:t>lag_k        = sales on day (T − k + 1)      # lag_1 = sales on T itself</w:t>
        <w:br/>
        <w:t>rolling_w    = mean/std over days [T − w + 1, T]</w:t>
      </w:r>
    </w:p>
    <w:p>
      <w:r>
        <w:t xml:space="preserve">A target-relative definition — </w:t>
      </w:r>
      <w:r>
        <w:rPr>
          <w:rFonts w:ascii="Consolas" w:hAnsi="Consolas"/>
          <w:sz w:val="17"/>
        </w:rPr>
        <w:t>lag_7</w:t>
      </w:r>
      <w:r>
        <w:t xml:space="preserve"> meaning 'seven days before </w:t>
      </w:r>
      <w:r>
        <w:rPr>
          <w:i/>
        </w:rPr>
        <w:t>this target day</w:t>
      </w:r>
      <w:r>
        <w:t xml:space="preserve">' — would read observed sales inside the horizon for 21 of the 28 days. That is precisely the defect we quantify in §12 for the external reference. Here </w:t>
      </w:r>
      <w:r>
        <w:rPr>
          <w:rFonts w:ascii="Consolas" w:hAnsi="Consolas"/>
          <w:sz w:val="17"/>
        </w:rPr>
        <w:t>lag_1</w:t>
      </w:r>
      <w:r>
        <w:t xml:space="preserve"> for horizon day 28 is still the sales value at </w:t>
      </w:r>
      <w:r>
        <w:rPr>
          <w:i/>
        </w:rPr>
        <w:t>T</w:t>
      </w:r>
      <w:r>
        <w:t>, 27 days stale, which is the honest cost of a frozen origin.</w:t>
      </w:r>
    </w:p>
    <w:p>
      <w:r>
        <w:rPr>
          <w:b/>
        </w:rPr>
        <w:t>The shape features (H, I)</w:t>
      </w:r>
      <w:r>
        <w:t xml:space="preserve"> are the project's one genuinely novel family. Each is a </w:t>
      </w:r>
      <w:r>
        <w:rPr>
          <w:i/>
        </w:rPr>
        <w:t>ratio</w:t>
      </w:r>
      <w:r>
        <w:t xml:space="preserve">, not a level: a series' mean sales on a given weekday divided by its own overall mean, shrunk toward 1.0 by </w:t>
      </w:r>
      <w:r>
        <w:rPr>
          <w:rFonts w:ascii="Consolas" w:hAnsi="Consolas"/>
          <w:sz w:val="17"/>
        </w:rPr>
        <w:t>n/(n+20)</w:t>
      </w:r>
      <w:r>
        <w:t xml:space="preserve"> on the volume behind it. They describe </w:t>
      </w:r>
      <w:r>
        <w:rPr>
          <w:i/>
        </w:rPr>
        <w:t>how a series distributes demand across the week</w:t>
      </w:r>
      <w:r>
        <w:t xml:space="preserve">, which the model cannot easily recover from a high-cardinality </w:t>
      </w:r>
      <w:r>
        <w:rPr>
          <w:rFonts w:ascii="Consolas" w:hAnsi="Consolas"/>
          <w:sz w:val="17"/>
        </w:rPr>
        <w:t>item_id × wday</w:t>
      </w:r>
      <w:r>
        <w:t xml:space="preserve"> interaction. This distinction matters: the project had already tested fourteen </w:t>
      </w:r>
      <w:r>
        <w:rPr>
          <w:i/>
        </w:rPr>
        <w:t>level</w:t>
      </w:r>
      <w:r>
        <w:t xml:space="preserve"> features (Phase 2) and four year-over-year </w:t>
      </w:r>
      <w:r>
        <w:rPr>
          <w:i/>
        </w:rPr>
        <w:t>level</w:t>
      </w:r>
      <w:r>
        <w:t xml:space="preserve"> features (Exp. #71, RMSE 2.1564) and rejected all of them.</w:t>
      </w:r>
    </w:p>
    <w:p>
      <w:pPr>
        <w:jc w:val="center"/>
      </w:pPr>
      <w:r>
        <w:drawing>
          <wp:inline xmlns:a="http://schemas.openxmlformats.org/drawingml/2006/main" xmlns:pic="http://schemas.openxmlformats.org/drawingml/2006/picture">
            <wp:extent cx="5852160" cy="3014304"/>
            <wp:docPr id="2" name="Picture 2"/>
            <wp:cNvGraphicFramePr>
              <a:graphicFrameLocks noChangeAspect="1"/>
            </wp:cNvGraphicFramePr>
            <a:graphic>
              <a:graphicData uri="http://schemas.openxmlformats.org/drawingml/2006/picture">
                <pic:pic>
                  <pic:nvPicPr>
                    <pic:cNvPr id="0" name="fig6_feature_importance.png"/>
                    <pic:cNvPicPr/>
                  </pic:nvPicPr>
                  <pic:blipFill>
                    <a:blip r:embed="rId10"/>
                    <a:stretch>
                      <a:fillRect/>
                    </a:stretch>
                  </pic:blipFill>
                  <pic:spPr>
                    <a:xfrm>
                      <a:off x="0" y="0"/>
                      <a:ext cx="5852160" cy="3014304"/>
                    </a:xfrm>
                    <a:prstGeom prst="rect"/>
                  </pic:spPr>
                </pic:pic>
              </a:graphicData>
            </a:graphic>
          </wp:inline>
        </w:drawing>
      </w:r>
    </w:p>
    <w:p>
      <w:r>
        <w:t xml:space="preserve">The single strongest shape feature, </w:t>
      </w:r>
      <w:r>
        <w:rPr>
          <w:rFonts w:ascii="Consolas" w:hAnsi="Consolas"/>
          <w:sz w:val="17"/>
        </w:rPr>
        <w:t>wday_ratio_52w</w:t>
      </w:r>
      <w:r>
        <w:t>, ranks 7 of 38 by split gain.</w:t>
      </w:r>
    </w:p>
    <w:p>
      <w:pPr>
        <w:pStyle w:val="Heading1"/>
      </w:pPr>
      <w:r>
        <w:rPr>
          <w:color w:val="1A3D6D"/>
          <w:sz w:val="26"/>
        </w:rPr>
        <w:t>7. Methodology and Model Architecture</w:t>
      </w:r>
    </w:p>
    <w:p>
      <w:pPr>
        <w:pStyle w:val="Heading2"/>
      </w:pPr>
      <w:r>
        <w:rPr>
          <w:color w:val="1A3D6D"/>
          <w:sz w:val="22"/>
        </w:rPr>
        <w:t>7.1 Why Tweedie</w:t>
      </w:r>
    </w:p>
    <w:p>
      <w:r>
        <w:t xml:space="preserve">The target is a zero-inflated non-negative count. Tweedie with </w:t>
      </w:r>
      <w:r>
        <w:rPr>
          <w:rFonts w:ascii="Consolas" w:hAnsi="Consolas"/>
          <w:sz w:val="17"/>
        </w:rPr>
        <w:t>variance_power ∈ (1,2)</w:t>
      </w:r>
      <w:r>
        <w:t xml:space="preserve"> is a compound Poisson-Gamma: it places finite mass at zero and models a continuous positive part, which is the correct shape for intermittent retail demand. The project swept the power on an inner window and adopted 1.1 for the primary window. Alternatives were tested and are recorded in §10.</w:t>
      </w:r>
    </w:p>
    <w:p>
      <w:pPr>
        <w:pStyle w:val="Heading2"/>
      </w:pPr>
      <w:r>
        <w:rPr>
          <w:color w:val="1A3D6D"/>
          <w:sz w:val="22"/>
        </w:rPr>
        <w:t>7.2 The two members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p>
        </w:tc>
        <w:tc>
          <w:tcPr>
            <w:tcW w:type="dxa" w:w="3216"/>
          </w:tcPr>
          <w:p>
            <w:pPr>
              <w:spacing w:after="40"/>
            </w:pPr>
            <w:r>
              <w:rPr>
                <w:b/>
                <w:sz w:val="16"/>
              </w:rPr>
              <w:t>Member A</w:t>
            </w:r>
          </w:p>
        </w:tc>
        <w:tc>
          <w:tcPr>
            <w:tcW w:type="dxa" w:w="3216"/>
          </w:tcPr>
          <w:p>
            <w:pPr>
              <w:spacing w:after="40"/>
            </w:pPr>
            <w:r>
              <w:rPr>
                <w:b/>
                <w:sz w:val="16"/>
              </w:rPr>
              <w:t>Member B′</w:t>
            </w:r>
          </w:p>
        </w:tc>
      </w:tr>
      <w:tr>
        <w:tc>
          <w:tcPr>
            <w:tcW w:type="dxa" w:w="3216"/>
          </w:tcPr>
          <w:p>
            <w:pPr>
              <w:spacing w:after="40"/>
            </w:pPr>
            <w:r>
              <w:rPr>
                <w:sz w:val="16"/>
              </w:rPr>
              <w:t>Strategy</w:t>
            </w:r>
          </w:p>
        </w:tc>
        <w:tc>
          <w:tcPr>
            <w:tcW w:type="dxa" w:w="3216"/>
          </w:tcPr>
          <w:p>
            <w:pPr>
              <w:spacing w:after="40"/>
            </w:pPr>
            <w:r>
              <w:rPr>
                <w:b/>
                <w:sz w:val="16"/>
              </w:rPr>
              <w:t>Direct</w:t>
            </w:r>
          </w:p>
        </w:tc>
        <w:tc>
          <w:tcPr>
            <w:tcW w:type="dxa" w:w="3216"/>
          </w:tcPr>
          <w:p>
            <w:pPr>
              <w:spacing w:after="40"/>
            </w:pPr>
            <w:r>
              <w:rPr>
                <w:b/>
                <w:sz w:val="16"/>
              </w:rPr>
              <w:t>Recursive</w:t>
            </w:r>
          </w:p>
        </w:tc>
      </w:tr>
      <w:tr>
        <w:tc>
          <w:tcPr>
            <w:tcW w:type="dxa" w:w="3216"/>
          </w:tcPr>
          <w:p>
            <w:pPr>
              <w:spacing w:after="40"/>
            </w:pPr>
            <w:r>
              <w:rPr>
                <w:sz w:val="16"/>
              </w:rPr>
              <w:t>Features</w:t>
            </w:r>
          </w:p>
        </w:tc>
        <w:tc>
          <w:tcPr>
            <w:tcW w:type="dxa" w:w="3216"/>
          </w:tcPr>
          <w:p>
            <w:pPr>
              <w:spacing w:after="40"/>
            </w:pPr>
            <w:r>
              <w:rPr>
                <w:sz w:val="16"/>
              </w:rPr>
              <w:t>38</w:t>
            </w:r>
          </w:p>
        </w:tc>
        <w:tc>
          <w:tcPr>
            <w:tcW w:type="dxa" w:w="3216"/>
          </w:tcPr>
          <w:p>
            <w:pPr>
              <w:spacing w:after="40"/>
            </w:pPr>
            <w:r>
              <w:rPr>
                <w:sz w:val="16"/>
              </w:rPr>
              <w:t>32</w:t>
            </w:r>
          </w:p>
        </w:tc>
      </w:tr>
      <w:tr>
        <w:tc>
          <w:tcPr>
            <w:tcW w:type="dxa" w:w="3216"/>
          </w:tcPr>
          <w:p>
            <w:pPr>
              <w:spacing w:after="40"/>
            </w:pPr>
            <w:r>
              <w:rPr>
                <w:sz w:val="16"/>
              </w:rPr>
              <w:t>Horizon handling</w:t>
            </w:r>
          </w:p>
        </w:tc>
        <w:tc>
          <w:tcPr>
            <w:tcW w:type="dxa" w:w="3216"/>
          </w:tcPr>
          <w:p>
            <w:pPr>
              <w:spacing w:after="40"/>
            </w:pPr>
            <w:r>
              <w:rPr>
                <w:sz w:val="16"/>
              </w:rPr>
              <w:t xml:space="preserve">all 28 days at once, </w:t>
            </w:r>
            <w:r>
              <w:rPr>
                <w:rFonts w:ascii="Consolas" w:hAnsi="Consolas"/>
                <w:sz w:val="16"/>
              </w:rPr>
              <w:t>horizon</w:t>
            </w:r>
            <w:r>
              <w:rPr>
                <w:sz w:val="16"/>
              </w:rPr>
              <w:t xml:space="preserve"> as a feature</w:t>
            </w:r>
          </w:p>
        </w:tc>
        <w:tc>
          <w:tcPr>
            <w:tcW w:type="dxa" w:w="3216"/>
          </w:tcPr>
          <w:p>
            <w:pPr>
              <w:spacing w:after="40"/>
            </w:pPr>
            <w:r>
              <w:rPr>
                <w:sz w:val="16"/>
              </w:rPr>
              <w:t>predicts 1 day, rolled 28×</w:t>
            </w:r>
          </w:p>
        </w:tc>
      </w:tr>
      <w:tr>
        <w:tc>
          <w:tcPr>
            <w:tcW w:type="dxa" w:w="3216"/>
          </w:tcPr>
          <w:p>
            <w:pPr>
              <w:spacing w:after="40"/>
            </w:pPr>
            <w:r>
              <w:rPr>
                <w:sz w:val="16"/>
              </w:rPr>
              <w:t>Training rows</w:t>
            </w:r>
          </w:p>
        </w:tc>
        <w:tc>
          <w:tcPr>
            <w:tcW w:type="dxa" w:w="3216"/>
          </w:tcPr>
          <w:p>
            <w:pPr>
              <w:spacing w:after="40"/>
            </w:pPr>
            <w:r>
              <w:rPr>
                <w:sz w:val="16"/>
              </w:rPr>
              <w:t>15 origins × 28 days × 30,490 = 12,805,800</w:t>
            </w:r>
          </w:p>
        </w:tc>
        <w:tc>
          <w:tcPr>
            <w:tcW w:type="dxa" w:w="3216"/>
          </w:tcPr>
          <w:p>
            <w:pPr>
              <w:spacing w:after="40"/>
            </w:pPr>
            <w:r>
              <w:rPr>
                <w:sz w:val="16"/>
              </w:rPr>
              <w:t>420 daily origins × 30,490 = 12,805,800</w:t>
            </w:r>
          </w:p>
        </w:tc>
      </w:tr>
      <w:tr>
        <w:tc>
          <w:tcPr>
            <w:tcW w:type="dxa" w:w="3216"/>
          </w:tcPr>
          <w:p>
            <w:pPr>
              <w:spacing w:after="40"/>
            </w:pPr>
            <w:r>
              <w:rPr>
                <w:sz w:val="16"/>
              </w:rPr>
              <w:t>Primary-window RMSE</w:t>
            </w:r>
          </w:p>
        </w:tc>
        <w:tc>
          <w:tcPr>
            <w:tcW w:type="dxa" w:w="3216"/>
          </w:tcPr>
          <w:p>
            <w:pPr>
              <w:spacing w:after="40"/>
            </w:pPr>
            <w:r>
              <w:rPr>
                <w:sz w:val="16"/>
              </w:rPr>
              <w:t>2.1211</w:t>
            </w:r>
          </w:p>
        </w:tc>
        <w:tc>
          <w:tcPr>
            <w:tcW w:type="dxa" w:w="3216"/>
          </w:tcPr>
          <w:p>
            <w:pPr>
              <w:spacing w:after="40"/>
            </w:pPr>
            <w:r>
              <w:rPr>
                <w:sz w:val="16"/>
              </w:rPr>
              <w:t>2.1185</w:t>
            </w:r>
          </w:p>
        </w:tc>
      </w:tr>
      <w:tr>
        <w:tc>
          <w:tcPr>
            <w:tcW w:type="dxa" w:w="3216"/>
          </w:tcPr>
          <w:p>
            <w:pPr>
              <w:spacing w:after="40"/>
            </w:pPr>
            <w:r>
              <w:rPr>
                <w:sz w:val="16"/>
              </w:rPr>
              <w:t>Primary-window MAE</w:t>
            </w:r>
          </w:p>
        </w:tc>
        <w:tc>
          <w:tcPr>
            <w:tcW w:type="dxa" w:w="3216"/>
          </w:tcPr>
          <w:p>
            <w:pPr>
              <w:spacing w:after="40"/>
            </w:pPr>
            <w:r>
              <w:rPr>
                <w:sz w:val="16"/>
              </w:rPr>
              <w:t>1.0293</w:t>
            </w:r>
          </w:p>
        </w:tc>
        <w:tc>
          <w:tcPr>
            <w:tcW w:type="dxa" w:w="3216"/>
          </w:tcPr>
          <w:p>
            <w:pPr>
              <w:spacing w:after="40"/>
            </w:pPr>
            <w:r>
              <w:rPr>
                <w:sz w:val="16"/>
              </w:rPr>
              <w:t>1.0689</w:t>
            </w:r>
          </w:p>
        </w:tc>
      </w:tr>
    </w:tbl>
    <w:p/>
    <w:p>
      <w:r>
        <w:t xml:space="preserve">Member B′ deliberately omits recency and listing features. A fractional prediction fed back into the working matrix would be counted as a sale and would corrupt </w:t>
      </w:r>
      <w:r>
        <w:rPr>
          <w:rFonts w:ascii="Consolas" w:hAnsi="Consolas"/>
          <w:sz w:val="17"/>
        </w:rPr>
        <w:t>days_since_last_sale</w:t>
      </w:r>
      <w:r>
        <w:t>; dropping them is the correct handling, and the audit confirms the omission is intentional and documented.</w:t>
      </w:r>
    </w:p>
    <w:p>
      <w:r>
        <w:rPr>
          <w:b/>
        </w:rPr>
        <w:t>Combination rule:</w:t>
      </w:r>
      <w:r>
        <w:t xml:space="preserve"> </w:t>
      </w:r>
      <w:r>
        <w:rPr>
          <w:rFonts w:ascii="Consolas" w:hAnsi="Consolas"/>
          <w:sz w:val="17"/>
        </w:rPr>
        <w:t>ŷ = 0.60·A + 0.40·B′</w:t>
      </w:r>
      <w:r>
        <w:t>, clipped at zero.</w:t>
      </w:r>
    </w:p>
    <w:p>
      <w:pPr>
        <w:pStyle w:val="Heading2"/>
      </w:pPr>
      <w:r>
        <w:rPr>
          <w:color w:val="1A3D6D"/>
          <w:sz w:val="22"/>
        </w:rPr>
        <w:t>7.3 Hyperparameters (identical for both members)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6"/>
              </w:rPr>
              <w:t>Parameter</w:t>
            </w:r>
          </w:p>
        </w:tc>
        <w:tc>
          <w:tcPr>
            <w:tcW w:type="dxa" w:w="1930"/>
          </w:tcPr>
          <w:p>
            <w:pPr>
              <w:spacing w:after="40"/>
            </w:pPr>
            <w:r>
              <w:rPr>
                <w:b/>
                <w:sz w:val="16"/>
              </w:rPr>
              <w:t>Value</w:t>
            </w:r>
          </w:p>
        </w:tc>
        <w:tc>
          <w:tcPr>
            <w:tcW w:type="dxa" w:w="1930"/>
          </w:tcPr>
          <w:p>
            <w:pPr>
              <w:spacing w:after="40"/>
            </w:pPr>
          </w:p>
        </w:tc>
        <w:tc>
          <w:tcPr>
            <w:tcW w:type="dxa" w:w="1930"/>
          </w:tcPr>
          <w:p>
            <w:pPr>
              <w:spacing w:after="40"/>
            </w:pPr>
            <w:r>
              <w:rPr>
                <w:b/>
                <w:sz w:val="16"/>
              </w:rPr>
              <w:t>Parameter</w:t>
            </w:r>
          </w:p>
        </w:tc>
        <w:tc>
          <w:tcPr>
            <w:tcW w:type="dxa" w:w="1930"/>
          </w:tcPr>
          <w:p>
            <w:pPr>
              <w:spacing w:after="40"/>
            </w:pPr>
            <w:r>
              <w:rPr>
                <w:b/>
                <w:sz w:val="16"/>
              </w:rPr>
              <w:t>Value</w:t>
            </w:r>
          </w:p>
        </w:tc>
      </w:tr>
      <w:tr>
        <w:tc>
          <w:tcPr>
            <w:tcW w:type="dxa" w:w="1930"/>
          </w:tcPr>
          <w:p>
            <w:pPr>
              <w:spacing w:after="40"/>
            </w:pPr>
            <w:r>
              <w:rPr>
                <w:rFonts w:ascii="Consolas" w:hAnsi="Consolas"/>
                <w:sz w:val="16"/>
              </w:rPr>
              <w:t>objective</w:t>
            </w:r>
          </w:p>
        </w:tc>
        <w:tc>
          <w:tcPr>
            <w:tcW w:type="dxa" w:w="1930"/>
          </w:tcPr>
          <w:p>
            <w:pPr>
              <w:spacing w:after="40"/>
            </w:pPr>
            <w:r>
              <w:rPr>
                <w:sz w:val="16"/>
              </w:rPr>
              <w:t>tweedie</w:t>
            </w:r>
          </w:p>
        </w:tc>
        <w:tc>
          <w:tcPr>
            <w:tcW w:type="dxa" w:w="1930"/>
          </w:tcPr>
          <w:p>
            <w:pPr>
              <w:spacing w:after="40"/>
            </w:pPr>
          </w:p>
        </w:tc>
        <w:tc>
          <w:tcPr>
            <w:tcW w:type="dxa" w:w="1930"/>
          </w:tcPr>
          <w:p>
            <w:pPr>
              <w:spacing w:after="40"/>
            </w:pPr>
            <w:r>
              <w:rPr>
                <w:rFonts w:ascii="Consolas" w:hAnsi="Consolas"/>
                <w:sz w:val="16"/>
              </w:rPr>
              <w:t>feature_fraction</w:t>
            </w:r>
          </w:p>
        </w:tc>
        <w:tc>
          <w:tcPr>
            <w:tcW w:type="dxa" w:w="1930"/>
          </w:tcPr>
          <w:p>
            <w:pPr>
              <w:spacing w:after="40"/>
            </w:pPr>
            <w:r>
              <w:rPr>
                <w:sz w:val="16"/>
              </w:rPr>
              <w:t>0.8</w:t>
            </w:r>
          </w:p>
        </w:tc>
      </w:tr>
      <w:tr>
        <w:tc>
          <w:tcPr>
            <w:tcW w:type="dxa" w:w="1930"/>
          </w:tcPr>
          <w:p>
            <w:pPr>
              <w:spacing w:after="40"/>
            </w:pPr>
            <w:r>
              <w:rPr>
                <w:rFonts w:ascii="Consolas" w:hAnsi="Consolas"/>
                <w:sz w:val="16"/>
              </w:rPr>
              <w:t>tweedie_variance_power</w:t>
            </w:r>
          </w:p>
        </w:tc>
        <w:tc>
          <w:tcPr>
            <w:tcW w:type="dxa" w:w="1930"/>
          </w:tcPr>
          <w:p>
            <w:pPr>
              <w:spacing w:after="40"/>
            </w:pPr>
            <w:r>
              <w:rPr>
                <w:sz w:val="16"/>
              </w:rPr>
              <w:t>1.1</w:t>
            </w:r>
          </w:p>
        </w:tc>
        <w:tc>
          <w:tcPr>
            <w:tcW w:type="dxa" w:w="1930"/>
          </w:tcPr>
          <w:p>
            <w:pPr>
              <w:spacing w:after="40"/>
            </w:pPr>
          </w:p>
        </w:tc>
        <w:tc>
          <w:tcPr>
            <w:tcW w:type="dxa" w:w="1930"/>
          </w:tcPr>
          <w:p>
            <w:pPr>
              <w:spacing w:after="40"/>
            </w:pPr>
            <w:r>
              <w:rPr>
                <w:rFonts w:ascii="Consolas" w:hAnsi="Consolas"/>
                <w:sz w:val="16"/>
              </w:rPr>
              <w:t>bagging_fraction</w:t>
            </w:r>
          </w:p>
        </w:tc>
        <w:tc>
          <w:tcPr>
            <w:tcW w:type="dxa" w:w="1930"/>
          </w:tcPr>
          <w:p>
            <w:pPr>
              <w:spacing w:after="40"/>
            </w:pPr>
            <w:r>
              <w:rPr>
                <w:sz w:val="16"/>
              </w:rPr>
              <w:t>0.8</w:t>
            </w:r>
          </w:p>
        </w:tc>
      </w:tr>
      <w:tr>
        <w:tc>
          <w:tcPr>
            <w:tcW w:type="dxa" w:w="1930"/>
          </w:tcPr>
          <w:p>
            <w:pPr>
              <w:spacing w:after="40"/>
            </w:pPr>
            <w:r>
              <w:rPr>
                <w:rFonts w:ascii="Consolas" w:hAnsi="Consolas"/>
                <w:sz w:val="16"/>
              </w:rPr>
              <w:t>learning_rate</w:t>
            </w:r>
          </w:p>
        </w:tc>
        <w:tc>
          <w:tcPr>
            <w:tcW w:type="dxa" w:w="1930"/>
          </w:tcPr>
          <w:p>
            <w:pPr>
              <w:spacing w:after="40"/>
            </w:pPr>
            <w:r>
              <w:rPr>
                <w:sz w:val="16"/>
              </w:rPr>
              <w:t>0.05</w:t>
            </w:r>
          </w:p>
        </w:tc>
        <w:tc>
          <w:tcPr>
            <w:tcW w:type="dxa" w:w="1930"/>
          </w:tcPr>
          <w:p>
            <w:pPr>
              <w:spacing w:after="40"/>
            </w:pPr>
          </w:p>
        </w:tc>
        <w:tc>
          <w:tcPr>
            <w:tcW w:type="dxa" w:w="1930"/>
          </w:tcPr>
          <w:p>
            <w:pPr>
              <w:spacing w:after="40"/>
            </w:pPr>
            <w:r>
              <w:rPr>
                <w:rFonts w:ascii="Consolas" w:hAnsi="Consolas"/>
                <w:sz w:val="16"/>
              </w:rPr>
              <w:t>bagging_freq</w:t>
            </w:r>
          </w:p>
        </w:tc>
        <w:tc>
          <w:tcPr>
            <w:tcW w:type="dxa" w:w="1930"/>
          </w:tcPr>
          <w:p>
            <w:pPr>
              <w:spacing w:after="40"/>
            </w:pPr>
            <w:r>
              <w:rPr>
                <w:sz w:val="16"/>
              </w:rPr>
              <w:t>1</w:t>
            </w:r>
          </w:p>
        </w:tc>
      </w:tr>
      <w:tr>
        <w:tc>
          <w:tcPr>
            <w:tcW w:type="dxa" w:w="1930"/>
          </w:tcPr>
          <w:p>
            <w:pPr>
              <w:spacing w:after="40"/>
            </w:pPr>
            <w:r>
              <w:rPr>
                <w:rFonts w:ascii="Consolas" w:hAnsi="Consolas"/>
                <w:sz w:val="16"/>
              </w:rPr>
              <w:t>num_leaves</w:t>
            </w:r>
          </w:p>
        </w:tc>
        <w:tc>
          <w:tcPr>
            <w:tcW w:type="dxa" w:w="1930"/>
          </w:tcPr>
          <w:p>
            <w:pPr>
              <w:spacing w:after="40"/>
            </w:pPr>
            <w:r>
              <w:rPr>
                <w:sz w:val="16"/>
              </w:rPr>
              <w:t>128</w:t>
            </w:r>
          </w:p>
        </w:tc>
        <w:tc>
          <w:tcPr>
            <w:tcW w:type="dxa" w:w="1930"/>
          </w:tcPr>
          <w:p>
            <w:pPr>
              <w:spacing w:after="40"/>
            </w:pPr>
          </w:p>
        </w:tc>
        <w:tc>
          <w:tcPr>
            <w:tcW w:type="dxa" w:w="1930"/>
          </w:tcPr>
          <w:p>
            <w:pPr>
              <w:spacing w:after="40"/>
            </w:pPr>
            <w:r>
              <w:rPr>
                <w:rFonts w:ascii="Consolas" w:hAnsi="Consolas"/>
                <w:sz w:val="16"/>
              </w:rPr>
              <w:t>lambda_l2</w:t>
            </w:r>
          </w:p>
        </w:tc>
        <w:tc>
          <w:tcPr>
            <w:tcW w:type="dxa" w:w="1930"/>
          </w:tcPr>
          <w:p>
            <w:pPr>
              <w:spacing w:after="40"/>
            </w:pPr>
            <w:r>
              <w:rPr>
                <w:sz w:val="16"/>
              </w:rPr>
              <w:t>1.0</w:t>
            </w:r>
          </w:p>
        </w:tc>
      </w:tr>
      <w:tr>
        <w:tc>
          <w:tcPr>
            <w:tcW w:type="dxa" w:w="1930"/>
          </w:tcPr>
          <w:p>
            <w:pPr>
              <w:spacing w:after="40"/>
            </w:pPr>
            <w:r>
              <w:rPr>
                <w:rFonts w:ascii="Consolas" w:hAnsi="Consolas"/>
                <w:sz w:val="16"/>
              </w:rPr>
              <w:t>min_data_in_leaf</w:t>
            </w:r>
          </w:p>
        </w:tc>
        <w:tc>
          <w:tcPr>
            <w:tcW w:type="dxa" w:w="1930"/>
          </w:tcPr>
          <w:p>
            <w:pPr>
              <w:spacing w:after="40"/>
            </w:pPr>
            <w:r>
              <w:rPr>
                <w:sz w:val="16"/>
              </w:rPr>
              <w:t>100</w:t>
            </w:r>
          </w:p>
        </w:tc>
        <w:tc>
          <w:tcPr>
            <w:tcW w:type="dxa" w:w="1930"/>
          </w:tcPr>
          <w:p>
            <w:pPr>
              <w:spacing w:after="40"/>
            </w:pPr>
          </w:p>
        </w:tc>
        <w:tc>
          <w:tcPr>
            <w:tcW w:type="dxa" w:w="1930"/>
          </w:tcPr>
          <w:p>
            <w:pPr>
              <w:spacing w:after="40"/>
            </w:pPr>
            <w:r>
              <w:rPr>
                <w:rFonts w:ascii="Consolas" w:hAnsi="Consolas"/>
                <w:sz w:val="16"/>
              </w:rPr>
              <w:t>max_cat_threshold</w:t>
            </w:r>
          </w:p>
        </w:tc>
        <w:tc>
          <w:tcPr>
            <w:tcW w:type="dxa" w:w="1930"/>
          </w:tcPr>
          <w:p>
            <w:pPr>
              <w:spacing w:after="40"/>
            </w:pPr>
            <w:r>
              <w:rPr>
                <w:sz w:val="16"/>
              </w:rPr>
              <w:t>32</w:t>
            </w:r>
          </w:p>
        </w:tc>
      </w:tr>
      <w:tr>
        <w:tc>
          <w:tcPr>
            <w:tcW w:type="dxa" w:w="1930"/>
          </w:tcPr>
          <w:p>
            <w:pPr>
              <w:spacing w:after="40"/>
            </w:pPr>
            <w:r>
              <w:rPr>
                <w:rFonts w:ascii="Consolas" w:hAnsi="Consolas"/>
                <w:sz w:val="16"/>
              </w:rPr>
              <w:t>max_depth</w:t>
            </w:r>
          </w:p>
        </w:tc>
        <w:tc>
          <w:tcPr>
            <w:tcW w:type="dxa" w:w="1930"/>
          </w:tcPr>
          <w:p>
            <w:pPr>
              <w:spacing w:after="40"/>
            </w:pPr>
            <w:r>
              <w:rPr>
                <w:sz w:val="16"/>
              </w:rPr>
              <w:t>-1 (unbounded)</w:t>
            </w:r>
          </w:p>
        </w:tc>
        <w:tc>
          <w:tcPr>
            <w:tcW w:type="dxa" w:w="1930"/>
          </w:tcPr>
          <w:p>
            <w:pPr>
              <w:spacing w:after="40"/>
            </w:pPr>
          </w:p>
        </w:tc>
        <w:tc>
          <w:tcPr>
            <w:tcW w:type="dxa" w:w="1930"/>
          </w:tcPr>
          <w:p>
            <w:pPr>
              <w:spacing w:after="40"/>
            </w:pPr>
            <w:r>
              <w:rPr>
                <w:rFonts w:ascii="Consolas" w:hAnsi="Consolas"/>
                <w:sz w:val="16"/>
              </w:rPr>
              <w:t>num_boost_round</w:t>
            </w:r>
          </w:p>
        </w:tc>
        <w:tc>
          <w:tcPr>
            <w:tcW w:type="dxa" w:w="1930"/>
          </w:tcPr>
          <w:p>
            <w:pPr>
              <w:spacing w:after="40"/>
            </w:pPr>
            <w:r>
              <w:rPr>
                <w:sz w:val="16"/>
              </w:rPr>
              <w:t>400</w:t>
            </w:r>
          </w:p>
        </w:tc>
      </w:tr>
      <w:tr>
        <w:tc>
          <w:tcPr>
            <w:tcW w:type="dxa" w:w="1930"/>
          </w:tcPr>
          <w:p>
            <w:pPr>
              <w:spacing w:after="40"/>
            </w:pPr>
            <w:r>
              <w:rPr>
                <w:rFonts w:ascii="Consolas" w:hAnsi="Consolas"/>
                <w:sz w:val="16"/>
              </w:rPr>
              <w:t>deterministic</w:t>
            </w:r>
          </w:p>
        </w:tc>
        <w:tc>
          <w:tcPr>
            <w:tcW w:type="dxa" w:w="1930"/>
          </w:tcPr>
          <w:p>
            <w:pPr>
              <w:spacing w:after="40"/>
            </w:pPr>
            <w:r>
              <w:rPr>
                <w:sz w:val="16"/>
              </w:rPr>
              <w:t>True</w:t>
            </w:r>
          </w:p>
        </w:tc>
        <w:tc>
          <w:tcPr>
            <w:tcW w:type="dxa" w:w="1930"/>
          </w:tcPr>
          <w:p>
            <w:pPr>
              <w:spacing w:after="40"/>
            </w:pPr>
          </w:p>
        </w:tc>
        <w:tc>
          <w:tcPr>
            <w:tcW w:type="dxa" w:w="1930"/>
          </w:tcPr>
          <w:p>
            <w:pPr>
              <w:spacing w:after="40"/>
            </w:pPr>
            <w:r>
              <w:rPr>
                <w:rFonts w:ascii="Consolas" w:hAnsi="Consolas"/>
                <w:sz w:val="16"/>
              </w:rPr>
              <w:t>force_row_wise</w:t>
            </w:r>
          </w:p>
        </w:tc>
        <w:tc>
          <w:tcPr>
            <w:tcW w:type="dxa" w:w="1930"/>
          </w:tcPr>
          <w:p>
            <w:pPr>
              <w:spacing w:after="40"/>
            </w:pPr>
            <w:r>
              <w:rPr>
                <w:sz w:val="16"/>
              </w:rPr>
              <w:t>True</w:t>
            </w:r>
          </w:p>
        </w:tc>
      </w:tr>
    </w:tbl>
    <w:p/>
    <w:p>
      <w:r>
        <w:rPr>
          <w:b/>
        </w:rPr>
        <w:t>Audit note.</w:t>
      </w:r>
      <w:r>
        <w:t xml:space="preserve"> </w:t>
      </w:r>
      <w:r>
        <w:rPr>
          <w:rFonts w:ascii="Consolas" w:hAnsi="Consolas"/>
          <w:sz w:val="17"/>
        </w:rPr>
        <w:t>num_boost_round</w:t>
      </w:r>
      <w:r>
        <w:t xml:space="preserve"> is fixed at 400 with </w:t>
      </w:r>
      <w:r>
        <w:rPr>
          <w:b/>
        </w:rPr>
        <w:t>no early stopping</w:t>
      </w:r>
      <w:r>
        <w:t>. This is a defensible choice — early stopping on the validation window would be selection on the evaluation data — but it means the round count was never tuned on held-out data either. An inner-window sweep found more rounds to be worse (</w:t>
      </w:r>
      <w:r>
        <w:rPr>
          <w:rFonts w:ascii="Consolas" w:hAnsi="Consolas"/>
          <w:sz w:val="17"/>
        </w:rPr>
        <w:t>tune_inner_B</w:t>
      </w:r>
      <w:r>
        <w:t xml:space="preserve">, 2.1127 vs 2.0899 inner), so the setting has </w:t>
      </w:r>
      <w:r>
        <w:rPr>
          <w:i/>
        </w:rPr>
        <w:t>some</w:t>
      </w:r>
      <w:r>
        <w:t xml:space="preserve"> support, but it is not optimised.</w:t>
      </w:r>
    </w:p>
    <w:p>
      <w:pPr>
        <w:pStyle w:val="Heading1"/>
      </w:pPr>
      <w:r>
        <w:rPr>
          <w:color w:val="1A3D6D"/>
          <w:sz w:val="26"/>
        </w:rPr>
        <w:t>8. Training Procedure</w:t>
      </w:r>
    </w:p>
    <w:p>
      <w:pPr>
        <w:pStyle w:val="ListNumber"/>
      </w:pPr>
      <w:r>
        <w:t xml:space="preserve">Build 15 origin frames, stack to a </w:t>
      </w:r>
      <w:r>
        <w:rPr>
          <w:rFonts w:ascii="Consolas" w:hAnsi="Consolas"/>
          <w:sz w:val="17"/>
        </w:rPr>
        <w:t>(12,805,800 × 38)</w:t>
      </w:r>
      <w:r>
        <w:t xml:space="preserve"> float32 matrix (~1.9 GB).</w:t>
      </w:r>
    </w:p>
    <w:p>
      <w:pPr>
        <w:pStyle w:val="ListNumber"/>
      </w:pPr>
      <w:r>
        <w:t>Assert no training target reaches the validation window.</w:t>
      </w:r>
    </w:p>
    <w:p>
      <w:pPr>
        <w:pStyle w:val="ListNumber"/>
      </w:pPr>
      <w:r>
        <w:t>Fit LightGBM for 400 rounds with fixed seeds.</w:t>
      </w:r>
    </w:p>
    <w:p>
      <w:pPr>
        <w:pStyle w:val="ListNumber"/>
      </w:pPr>
      <w:r>
        <w:t xml:space="preserve">Member B′: build 420 single-day origin frames, fit, then roll forward 28 days, rebuilding features each step from a working matrix seeded with real history up to </w:t>
      </w:r>
      <w:r>
        <w:rPr>
          <w:i/>
        </w:rPr>
        <w:t>T</w:t>
      </w:r>
      <w:r>
        <w:t xml:space="preserve"> and filled thereafter only with the model's own output.</w:t>
      </w:r>
    </w:p>
    <w:p>
      <w:pPr>
        <w:pStyle w:val="ListNumber"/>
      </w:pPr>
      <w:r>
        <w:t>Blend, clip at zero.</w:t>
      </w:r>
    </w:p>
    <w:p>
      <w:r>
        <w:rPr>
          <w:b/>
        </w:rPr>
        <w:t>Computational cost (measured, 24-core CPU):</w:t>
      </w:r>
      <w:r>
        <w:t xml:space="preserve"> member A ≈ 157 s, member B′ ≈ 420 s including 28 rollout feature rebuilds; ~4.5 GB peak RSS. The ensemble roughly doubles training and inference cost versus the single direct model.</w:t>
      </w:r>
    </w:p>
    <w:p>
      <w:pPr>
        <w:pStyle w:val="Heading1"/>
      </w:pPr>
      <w:r>
        <w:rPr>
          <w:color w:val="1A3D6D"/>
          <w:sz w:val="26"/>
        </w:rPr>
        <w:t>9. Validation Strategy</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Property</w:t>
            </w:r>
          </w:p>
        </w:tc>
        <w:tc>
          <w:tcPr>
            <w:tcW w:type="dxa" w:w="4824"/>
          </w:tcPr>
          <w:p>
            <w:pPr>
              <w:spacing w:after="40"/>
            </w:pPr>
            <w:r>
              <w:rPr>
                <w:b/>
                <w:sz w:val="16"/>
              </w:rPr>
              <w:t>Value</w:t>
            </w:r>
          </w:p>
        </w:tc>
      </w:tr>
      <w:tr>
        <w:tc>
          <w:tcPr>
            <w:tcW w:type="dxa" w:w="4824"/>
          </w:tcPr>
          <w:p>
            <w:pPr>
              <w:spacing w:after="40"/>
            </w:pPr>
            <w:r>
              <w:rPr>
                <w:sz w:val="16"/>
              </w:rPr>
              <w:t>Primary window</w:t>
            </w:r>
          </w:p>
        </w:tc>
        <w:tc>
          <w:tcPr>
            <w:tcW w:type="dxa" w:w="4824"/>
          </w:tcPr>
          <w:p>
            <w:pPr>
              <w:spacing w:after="40"/>
            </w:pPr>
            <w:r>
              <w:rPr>
                <w:sz w:val="16"/>
              </w:rPr>
              <w:t>d_1914–d_1941 (2016-04-25 → 2016-05-22)</w:t>
            </w:r>
          </w:p>
        </w:tc>
      </w:tr>
      <w:tr>
        <w:tc>
          <w:tcPr>
            <w:tcW w:type="dxa" w:w="4824"/>
          </w:tcPr>
          <w:p>
            <w:pPr>
              <w:spacing w:after="40"/>
            </w:pPr>
            <w:r>
              <w:rPr>
                <w:sz w:val="16"/>
              </w:rPr>
              <w:t>Predictions scored</w:t>
            </w:r>
          </w:p>
        </w:tc>
        <w:tc>
          <w:tcPr>
            <w:tcW w:type="dxa" w:w="4824"/>
          </w:tcPr>
          <w:p>
            <w:pPr>
              <w:spacing w:after="40"/>
            </w:pPr>
            <w:r>
              <w:rPr>
                <w:sz w:val="16"/>
              </w:rPr>
              <w:t>853,720</w:t>
            </w:r>
          </w:p>
        </w:tc>
      </w:tr>
      <w:tr>
        <w:tc>
          <w:tcPr>
            <w:tcW w:type="dxa" w:w="4824"/>
          </w:tcPr>
          <w:p>
            <w:pPr>
              <w:spacing w:after="40"/>
            </w:pPr>
            <w:r>
              <w:rPr>
                <w:sz w:val="16"/>
              </w:rPr>
              <w:t>Additional windows</w:t>
            </w:r>
          </w:p>
        </w:tc>
        <w:tc>
          <w:tcPr>
            <w:tcW w:type="dxa" w:w="4824"/>
          </w:tcPr>
          <w:p>
            <w:pPr>
              <w:spacing w:after="40"/>
            </w:pPr>
            <w:r>
              <w:rPr>
                <w:sz w:val="16"/>
              </w:rPr>
              <w:t>christmas_2015, summer_2015, autumn_2015</w:t>
            </w:r>
          </w:p>
        </w:tc>
      </w:tr>
      <w:tr>
        <w:tc>
          <w:tcPr>
            <w:tcW w:type="dxa" w:w="4824"/>
          </w:tcPr>
          <w:p>
            <w:pPr>
              <w:spacing w:after="40"/>
            </w:pPr>
            <w:r>
              <w:rPr>
                <w:sz w:val="16"/>
              </w:rPr>
              <w:t>Retrained per window?</w:t>
            </w:r>
          </w:p>
        </w:tc>
        <w:tc>
          <w:tcPr>
            <w:tcW w:type="dxa" w:w="4824"/>
          </w:tcPr>
          <w:p>
            <w:pPr>
              <w:spacing w:after="40"/>
            </w:pPr>
            <w:r>
              <w:rPr>
                <w:b/>
                <w:sz w:val="16"/>
              </w:rPr>
              <w:t>Yes</w:t>
            </w:r>
            <w:r>
              <w:rPr>
                <w:sz w:val="16"/>
              </w:rPr>
              <w:t xml:space="preserve"> — both members, from scratch</w:t>
            </w:r>
          </w:p>
        </w:tc>
      </w:tr>
      <w:tr>
        <w:tc>
          <w:tcPr>
            <w:tcW w:type="dxa" w:w="4824"/>
          </w:tcPr>
          <w:p>
            <w:pPr>
              <w:spacing w:after="40"/>
            </w:pPr>
            <w:r>
              <w:rPr>
                <w:sz w:val="16"/>
              </w:rPr>
              <w:t>Seeds</w:t>
            </w:r>
          </w:p>
        </w:tc>
        <w:tc>
          <w:tcPr>
            <w:tcW w:type="dxa" w:w="4824"/>
          </w:tcPr>
          <w:p>
            <w:pPr>
              <w:spacing w:after="40"/>
            </w:pPr>
            <w:r>
              <w:rPr>
                <w:sz w:val="16"/>
              </w:rPr>
              <w:t>3 (blend, Exp. #76); 3 per window on 2 windows (upgrade, Exp. #79)</w:t>
            </w:r>
          </w:p>
        </w:tc>
      </w:tr>
      <w:tr>
        <w:tc>
          <w:tcPr>
            <w:tcW w:type="dxa" w:w="4824"/>
          </w:tcPr>
          <w:p>
            <w:pPr>
              <w:spacing w:after="40"/>
            </w:pPr>
            <w:r>
              <w:rPr>
                <w:sz w:val="16"/>
              </w:rPr>
              <w:t>Weight selection</w:t>
            </w:r>
          </w:p>
        </w:tc>
        <w:tc>
          <w:tcPr>
            <w:tcW w:type="dxa" w:w="4824"/>
          </w:tcPr>
          <w:p>
            <w:pPr>
              <w:spacing w:after="40"/>
            </w:pPr>
            <w:r>
              <w:rPr>
                <w:sz w:val="16"/>
              </w:rPr>
              <w:t>inner window d_1886–d_1913, never an evaluation window</w:t>
            </w:r>
          </w:p>
        </w:tc>
      </w:tr>
      <w:tr>
        <w:tc>
          <w:tcPr>
            <w:tcW w:type="dxa" w:w="4824"/>
          </w:tcPr>
          <w:p>
            <w:pPr>
              <w:spacing w:after="40"/>
            </w:pPr>
            <w:r>
              <w:rPr>
                <w:sz w:val="16"/>
              </w:rPr>
              <w:t>Hyperparameter selection</w:t>
            </w:r>
          </w:p>
        </w:tc>
        <w:tc>
          <w:tcPr>
            <w:tcW w:type="dxa" w:w="4824"/>
          </w:tcPr>
          <w:p>
            <w:pPr>
              <w:spacing w:after="40"/>
            </w:pPr>
            <w:r>
              <w:rPr>
                <w:sz w:val="16"/>
              </w:rPr>
              <w:t>inner window only</w:t>
            </w:r>
          </w:p>
        </w:tc>
      </w:tr>
      <w:tr>
        <w:tc>
          <w:tcPr>
            <w:tcW w:type="dxa" w:w="4824"/>
          </w:tcPr>
          <w:p>
            <w:pPr>
              <w:spacing w:after="40"/>
            </w:pPr>
            <w:r>
              <w:rPr>
                <w:sz w:val="16"/>
              </w:rPr>
              <w:t>Metric basis</w:t>
            </w:r>
          </w:p>
        </w:tc>
        <w:tc>
          <w:tcPr>
            <w:tcW w:type="dxa" w:w="4824"/>
          </w:tcPr>
          <w:p>
            <w:pPr>
              <w:spacing w:after="40"/>
            </w:pPr>
            <w:r>
              <w:rPr>
                <w:sz w:val="16"/>
              </w:rPr>
              <w:t>validation only — no ground truth exists after d_1941</w:t>
            </w:r>
          </w:p>
        </w:tc>
      </w:tr>
    </w:tbl>
    <w:p/>
    <w:p>
      <w:r>
        <w:rPr>
          <w:b/>
        </w:rPr>
        <w:t>On the absence of a true test set.</w:t>
      </w:r>
      <w:r>
        <w:t xml:space="preserve"> There is none, and the paper should not pretend otherwise. </w:t>
      </w:r>
      <w:r>
        <w:rPr>
          <w:rFonts w:ascii="Consolas" w:hAnsi="Consolas"/>
          <w:sz w:val="17"/>
        </w:rPr>
        <w:t>d_1942–d_1969</w:t>
      </w:r>
      <w:r>
        <w:t xml:space="preserve"> has no published ground truth, so the deployment forecast is unscoreable. Every number here is held-out validation. The mitigation is that acceptance required agreement across four temporally disjoint windows and multiple seeds, with criteria fixed in the script header before each run — a stronger discipline than a single test split, though not a substitute for one.</w:t>
      </w:r>
    </w:p>
    <w:p>
      <w:r>
        <w:rPr>
          <w:b/>
        </w:rPr>
        <w:t>One residual concern we flag rather than resolve.</w:t>
      </w:r>
      <w:r>
        <w:t xml:space="preserve"> The primary window was used repeatedly across 79 experiments. Even with per-experiment pre-registration, the </w:t>
      </w:r>
      <w:r>
        <w:rPr>
          <w:i/>
        </w:rPr>
        <w:t>sequence</w:t>
      </w:r>
      <w:r>
        <w:t xml:space="preserve"> of accept/reject decisions is informed by that window. The three extra windows and the inner-window weight selection mitigate this, but the primary-window figure should be read as the most optimistic of the four.</w:t>
      </w:r>
    </w:p>
    <w:p>
      <w:pPr>
        <w:pStyle w:val="Heading1"/>
      </w:pPr>
      <w:r>
        <w:rPr>
          <w:color w:val="1A3D6D"/>
          <w:sz w:val="26"/>
        </w:rPr>
        <w:t>10. Experimental Design and History</w:t>
      </w:r>
    </w:p>
    <w:p>
      <w:r>
        <w:t xml:space="preserve">The registry contains </w:t>
      </w:r>
      <w:r>
        <w:rPr>
          <w:b/>
        </w:rPr>
        <w:t>79 records</w:t>
      </w:r>
      <w:r>
        <w:t>. The audit reconstructed the following arc.</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Stage</w:t>
            </w:r>
          </w:p>
        </w:tc>
        <w:tc>
          <w:tcPr>
            <w:tcW w:type="dxa" w:w="3216"/>
          </w:tcPr>
          <w:p>
            <w:pPr>
              <w:spacing w:after="40"/>
            </w:pPr>
            <w:r>
              <w:rPr>
                <w:b/>
                <w:sz w:val="16"/>
              </w:rPr>
              <w:t>Runs</w:t>
            </w:r>
          </w:p>
        </w:tc>
        <w:tc>
          <w:tcPr>
            <w:tcW w:type="dxa" w:w="3216"/>
          </w:tcPr>
          <w:p>
            <w:pPr>
              <w:spacing w:after="40"/>
            </w:pPr>
            <w:r>
              <w:rPr>
                <w:b/>
                <w:sz w:val="16"/>
              </w:rPr>
              <w:t>Outcome</w:t>
            </w:r>
          </w:p>
        </w:tc>
      </w:tr>
      <w:tr>
        <w:tc>
          <w:tcPr>
            <w:tcW w:type="dxa" w:w="3216"/>
          </w:tcPr>
          <w:p>
            <w:pPr>
              <w:spacing w:after="40"/>
            </w:pPr>
            <w:r>
              <w:rPr>
                <w:sz w:val="16"/>
              </w:rPr>
              <w:t>1. Baselines &amp; first models</w:t>
            </w:r>
          </w:p>
        </w:tc>
        <w:tc>
          <w:tcPr>
            <w:tcW w:type="dxa" w:w="3216"/>
          </w:tcPr>
          <w:p>
            <w:pPr>
              <w:spacing w:after="40"/>
            </w:pPr>
            <w:r>
              <w:rPr>
                <w:sz w:val="16"/>
              </w:rPr>
              <w:t>9</w:t>
            </w:r>
          </w:p>
        </w:tc>
        <w:tc>
          <w:tcPr>
            <w:tcW w:type="dxa" w:w="3216"/>
          </w:tcPr>
          <w:p>
            <w:pPr>
              <w:spacing w:after="40"/>
            </w:pPr>
            <w:r>
              <w:rPr>
                <w:sz w:val="16"/>
              </w:rPr>
              <w:t>Tweedie beats L2; 32-feature champion at 2.1210</w:t>
            </w:r>
          </w:p>
        </w:tc>
      </w:tr>
      <w:tr>
        <w:tc>
          <w:tcPr>
            <w:tcW w:type="dxa" w:w="3216"/>
          </w:tcPr>
          <w:p>
            <w:pPr>
              <w:spacing w:after="40"/>
            </w:pPr>
            <w:r>
              <w:rPr>
                <w:sz w:val="16"/>
              </w:rPr>
              <w:t>2. Ablation &amp; tuning</w:t>
            </w:r>
          </w:p>
        </w:tc>
        <w:tc>
          <w:tcPr>
            <w:tcW w:type="dxa" w:w="3216"/>
          </w:tcPr>
          <w:p>
            <w:pPr>
              <w:spacing w:after="40"/>
            </w:pPr>
            <w:r>
              <w:rPr>
                <w:sz w:val="16"/>
              </w:rPr>
              <w:t>15</w:t>
            </w:r>
          </w:p>
        </w:tc>
        <w:tc>
          <w:tcPr>
            <w:tcW w:type="dxa" w:w="3216"/>
          </w:tcPr>
          <w:p>
            <w:pPr>
              <w:spacing w:after="40"/>
            </w:pPr>
            <w:r>
              <w:rPr>
                <w:sz w:val="16"/>
              </w:rPr>
              <w:t>All seven feature groups contribute; 400 rounds retained</w:t>
            </w:r>
          </w:p>
        </w:tc>
      </w:tr>
      <w:tr>
        <w:tc>
          <w:tcPr>
            <w:tcW w:type="dxa" w:w="3216"/>
          </w:tcPr>
          <w:p>
            <w:pPr>
              <w:spacing w:after="40"/>
            </w:pPr>
            <w:r>
              <w:rPr>
                <w:sz w:val="16"/>
              </w:rPr>
              <w:t>3. Benchmark investigation</w:t>
            </w:r>
          </w:p>
        </w:tc>
        <w:tc>
          <w:tcPr>
            <w:tcW w:type="dxa" w:w="3216"/>
          </w:tcPr>
          <w:p>
            <w:pPr>
              <w:spacing w:after="40"/>
            </w:pPr>
            <w:r>
              <w:rPr>
                <w:sz w:val="16"/>
              </w:rPr>
              <w:t>6</w:t>
            </w:r>
          </w:p>
        </w:tc>
        <w:tc>
          <w:tcPr>
            <w:tcW w:type="dxa" w:w="3216"/>
          </w:tcPr>
          <w:p>
            <w:pPr>
              <w:spacing w:after="40"/>
            </w:pPr>
            <w:r>
              <w:rPr>
                <w:sz w:val="16"/>
              </w:rPr>
              <w:t>External score attributed to leakage</w:t>
            </w:r>
          </w:p>
        </w:tc>
      </w:tr>
      <w:tr>
        <w:tc>
          <w:tcPr>
            <w:tcW w:type="dxa" w:w="3216"/>
          </w:tcPr>
          <w:p>
            <w:pPr>
              <w:spacing w:after="40"/>
            </w:pPr>
            <w:r>
              <w:rPr>
                <w:sz w:val="16"/>
              </w:rPr>
              <w:t>4. Optimization campaign</w:t>
            </w:r>
          </w:p>
        </w:tc>
        <w:tc>
          <w:tcPr>
            <w:tcW w:type="dxa" w:w="3216"/>
          </w:tcPr>
          <w:p>
            <w:pPr>
              <w:spacing w:after="40"/>
            </w:pPr>
            <w:r>
              <w:rPr>
                <w:sz w:val="16"/>
              </w:rPr>
              <w:t>38</w:t>
            </w:r>
          </w:p>
        </w:tc>
        <w:tc>
          <w:tcPr>
            <w:tcW w:type="dxa" w:w="3216"/>
          </w:tcPr>
          <w:p>
            <w:pPr>
              <w:spacing w:after="40"/>
            </w:pPr>
            <w:r>
              <w:rPr>
                <w:sz w:val="16"/>
              </w:rPr>
              <w:t>Objectives, weighting, hurdle, recursion, ensembling — all rejected</w:t>
            </w:r>
          </w:p>
        </w:tc>
      </w:tr>
      <w:tr>
        <w:tc>
          <w:tcPr>
            <w:tcW w:type="dxa" w:w="3216"/>
          </w:tcPr>
          <w:p>
            <w:pPr>
              <w:spacing w:after="40"/>
            </w:pPr>
            <w:r>
              <w:rPr>
                <w:sz w:val="16"/>
              </w:rPr>
              <w:t>5. Autonomous research</w:t>
            </w:r>
          </w:p>
        </w:tc>
        <w:tc>
          <w:tcPr>
            <w:tcW w:type="dxa" w:w="3216"/>
          </w:tcPr>
          <w:p>
            <w:pPr>
              <w:spacing w:after="40"/>
            </w:pPr>
            <w:r>
              <w:rPr>
                <w:sz w:val="16"/>
              </w:rPr>
              <w:t>3</w:t>
            </w:r>
          </w:p>
        </w:tc>
        <w:tc>
          <w:tcPr>
            <w:tcW w:type="dxa" w:w="3216"/>
          </w:tcPr>
          <w:p>
            <w:pPr>
              <w:spacing w:after="40"/>
            </w:pPr>
            <w:r>
              <w:rPr>
                <w:sz w:val="16"/>
              </w:rPr>
              <w:t>Bias correction, ensemble, year-over-year — all rejected</w:t>
            </w:r>
          </w:p>
        </w:tc>
      </w:tr>
      <w:tr>
        <w:tc>
          <w:tcPr>
            <w:tcW w:type="dxa" w:w="3216"/>
          </w:tcPr>
          <w:p>
            <w:pPr>
              <w:spacing w:after="40"/>
            </w:pPr>
            <w:r>
              <w:rPr>
                <w:sz w:val="16"/>
              </w:rPr>
              <w:t>6. Shape + diversity</w:t>
            </w:r>
          </w:p>
        </w:tc>
        <w:tc>
          <w:tcPr>
            <w:tcW w:type="dxa" w:w="3216"/>
          </w:tcPr>
          <w:p>
            <w:pPr>
              <w:spacing w:after="40"/>
            </w:pPr>
            <w:r>
              <w:rPr>
                <w:sz w:val="16"/>
              </w:rPr>
              <w:t>8</w:t>
            </w:r>
          </w:p>
        </w:tc>
        <w:tc>
          <w:tcPr>
            <w:tcW w:type="dxa" w:w="3216"/>
          </w:tcPr>
          <w:p>
            <w:pPr>
              <w:spacing w:after="40"/>
            </w:pPr>
            <w:r>
              <w:rPr>
                <w:sz w:val="16"/>
              </w:rPr>
              <w:t>Shape features accepted; diversity ensemble accepted</w:t>
            </w:r>
          </w:p>
        </w:tc>
      </w:tr>
    </w:tbl>
    <w:p/>
    <w:p>
      <w:pPr>
        <w:pStyle w:val="Heading2"/>
      </w:pPr>
      <w:r>
        <w:rPr>
          <w:color w:val="1A3D6D"/>
          <w:sz w:val="22"/>
        </w:rPr>
        <w:t>10.1 Why the final model was selected</w:t>
      </w:r>
    </w:p>
    <w:p>
      <w:r>
        <w:t>Three sequential accepted changes, each with criteria fixed before running:</w:t>
      </w:r>
    </w:p>
    <w:p>
      <w:r>
        <w:rPr>
          <w:b/>
        </w:rPr>
        <w:t>(a) Shape features (Exp. #72–74).</w:t>
      </w:r>
      <w:r>
        <w:t xml:space="preserve"> A 4-feature shape set moved the primary window only -0.0047, inside the project's own measured noise floor of ±0.022–0.033, and was therefore recorded REJECT on magnitude. Exp. #73 then tested </w:t>
      </w:r>
      <w:r>
        <w:rPr>
          <w:i/>
        </w:rPr>
        <w:t>consistency</w:t>
      </w:r>
      <w:r>
        <w:t xml:space="preserve"> instead: 4/4 windows and 3/3 seeds, mean -0.0112. Accepted. Exp. #74 reproduced it independently and added two cycle features → 38 features, RMSE 2.1157.</w:t>
      </w:r>
    </w:p>
    <w:p>
      <w:r>
        <w:rPr>
          <w:b/>
        </w:rPr>
        <w:t>(b) Architectural-diversity blend (Exp. #76).</w:t>
      </w:r>
      <w:r>
        <w:t xml:space="preserve"> Accepted on 4/4 windows, 3/3 seeds, mean -0.0198.</w:t>
      </w:r>
    </w:p>
    <w:p>
      <w:r>
        <w:rPr>
          <w:b/>
        </w:rPr>
        <w:t>(c) Recursive-member upgrade (Exp. #77).</w:t>
      </w:r>
      <w:r>
        <w:t xml:space="preserve"> Giving member B the champion's six shape features. Accepted on 4/4 windows, mean -0.0042, with member-level improvement on 3/4. Confirmed seed-stable in Exp. #79 (6/6 cells).</w:t>
      </w:r>
    </w:p>
    <w:p>
      <w:pPr>
        <w:pStyle w:val="Heading2"/>
      </w:pPr>
      <w:r>
        <w:rPr>
          <w:color w:val="1A3D6D"/>
          <w:sz w:val="22"/>
        </w:rPr>
        <w:t>10.2 Rejected approaches (the more useful half of the record)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Approach</w:t>
            </w:r>
          </w:p>
        </w:tc>
        <w:tc>
          <w:tcPr>
            <w:tcW w:type="dxa" w:w="3216"/>
          </w:tcPr>
          <w:p>
            <w:pPr>
              <w:spacing w:after="40"/>
            </w:pPr>
            <w:r>
              <w:rPr>
                <w:b/>
                <w:sz w:val="16"/>
              </w:rPr>
              <w:t>Result</w:t>
            </w:r>
          </w:p>
        </w:tc>
        <w:tc>
          <w:tcPr>
            <w:tcW w:type="dxa" w:w="3216"/>
          </w:tcPr>
          <w:p>
            <w:pPr>
              <w:spacing w:after="40"/>
            </w:pPr>
            <w:r>
              <w:rPr>
                <w:b/>
                <w:sz w:val="16"/>
              </w:rPr>
              <w:t>Why it failed</w:t>
            </w:r>
          </w:p>
        </w:tc>
      </w:tr>
      <w:tr>
        <w:tc>
          <w:tcPr>
            <w:tcW w:type="dxa" w:w="3216"/>
          </w:tcPr>
          <w:p>
            <w:pPr>
              <w:spacing w:after="40"/>
            </w:pPr>
            <w:r>
              <w:rPr>
                <w:sz w:val="16"/>
              </w:rPr>
              <w:t>Six-member ensemble of direct models (#70)</w:t>
            </w:r>
          </w:p>
        </w:tc>
        <w:tc>
          <w:tcPr>
            <w:tcW w:type="dxa" w:w="3216"/>
          </w:tcPr>
          <w:p>
            <w:pPr>
              <w:spacing w:after="40"/>
            </w:pPr>
            <w:r>
              <w:rPr>
                <w:sz w:val="16"/>
              </w:rPr>
              <w:t>2.1261 vs 2.1210</w:t>
            </w:r>
          </w:p>
        </w:tc>
        <w:tc>
          <w:tcPr>
            <w:tcW w:type="dxa" w:w="3216"/>
          </w:tcPr>
          <w:p>
            <w:pPr>
              <w:spacing w:after="40"/>
            </w:pPr>
            <w:r>
              <w:rPr>
                <w:sz w:val="16"/>
              </w:rPr>
              <w:t>Mean pairwise residual correlation 0.9897; members individually worse</w:t>
            </w:r>
          </w:p>
        </w:tc>
      </w:tr>
      <w:tr>
        <w:tc>
          <w:tcPr>
            <w:tcW w:type="dxa" w:w="3216"/>
          </w:tcPr>
          <w:p>
            <w:pPr>
              <w:spacing w:after="40"/>
            </w:pPr>
            <w:r>
              <w:rPr>
                <w:sz w:val="16"/>
              </w:rPr>
              <w:t>Per-series bias correction (#69)</w:t>
            </w:r>
          </w:p>
        </w:tc>
        <w:tc>
          <w:tcPr>
            <w:tcW w:type="dxa" w:w="3216"/>
          </w:tcPr>
          <w:p>
            <w:pPr>
              <w:spacing w:after="40"/>
            </w:pPr>
            <w:r>
              <w:rPr>
                <w:sz w:val="16"/>
              </w:rPr>
              <w:t>2.1286 vs 2.1210</w:t>
            </w:r>
          </w:p>
        </w:tc>
        <w:tc>
          <w:tcPr>
            <w:tcW w:type="dxa" w:w="3216"/>
          </w:tcPr>
          <w:p>
            <w:pPr>
              <w:spacing w:after="40"/>
            </w:pPr>
            <w:r>
              <w:rPr>
                <w:sz w:val="16"/>
              </w:rPr>
              <w:t>Pre-origin residual estimates do not transfer</w:t>
            </w:r>
          </w:p>
        </w:tc>
      </w:tr>
      <w:tr>
        <w:tc>
          <w:tcPr>
            <w:tcW w:type="dxa" w:w="3216"/>
          </w:tcPr>
          <w:p>
            <w:pPr>
              <w:spacing w:after="40"/>
            </w:pPr>
            <w:r>
              <w:rPr>
                <w:sz w:val="16"/>
              </w:rPr>
              <w:t>Year-over-year features (#71)</w:t>
            </w:r>
          </w:p>
        </w:tc>
        <w:tc>
          <w:tcPr>
            <w:tcW w:type="dxa" w:w="3216"/>
          </w:tcPr>
          <w:p>
            <w:pPr>
              <w:spacing w:after="40"/>
            </w:pPr>
            <w:r>
              <w:rPr>
                <w:sz w:val="16"/>
              </w:rPr>
              <w:t>2.1564</w:t>
            </w:r>
          </w:p>
        </w:tc>
        <w:tc>
          <w:tcPr>
            <w:tcW w:type="dxa" w:w="3216"/>
          </w:tcPr>
          <w:p>
            <w:pPr>
              <w:spacing w:after="40"/>
            </w:pPr>
            <w:r>
              <w:rPr>
                <w:sz w:val="16"/>
              </w:rPr>
              <w:t>Level features, collinear with existing lags</w:t>
            </w:r>
          </w:p>
        </w:tc>
      </w:tr>
      <w:tr>
        <w:tc>
          <w:tcPr>
            <w:tcW w:type="dxa" w:w="3216"/>
          </w:tcPr>
          <w:p>
            <w:pPr>
              <w:spacing w:after="40"/>
            </w:pPr>
            <w:r>
              <w:rPr>
                <w:sz w:val="16"/>
              </w:rPr>
              <w:t>Volume-weighted training</w:t>
            </w:r>
          </w:p>
        </w:tc>
        <w:tc>
          <w:tcPr>
            <w:tcW w:type="dxa" w:w="3216"/>
          </w:tcPr>
          <w:p>
            <w:pPr>
              <w:spacing w:after="40"/>
            </w:pPr>
            <w:r>
              <w:rPr>
                <w:sz w:val="16"/>
              </w:rPr>
              <w:t>2.1371–2.1376</w:t>
            </w:r>
          </w:p>
        </w:tc>
        <w:tc>
          <w:tcPr>
            <w:tcW w:type="dxa" w:w="3216"/>
          </w:tcPr>
          <w:p>
            <w:pPr>
              <w:spacing w:after="40"/>
            </w:pPr>
            <w:r>
              <w:rPr>
                <w:sz w:val="16"/>
              </w:rPr>
              <w:t>Reweighting cannot fix a variance problem</w:t>
            </w:r>
          </w:p>
        </w:tc>
      </w:tr>
      <w:tr>
        <w:tc>
          <w:tcPr>
            <w:tcW w:type="dxa" w:w="3216"/>
          </w:tcPr>
          <w:p>
            <w:pPr>
              <w:spacing w:after="40"/>
            </w:pPr>
            <w:r>
              <w:rPr>
                <w:sz w:val="16"/>
              </w:rPr>
              <w:t>Hurdle two-stage</w:t>
            </w:r>
          </w:p>
        </w:tc>
        <w:tc>
          <w:tcPr>
            <w:tcW w:type="dxa" w:w="3216"/>
          </w:tcPr>
          <w:p>
            <w:pPr>
              <w:spacing w:after="40"/>
            </w:pPr>
            <w:r>
              <w:rPr>
                <w:sz w:val="16"/>
              </w:rPr>
              <w:t>2.1241–2.1267</w:t>
            </w:r>
          </w:p>
        </w:tc>
        <w:tc>
          <w:tcPr>
            <w:tcW w:type="dxa" w:w="3216"/>
          </w:tcPr>
          <w:p>
            <w:pPr>
              <w:spacing w:after="40"/>
            </w:pPr>
            <w:r>
              <w:rPr>
                <w:sz w:val="16"/>
              </w:rPr>
              <w:t>No gain over direct Tweedie</w:t>
            </w:r>
          </w:p>
        </w:tc>
      </w:tr>
      <w:tr>
        <w:tc>
          <w:tcPr>
            <w:tcW w:type="dxa" w:w="3216"/>
          </w:tcPr>
          <w:p>
            <w:pPr>
              <w:spacing w:after="40"/>
            </w:pPr>
            <w:r>
              <w:rPr>
                <w:sz w:val="16"/>
              </w:rPr>
              <w:t>L1 / L2 / Poisson objectives</w:t>
            </w:r>
          </w:p>
        </w:tc>
        <w:tc>
          <w:tcPr>
            <w:tcW w:type="dxa" w:w="3216"/>
          </w:tcPr>
          <w:p>
            <w:pPr>
              <w:spacing w:after="40"/>
            </w:pPr>
            <w:r>
              <w:rPr>
                <w:sz w:val="16"/>
              </w:rPr>
              <w:t>2.1351–2.2432</w:t>
            </w:r>
          </w:p>
        </w:tc>
        <w:tc>
          <w:tcPr>
            <w:tcW w:type="dxa" w:w="3216"/>
          </w:tcPr>
          <w:p>
            <w:pPr>
              <w:spacing w:after="40"/>
            </w:pPr>
            <w:r>
              <w:rPr>
                <w:sz w:val="16"/>
              </w:rPr>
              <w:t>L1 wins MAE, loses RMSE badly</w:t>
            </w:r>
          </w:p>
        </w:tc>
      </w:tr>
      <w:tr>
        <w:tc>
          <w:tcPr>
            <w:tcW w:type="dxa" w:w="3216"/>
          </w:tcPr>
          <w:p>
            <w:pPr>
              <w:spacing w:after="40"/>
            </w:pPr>
            <w:r>
              <w:rPr>
                <w:sz w:val="16"/>
              </w:rPr>
              <w:t>Cross-store / cross-item features</w:t>
            </w:r>
          </w:p>
        </w:tc>
        <w:tc>
          <w:tcPr>
            <w:tcW w:type="dxa" w:w="3216"/>
          </w:tcPr>
          <w:p>
            <w:pPr>
              <w:spacing w:after="40"/>
            </w:pPr>
            <w:r>
              <w:rPr>
                <w:sz w:val="16"/>
              </w:rPr>
              <w:t>not trained</w:t>
            </w:r>
          </w:p>
        </w:tc>
        <w:tc>
          <w:tcPr>
            <w:tcW w:type="dxa" w:w="3216"/>
          </w:tcPr>
          <w:p>
            <w:pPr>
              <w:spacing w:after="40"/>
            </w:pPr>
            <w:r>
              <w:rPr>
                <w:sz w:val="16"/>
              </w:rPr>
              <w:t>Joint oracle upper bound −0.0055</w:t>
            </w:r>
          </w:p>
        </w:tc>
      </w:tr>
      <w:tr>
        <w:tc>
          <w:tcPr>
            <w:tcW w:type="dxa" w:w="3216"/>
          </w:tcPr>
          <w:p>
            <w:pPr>
              <w:spacing w:after="40"/>
            </w:pPr>
            <w:r>
              <w:rPr>
                <w:sz w:val="16"/>
              </w:rPr>
              <w:t>Pre-launch row exclusion</w:t>
            </w:r>
          </w:p>
        </w:tc>
        <w:tc>
          <w:tcPr>
            <w:tcW w:type="dxa" w:w="3216"/>
          </w:tcPr>
          <w:p>
            <w:pPr>
              <w:spacing w:after="40"/>
            </w:pPr>
            <w:r>
              <w:rPr>
                <w:sz w:val="16"/>
              </w:rPr>
              <w:t>not trained</w:t>
            </w:r>
          </w:p>
        </w:tc>
        <w:tc>
          <w:tcPr>
            <w:tcW w:type="dxa" w:w="3216"/>
          </w:tcPr>
          <w:p>
            <w:pPr>
              <w:spacing w:after="40"/>
            </w:pPr>
            <w:r>
              <w:rPr>
                <w:sz w:val="16"/>
              </w:rPr>
              <w:t>0.48% of training rows at the primary origin</w:t>
            </w:r>
          </w:p>
        </w:tc>
      </w:tr>
      <w:tr>
        <w:tc>
          <w:tcPr>
            <w:tcW w:type="dxa" w:w="3216"/>
          </w:tcPr>
          <w:p>
            <w:pPr>
              <w:spacing w:after="40"/>
            </w:pPr>
            <w:r>
              <w:rPr>
                <w:sz w:val="16"/>
              </w:rPr>
              <w:t>Ghost-stockout filtering</w:t>
            </w:r>
          </w:p>
        </w:tc>
        <w:tc>
          <w:tcPr>
            <w:tcW w:type="dxa" w:w="3216"/>
          </w:tcPr>
          <w:p>
            <w:pPr>
              <w:spacing w:after="40"/>
            </w:pPr>
            <w:r>
              <w:rPr>
                <w:sz w:val="16"/>
              </w:rPr>
              <w:t>not trained</w:t>
            </w:r>
          </w:p>
        </w:tc>
        <w:tc>
          <w:tcPr>
            <w:tcW w:type="dxa" w:w="3216"/>
          </w:tcPr>
          <w:p>
            <w:pPr>
              <w:spacing w:after="40"/>
            </w:pPr>
            <w:r>
              <w:rPr>
                <w:sz w:val="16"/>
              </w:rPr>
              <w:t>0.1997% of cells</w:t>
            </w:r>
          </w:p>
        </w:tc>
      </w:tr>
      <w:tr>
        <w:tc>
          <w:tcPr>
            <w:tcW w:type="dxa" w:w="3216"/>
          </w:tcPr>
          <w:p>
            <w:pPr>
              <w:spacing w:after="40"/>
            </w:pPr>
            <w:r>
              <w:rPr>
                <w:sz w:val="16"/>
              </w:rPr>
              <w:t>Per-category specialisation</w:t>
            </w:r>
          </w:p>
        </w:tc>
        <w:tc>
          <w:tcPr>
            <w:tcW w:type="dxa" w:w="3216"/>
          </w:tcPr>
          <w:p>
            <w:pPr>
              <w:spacing w:after="40"/>
            </w:pPr>
            <w:r>
              <w:rPr>
                <w:sz w:val="16"/>
              </w:rPr>
              <w:t>not trained</w:t>
            </w:r>
          </w:p>
        </w:tc>
        <w:tc>
          <w:tcPr>
            <w:tcW w:type="dxa" w:w="3216"/>
          </w:tcPr>
          <w:p>
            <w:pPr>
              <w:spacing w:after="40"/>
            </w:pPr>
            <w:r>
              <w:rPr>
                <w:sz w:val="16"/>
              </w:rPr>
              <w:t>Oracle rescale −0.0025</w:t>
            </w:r>
          </w:p>
        </w:tc>
      </w:tr>
      <w:tr>
        <w:tc>
          <w:tcPr>
            <w:tcW w:type="dxa" w:w="3216"/>
          </w:tcPr>
          <w:p>
            <w:pPr>
              <w:spacing w:after="40"/>
            </w:pPr>
            <w:r>
              <w:rPr>
                <w:sz w:val="16"/>
              </w:rPr>
              <w:t>Per-horizon specialisation</w:t>
            </w:r>
          </w:p>
        </w:tc>
        <w:tc>
          <w:tcPr>
            <w:tcW w:type="dxa" w:w="3216"/>
          </w:tcPr>
          <w:p>
            <w:pPr>
              <w:spacing w:after="40"/>
            </w:pPr>
            <w:r>
              <w:rPr>
                <w:sz w:val="16"/>
              </w:rPr>
              <w:t>not trained</w:t>
            </w:r>
          </w:p>
        </w:tc>
        <w:tc>
          <w:tcPr>
            <w:tcW w:type="dxa" w:w="3216"/>
          </w:tcPr>
          <w:p>
            <w:pPr>
              <w:spacing w:after="40"/>
            </w:pPr>
            <w:r>
              <w:rPr>
                <w:sz w:val="16"/>
              </w:rPr>
              <w:t>Oracle rescale −0.0081</w:t>
            </w:r>
          </w:p>
        </w:tc>
      </w:tr>
    </w:tbl>
    <w:p/>
    <w:p>
      <w:r>
        <w:t>The last five are the audit's favourite part of this project: they were killed by cheap diagnostics rather than by burning compute, and the bounds are recorded so the decisions are checkable.</w:t>
      </w:r>
    </w:p>
    <w:p>
      <w:pPr>
        <w:pStyle w:val="Heading1"/>
      </w:pPr>
      <w:r>
        <w:rPr>
          <w:color w:val="1A3D6D"/>
          <w:sz w:val="26"/>
        </w:rPr>
        <w:t>11. Results</w:t>
      </w:r>
    </w:p>
    <w:p>
      <w:pPr>
        <w:pStyle w:val="Heading2"/>
      </w:pPr>
      <w:r>
        <w:rPr>
          <w:color w:val="1A3D6D"/>
          <w:sz w:val="22"/>
        </w:rPr>
        <w:t>11.1 Verified performance of the shipped model</w:t>
      </w:r>
    </w:p>
    <w:p>
      <w:r>
        <w:t>Reproduced from scratch during this audit: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Metric</w:t>
            </w:r>
          </w:p>
        </w:tc>
        <w:tc>
          <w:tcPr>
            <w:tcW w:type="dxa" w:w="3216"/>
          </w:tcPr>
          <w:p>
            <w:pPr>
              <w:spacing w:after="40"/>
            </w:pPr>
            <w:r>
              <w:rPr>
                <w:b/>
                <w:sz w:val="16"/>
              </w:rPr>
              <w:t>Value</w:t>
            </w:r>
          </w:p>
        </w:tc>
        <w:tc>
          <w:tcPr>
            <w:tcW w:type="dxa" w:w="3216"/>
          </w:tcPr>
          <w:p>
            <w:pPr>
              <w:spacing w:after="40"/>
            </w:pPr>
            <w:r>
              <w:rPr>
                <w:b/>
                <w:sz w:val="16"/>
              </w:rPr>
              <w:t>What it measures</w:t>
            </w:r>
          </w:p>
        </w:tc>
      </w:tr>
      <w:tr>
        <w:tc>
          <w:tcPr>
            <w:tcW w:type="dxa" w:w="3216"/>
          </w:tcPr>
          <w:p>
            <w:pPr>
              <w:spacing w:after="40"/>
            </w:pPr>
            <w:r>
              <w:rPr>
                <w:sz w:val="16"/>
              </w:rPr>
              <w:t>RMSE</w:t>
            </w:r>
          </w:p>
        </w:tc>
        <w:tc>
          <w:tcPr>
            <w:tcW w:type="dxa" w:w="3216"/>
          </w:tcPr>
          <w:p>
            <w:pPr>
              <w:spacing w:after="40"/>
            </w:pPr>
            <w:r>
              <w:rPr>
                <w:b/>
                <w:sz w:val="16"/>
              </w:rPr>
              <w:t>2.0929</w:t>
            </w:r>
          </w:p>
        </w:tc>
        <w:tc>
          <w:tcPr>
            <w:tcW w:type="dxa" w:w="3216"/>
          </w:tcPr>
          <w:p>
            <w:pPr>
              <w:spacing w:after="40"/>
            </w:pPr>
            <w:r>
              <w:rPr>
                <w:sz w:val="16"/>
              </w:rPr>
              <w:t>Root mean squared error, units/day. Primary metric.</w:t>
            </w:r>
          </w:p>
        </w:tc>
      </w:tr>
      <w:tr>
        <w:tc>
          <w:tcPr>
            <w:tcW w:type="dxa" w:w="3216"/>
          </w:tcPr>
          <w:p>
            <w:pPr>
              <w:spacing w:after="40"/>
            </w:pPr>
            <w:r>
              <w:rPr>
                <w:sz w:val="16"/>
              </w:rPr>
              <w:t>MAE</w:t>
            </w:r>
          </w:p>
        </w:tc>
        <w:tc>
          <w:tcPr>
            <w:tcW w:type="dxa" w:w="3216"/>
          </w:tcPr>
          <w:p>
            <w:pPr>
              <w:spacing w:after="40"/>
            </w:pPr>
            <w:r>
              <w:rPr>
                <w:b/>
                <w:sz w:val="16"/>
              </w:rPr>
              <w:t>1.0395</w:t>
            </w:r>
          </w:p>
        </w:tc>
        <w:tc>
          <w:tcPr>
            <w:tcW w:type="dxa" w:w="3216"/>
          </w:tcPr>
          <w:p>
            <w:pPr>
              <w:spacing w:after="40"/>
            </w:pPr>
            <w:r>
              <w:rPr>
                <w:sz w:val="16"/>
              </w:rPr>
              <w:t>Mean absolute error, units/day.</w:t>
            </w:r>
          </w:p>
        </w:tc>
      </w:tr>
      <w:tr>
        <w:tc>
          <w:tcPr>
            <w:tcW w:type="dxa" w:w="3216"/>
          </w:tcPr>
          <w:p>
            <w:pPr>
              <w:spacing w:after="40"/>
            </w:pPr>
            <w:r>
              <w:rPr>
                <w:sz w:val="16"/>
              </w:rPr>
              <w:t>WAPE</w:t>
            </w:r>
          </w:p>
        </w:tc>
        <w:tc>
          <w:tcPr>
            <w:tcW w:type="dxa" w:w="3216"/>
          </w:tcPr>
          <w:p>
            <w:pPr>
              <w:spacing w:after="40"/>
            </w:pPr>
            <w:r>
              <w:rPr>
                <w:sz w:val="16"/>
              </w:rPr>
              <w:t>0.7205</w:t>
            </w:r>
          </w:p>
        </w:tc>
        <w:tc>
          <w:tcPr>
            <w:tcW w:type="dxa" w:w="3216"/>
          </w:tcPr>
          <w:p>
            <w:pPr>
              <w:spacing w:after="40"/>
            </w:pPr>
            <w:r>
              <w:rPr>
                <w:sz w:val="16"/>
              </w:rPr>
              <w:t>Total absolute error ÷ total actual demand.</w:t>
            </w:r>
          </w:p>
        </w:tc>
      </w:tr>
      <w:tr>
        <w:tc>
          <w:tcPr>
            <w:tcW w:type="dxa" w:w="3216"/>
          </w:tcPr>
          <w:p>
            <w:pPr>
              <w:spacing w:after="40"/>
            </w:pPr>
            <w:r>
              <w:rPr>
                <w:sz w:val="16"/>
              </w:rPr>
              <w:t>Bias</w:t>
            </w:r>
          </w:p>
        </w:tc>
        <w:tc>
          <w:tcPr>
            <w:tcW w:type="dxa" w:w="3216"/>
          </w:tcPr>
          <w:p>
            <w:pPr>
              <w:spacing w:after="40"/>
            </w:pPr>
            <w:r>
              <w:rPr>
                <w:sz w:val="16"/>
              </w:rPr>
              <w:t>-0.0224</w:t>
            </w:r>
          </w:p>
        </w:tc>
        <w:tc>
          <w:tcPr>
            <w:tcW w:type="dxa" w:w="3216"/>
          </w:tcPr>
          <w:p>
            <w:pPr>
              <w:spacing w:after="40"/>
            </w:pPr>
            <w:r>
              <w:rPr>
                <w:sz w:val="16"/>
              </w:rPr>
              <w:t>Mean signed error; negative = under-forecasting.</w:t>
            </w:r>
          </w:p>
        </w:tc>
      </w:tr>
      <w:tr>
        <w:tc>
          <w:tcPr>
            <w:tcW w:type="dxa" w:w="3216"/>
          </w:tcPr>
          <w:p>
            <w:pPr>
              <w:spacing w:after="40"/>
            </w:pPr>
            <w:r>
              <w:rPr>
                <w:sz w:val="16"/>
              </w:rPr>
              <w:t>High-volume RMSE</w:t>
            </w:r>
          </w:p>
        </w:tc>
        <w:tc>
          <w:tcPr>
            <w:tcW w:type="dxa" w:w="3216"/>
          </w:tcPr>
          <w:p>
            <w:pPr>
              <w:spacing w:after="40"/>
            </w:pPr>
            <w:r>
              <w:rPr>
                <w:sz w:val="16"/>
              </w:rPr>
              <w:t>5.8662</w:t>
            </w:r>
          </w:p>
        </w:tc>
        <w:tc>
          <w:tcPr>
            <w:tcW w:type="dxa" w:w="3216"/>
          </w:tcPr>
          <w:p>
            <w:pPr>
              <w:spacing w:after="40"/>
            </w:pPr>
            <w:r>
              <w:rPr>
                <w:sz w:val="16"/>
              </w:rPr>
              <w:t>Series averaging &gt;3 units/day pre-origin.</w:t>
            </w:r>
          </w:p>
        </w:tc>
      </w:tr>
      <w:tr>
        <w:tc>
          <w:tcPr>
            <w:tcW w:type="dxa" w:w="3216"/>
          </w:tcPr>
          <w:p>
            <w:pPr>
              <w:spacing w:after="40"/>
            </w:pPr>
            <w:r>
              <w:rPr>
                <w:sz w:val="16"/>
              </w:rPr>
              <w:t>Demand-occurrence accuracy</w:t>
            </w:r>
          </w:p>
        </w:tc>
        <w:tc>
          <w:tcPr>
            <w:tcW w:type="dxa" w:w="3216"/>
          </w:tcPr>
          <w:p>
            <w:pPr>
              <w:spacing w:after="40"/>
            </w:pPr>
            <w:r>
              <w:rPr>
                <w:sz w:val="16"/>
              </w:rPr>
              <w:t>0.6980</w:t>
            </w:r>
          </w:p>
        </w:tc>
        <w:tc>
          <w:tcPr>
            <w:tcW w:type="dxa" w:w="3216"/>
          </w:tcPr>
          <w:p>
            <w:pPr>
              <w:spacing w:after="40"/>
            </w:pPr>
            <w:r>
              <w:rPr>
                <w:sz w:val="16"/>
              </w:rPr>
              <w:t xml:space="preserve">See §11.3 — </w:t>
            </w:r>
            <w:r>
              <w:rPr>
                <w:b/>
                <w:sz w:val="16"/>
              </w:rPr>
              <w:t>not</w:t>
            </w:r>
            <w:r>
              <w:rPr>
                <w:sz w:val="16"/>
              </w:rPr>
              <w:t xml:space="preserve"> an overall accuracy.</w:t>
            </w:r>
          </w:p>
        </w:tc>
      </w:tr>
      <w:tr>
        <w:tc>
          <w:tcPr>
            <w:tcW w:type="dxa" w:w="3216"/>
          </w:tcPr>
          <w:p>
            <w:pPr>
              <w:spacing w:after="40"/>
            </w:pPr>
            <w:r>
              <w:rPr>
                <w:sz w:val="16"/>
              </w:rPr>
              <w:t>Precision / Recall / F1</w:t>
            </w:r>
          </w:p>
        </w:tc>
        <w:tc>
          <w:tcPr>
            <w:tcW w:type="dxa" w:w="3216"/>
          </w:tcPr>
          <w:p>
            <w:pPr>
              <w:spacing w:after="40"/>
            </w:pPr>
            <w:r>
              <w:rPr>
                <w:sz w:val="16"/>
              </w:rPr>
              <w:t>0.6321 / 0.8068 / 0.7088</w:t>
            </w:r>
          </w:p>
        </w:tc>
        <w:tc>
          <w:tcPr>
            <w:tcW w:type="dxa" w:w="3216"/>
          </w:tcPr>
          <w:p>
            <w:pPr>
              <w:spacing w:after="40"/>
            </w:pPr>
            <w:r>
              <w:rPr>
                <w:sz w:val="16"/>
              </w:rPr>
              <w:t>Occurrence only.</w:t>
            </w:r>
          </w:p>
        </w:tc>
      </w:tr>
    </w:tbl>
    <w:p/>
    <w:p>
      <w:r>
        <w:rPr>
          <w:b/>
        </w:rPr>
        <w:t>Reproduction check.</w:t>
      </w:r>
      <w:r>
        <w:t xml:space="preserve"> Exp. #77 recorded RMSE 2.0929 / MAE 1.0395. Independently retraining both members gave 2.0929 / 1.0395 — </w:t>
      </w:r>
      <w:r>
        <w:rPr>
          <w:b/>
        </w:rPr>
        <w:t>reproduced</w:t>
      </w:r>
      <w:r>
        <w:t>.</w:t>
      </w:r>
    </w:p>
    <w:p>
      <w:pPr>
        <w:pStyle w:val="Heading2"/>
      </w:pPr>
      <w:r>
        <w:rPr>
          <w:color w:val="1A3D6D"/>
          <w:sz w:val="22"/>
        </w:rPr>
        <w:t>11.2 Cross-window results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6"/>
              </w:rPr>
              <w:t>Window</w:t>
            </w:r>
          </w:p>
        </w:tc>
        <w:tc>
          <w:tcPr>
            <w:tcW w:type="dxa" w:w="1930"/>
          </w:tcPr>
          <w:p>
            <w:pPr>
              <w:spacing w:after="40"/>
            </w:pPr>
            <w:r>
              <w:rPr>
                <w:b/>
                <w:sz w:val="16"/>
              </w:rPr>
              <w:t>RMSE</w:t>
            </w:r>
          </w:p>
        </w:tc>
        <w:tc>
          <w:tcPr>
            <w:tcW w:type="dxa" w:w="1930"/>
          </w:tcPr>
          <w:p>
            <w:pPr>
              <w:spacing w:after="40"/>
            </w:pPr>
            <w:r>
              <w:rPr>
                <w:b/>
                <w:sz w:val="16"/>
              </w:rPr>
              <w:t>MAE</w:t>
            </w:r>
          </w:p>
        </w:tc>
        <w:tc>
          <w:tcPr>
            <w:tcW w:type="dxa" w:w="1930"/>
          </w:tcPr>
          <w:p>
            <w:pPr>
              <w:spacing w:after="40"/>
            </w:pPr>
            <w:r>
              <w:rPr>
                <w:b/>
                <w:sz w:val="16"/>
              </w:rPr>
              <w:t>ΔRMSE vs direct</w:t>
            </w:r>
          </w:p>
        </w:tc>
        <w:tc>
          <w:tcPr>
            <w:tcW w:type="dxa" w:w="1930"/>
          </w:tcPr>
          <w:p>
            <w:pPr>
              <w:spacing w:after="40"/>
            </w:pPr>
            <w:r>
              <w:rPr>
                <w:b/>
                <w:sz w:val="16"/>
              </w:rPr>
              <w:t>ΔMAE vs direct</w:t>
            </w:r>
          </w:p>
        </w:tc>
      </w:tr>
      <w:tr>
        <w:tc>
          <w:tcPr>
            <w:tcW w:type="dxa" w:w="1930"/>
          </w:tcPr>
          <w:p>
            <w:pPr>
              <w:spacing w:after="40"/>
            </w:pPr>
            <w:r>
              <w:rPr>
                <w:sz w:val="16"/>
              </w:rPr>
              <w:t>primary_spring_2016</w:t>
            </w:r>
          </w:p>
        </w:tc>
        <w:tc>
          <w:tcPr>
            <w:tcW w:type="dxa" w:w="1930"/>
          </w:tcPr>
          <w:p>
            <w:pPr>
              <w:spacing w:after="40"/>
            </w:pPr>
            <w:r>
              <w:rPr>
                <w:sz w:val="16"/>
              </w:rPr>
              <w:t>2.0929</w:t>
            </w:r>
          </w:p>
        </w:tc>
        <w:tc>
          <w:tcPr>
            <w:tcW w:type="dxa" w:w="1930"/>
          </w:tcPr>
          <w:p>
            <w:pPr>
              <w:spacing w:after="40"/>
            </w:pPr>
            <w:r>
              <w:rPr>
                <w:sz w:val="16"/>
              </w:rPr>
              <w:t>1.0395</w:t>
            </w:r>
          </w:p>
        </w:tc>
        <w:tc>
          <w:tcPr>
            <w:tcW w:type="dxa" w:w="1930"/>
          </w:tcPr>
          <w:p>
            <w:pPr>
              <w:spacing w:after="40"/>
            </w:pPr>
            <w:r>
              <w:rPr>
                <w:sz w:val="16"/>
              </w:rPr>
              <w:t>-0.0281</w:t>
            </w:r>
          </w:p>
        </w:tc>
        <w:tc>
          <w:tcPr>
            <w:tcW w:type="dxa" w:w="1930"/>
          </w:tcPr>
          <w:p>
            <w:pPr>
              <w:spacing w:after="40"/>
            </w:pPr>
            <w:r>
              <w:rPr>
                <w:sz w:val="16"/>
              </w:rPr>
              <w:t>0.0102</w:t>
            </w:r>
          </w:p>
        </w:tc>
      </w:tr>
      <w:tr>
        <w:tc>
          <w:tcPr>
            <w:tcW w:type="dxa" w:w="1930"/>
          </w:tcPr>
          <w:p>
            <w:pPr>
              <w:spacing w:after="40"/>
            </w:pPr>
            <w:r>
              <w:rPr>
                <w:sz w:val="16"/>
              </w:rPr>
              <w:t>christmas_2015</w:t>
            </w:r>
          </w:p>
        </w:tc>
        <w:tc>
          <w:tcPr>
            <w:tcW w:type="dxa" w:w="1930"/>
          </w:tcPr>
          <w:p>
            <w:pPr>
              <w:spacing w:after="40"/>
            </w:pPr>
            <w:r>
              <w:rPr>
                <w:sz w:val="16"/>
              </w:rPr>
              <w:t>2.1547</w:t>
            </w:r>
          </w:p>
        </w:tc>
        <w:tc>
          <w:tcPr>
            <w:tcW w:type="dxa" w:w="1930"/>
          </w:tcPr>
          <w:p>
            <w:pPr>
              <w:spacing w:after="40"/>
            </w:pPr>
            <w:r>
              <w:rPr>
                <w:sz w:val="16"/>
              </w:rPr>
              <w:t>0.9446</w:t>
            </w:r>
          </w:p>
        </w:tc>
        <w:tc>
          <w:tcPr>
            <w:tcW w:type="dxa" w:w="1930"/>
          </w:tcPr>
          <w:p>
            <w:pPr>
              <w:spacing w:after="40"/>
            </w:pPr>
            <w:r>
              <w:rPr>
                <w:sz w:val="16"/>
              </w:rPr>
              <w:t>-0.0227</w:t>
            </w:r>
          </w:p>
        </w:tc>
        <w:tc>
          <w:tcPr>
            <w:tcW w:type="dxa" w:w="1930"/>
          </w:tcPr>
          <w:p>
            <w:pPr>
              <w:spacing w:after="40"/>
            </w:pPr>
            <w:r>
              <w:rPr>
                <w:sz w:val="16"/>
              </w:rPr>
              <w:t>0.0227</w:t>
            </w:r>
          </w:p>
        </w:tc>
      </w:tr>
      <w:tr>
        <w:tc>
          <w:tcPr>
            <w:tcW w:type="dxa" w:w="1930"/>
          </w:tcPr>
          <w:p>
            <w:pPr>
              <w:spacing w:after="40"/>
            </w:pPr>
            <w:r>
              <w:rPr>
                <w:sz w:val="16"/>
              </w:rPr>
              <w:t>summer_2015</w:t>
            </w:r>
          </w:p>
        </w:tc>
        <w:tc>
          <w:tcPr>
            <w:tcW w:type="dxa" w:w="1930"/>
          </w:tcPr>
          <w:p>
            <w:pPr>
              <w:spacing w:after="40"/>
            </w:pPr>
            <w:r>
              <w:rPr>
                <w:sz w:val="16"/>
              </w:rPr>
              <w:t>2.1074</w:t>
            </w:r>
          </w:p>
        </w:tc>
        <w:tc>
          <w:tcPr>
            <w:tcW w:type="dxa" w:w="1930"/>
          </w:tcPr>
          <w:p>
            <w:pPr>
              <w:spacing w:after="40"/>
            </w:pPr>
            <w:r>
              <w:rPr>
                <w:sz w:val="16"/>
              </w:rPr>
              <w:t>0.9909</w:t>
            </w:r>
          </w:p>
        </w:tc>
        <w:tc>
          <w:tcPr>
            <w:tcW w:type="dxa" w:w="1930"/>
          </w:tcPr>
          <w:p>
            <w:pPr>
              <w:spacing w:after="40"/>
            </w:pPr>
            <w:r>
              <w:rPr>
                <w:sz w:val="16"/>
              </w:rPr>
              <w:t>-0.0187</w:t>
            </w:r>
          </w:p>
        </w:tc>
        <w:tc>
          <w:tcPr>
            <w:tcW w:type="dxa" w:w="1930"/>
          </w:tcPr>
          <w:p>
            <w:pPr>
              <w:spacing w:after="40"/>
            </w:pPr>
            <w:r>
              <w:rPr>
                <w:sz w:val="16"/>
              </w:rPr>
              <w:t>0.0224</w:t>
            </w:r>
          </w:p>
        </w:tc>
      </w:tr>
      <w:tr>
        <w:tc>
          <w:tcPr>
            <w:tcW w:type="dxa" w:w="1930"/>
          </w:tcPr>
          <w:p>
            <w:pPr>
              <w:spacing w:after="40"/>
            </w:pPr>
            <w:r>
              <w:rPr>
                <w:sz w:val="16"/>
              </w:rPr>
              <w:t>autumn_2015</w:t>
            </w:r>
          </w:p>
        </w:tc>
        <w:tc>
          <w:tcPr>
            <w:tcW w:type="dxa" w:w="1930"/>
          </w:tcPr>
          <w:p>
            <w:pPr>
              <w:spacing w:after="40"/>
            </w:pPr>
            <w:r>
              <w:rPr>
                <w:sz w:val="16"/>
              </w:rPr>
              <w:t>2.1496</w:t>
            </w:r>
          </w:p>
        </w:tc>
        <w:tc>
          <w:tcPr>
            <w:tcW w:type="dxa" w:w="1930"/>
          </w:tcPr>
          <w:p>
            <w:pPr>
              <w:spacing w:after="40"/>
            </w:pPr>
            <w:r>
              <w:rPr>
                <w:sz w:val="16"/>
              </w:rPr>
              <w:t>1.0126</w:t>
            </w:r>
          </w:p>
        </w:tc>
        <w:tc>
          <w:tcPr>
            <w:tcW w:type="dxa" w:w="1930"/>
          </w:tcPr>
          <w:p>
            <w:pPr>
              <w:spacing w:after="40"/>
            </w:pPr>
            <w:r>
              <w:rPr>
                <w:sz w:val="16"/>
              </w:rPr>
              <w:t>-0.0274</w:t>
            </w:r>
          </w:p>
        </w:tc>
        <w:tc>
          <w:tcPr>
            <w:tcW w:type="dxa" w:w="1930"/>
          </w:tcPr>
          <w:p>
            <w:pPr>
              <w:spacing w:after="40"/>
            </w:pPr>
            <w:r>
              <w:rPr>
                <w:sz w:val="16"/>
              </w:rPr>
              <w:t>0.0189</w:t>
            </w:r>
          </w:p>
        </w:tc>
      </w:tr>
      <w:tr>
        <w:tc>
          <w:tcPr>
            <w:tcW w:type="dxa" w:w="1930"/>
          </w:tcPr>
          <w:p>
            <w:pPr>
              <w:spacing w:after="40"/>
            </w:pPr>
            <w:r>
              <w:rPr>
                <w:b/>
                <w:sz w:val="16"/>
              </w:rPr>
              <w:t>Mean</w:t>
            </w:r>
          </w:p>
        </w:tc>
        <w:tc>
          <w:tcPr>
            <w:tcW w:type="dxa" w:w="1930"/>
          </w:tcPr>
          <w:p>
            <w:pPr>
              <w:spacing w:after="40"/>
            </w:pPr>
          </w:p>
        </w:tc>
        <w:tc>
          <w:tcPr>
            <w:tcW w:type="dxa" w:w="1930"/>
          </w:tcPr>
          <w:p>
            <w:pPr>
              <w:spacing w:after="40"/>
            </w:pPr>
          </w:p>
        </w:tc>
        <w:tc>
          <w:tcPr>
            <w:tcW w:type="dxa" w:w="1930"/>
          </w:tcPr>
          <w:p>
            <w:pPr>
              <w:spacing w:after="40"/>
            </w:pPr>
            <w:r>
              <w:rPr>
                <w:b/>
                <w:sz w:val="16"/>
              </w:rPr>
              <w:t>-0.0242</w:t>
            </w:r>
          </w:p>
        </w:tc>
        <w:tc>
          <w:tcPr>
            <w:tcW w:type="dxa" w:w="1930"/>
          </w:tcPr>
          <w:p>
            <w:pPr>
              <w:spacing w:after="40"/>
            </w:pPr>
            <w:r>
              <w:rPr>
                <w:b/>
                <w:sz w:val="16"/>
              </w:rPr>
              <w:t>+0.0186</w:t>
            </w:r>
          </w:p>
        </w:tc>
      </w:tr>
    </w:tbl>
    <w:p/>
    <w:p>
      <w:pPr>
        <w:jc w:val="center"/>
      </w:pPr>
      <w:r>
        <w:drawing>
          <wp:inline xmlns:a="http://schemas.openxmlformats.org/drawingml/2006/main" xmlns:pic="http://schemas.openxmlformats.org/drawingml/2006/picture">
            <wp:extent cx="5852160" cy="3210798"/>
            <wp:docPr id="3" name="Picture 3"/>
            <wp:cNvGraphicFramePr>
              <a:graphicFrameLocks noChangeAspect="1"/>
            </wp:cNvGraphicFramePr>
            <a:graphic>
              <a:graphicData uri="http://schemas.openxmlformats.org/drawingml/2006/picture">
                <pic:pic>
                  <pic:nvPicPr>
                    <pic:cNvPr id="0" name="fig7_cross_window.png"/>
                    <pic:cNvPicPr/>
                  </pic:nvPicPr>
                  <pic:blipFill>
                    <a:blip r:embed="rId11"/>
                    <a:stretch>
                      <a:fillRect/>
                    </a:stretch>
                  </pic:blipFill>
                  <pic:spPr>
                    <a:xfrm>
                      <a:off x="0" y="0"/>
                      <a:ext cx="5852160" cy="3210798"/>
                    </a:xfrm>
                    <a:prstGeom prst="rect"/>
                  </pic:spPr>
                </pic:pic>
              </a:graphicData>
            </a:graphic>
          </wp:inline>
        </w:drawing>
      </w:r>
    </w:p>
    <w:p>
      <w:r>
        <w:t>The ensemble wins on all four windows. The MAE cost is real and consistent.</w:t>
      </w:r>
    </w:p>
    <w:p>
      <w:pPr>
        <w:pStyle w:val="Heading2"/>
      </w:pPr>
      <w:r>
        <w:rPr>
          <w:color w:val="1A3D6D"/>
          <w:sz w:val="22"/>
        </w:rPr>
        <w:t>11.3 Demand-occurrence metrics, and why they are secondary</w:t>
      </w:r>
    </w:p>
    <w:p>
      <w:r>
        <w:t>Rule, applied identically to every model:</w:t>
      </w:r>
    </w:p>
    <w:p>
      <w:pPr>
        <w:ind w:left="360"/>
      </w:pPr>
      <w:r>
        <w:rPr>
          <w:rFonts w:ascii="Consolas" w:hAnsi="Consolas"/>
          <w:sz w:val="17"/>
        </w:rPr>
        <w:t>actual event    : y_true  &gt; 0</w:t>
        <w:br/>
        <w:t>predicted event : y_pred &gt;= 0.5     # rounds to at least one unit</w:t>
      </w:r>
    </w:p>
    <w:p>
      <w:r>
        <w:t>Base rate: 45.56% of the 853,720 validation rows have non-zero demand.</w:t>
      </w:r>
    </w:p>
    <w:p>
      <w:r>
        <w:rPr>
          <w:b/>
        </w:rPr>
        <w:t>A single 'accuracy %' is not a valid headline for this task</w:t>
      </w:r>
      <w:r>
        <w:t>, for four reasons the audit considers decisive:</w:t>
      </w:r>
    </w:p>
    <w:p>
      <w:pPr>
        <w:pStyle w:val="ListNumber"/>
      </w:pPr>
      <w:r>
        <w:t>The target is a count, not a class; any threshold is a choice the task does not supply.</w:t>
      </w:r>
    </w:p>
    <w:p>
      <w:pPr>
        <w:pStyle w:val="ListNumber"/>
      </w:pPr>
      <w:r>
        <w:t xml:space="preserve">Predicting 'no demand' everywhere scores </w:t>
      </w:r>
      <w:r>
        <w:rPr>
          <w:b/>
        </w:rPr>
        <w:t>54.44%</w:t>
      </w:r>
      <w:r>
        <w:t>. The shipped model's 69.8% must be read against that floor, not against zero.</w:t>
      </w:r>
    </w:p>
    <w:p>
      <w:pPr>
        <w:pStyle w:val="ListNumber"/>
      </w:pPr>
      <w:r>
        <w:t>It discards magnitude entirely — forecasting 1 when 40 sold counts as a correct positive.</w:t>
      </w:r>
    </w:p>
    <w:p>
      <w:pPr>
        <w:pStyle w:val="ListNumber"/>
      </w:pPr>
      <w:r>
        <w:t>It is threshold-gameable: lowering the cut raises recall and accuracy without improving any forecast.</w:t>
      </w:r>
    </w:p>
    <w:p>
      <w:r>
        <w:t>They are reported because they describe one real behaviour: the recursive member has markedly higher recall and lower precision than the direct member, which is a symptom of the architectural difference the ensemble exploits.</w:t>
      </w:r>
    </w:p>
    <w:p>
      <w:pPr>
        <w:pStyle w:val="Heading1"/>
      </w:pPr>
      <w:r>
        <w:rPr>
          <w:color w:val="1A3D6D"/>
          <w:sz w:val="26"/>
        </w:rPr>
        <w:t>12. Model Comparison</w:t>
      </w:r>
    </w:p>
    <w:p>
      <w:r>
        <w:t xml:space="preserve">All rows scored on the same 853,720 predictions. Metrics are recomputed from each model's own prediction file; </w:t>
      </w:r>
      <w:r>
        <w:rPr>
          <w:rFonts w:ascii="Consolas" w:hAnsi="Consolas"/>
          <w:sz w:val="17"/>
        </w:rPr>
        <w:t>N/A</w:t>
      </w:r>
      <w:r>
        <w:t xml:space="preserve"> means the artifact required does not exist, never that a value was estimated.</w:t>
      </w:r>
    </w:p>
    <w:tbl>
      <w:tblPr>
        <w:tblStyle w:val="LightGrid-Accent1"/>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pPr>
              <w:spacing w:after="40"/>
            </w:pPr>
            <w:r>
              <w:rPr>
                <w:b/>
                <w:sz w:val="16"/>
              </w:rPr>
              <w:t>Model</w:t>
            </w:r>
          </w:p>
        </w:tc>
        <w:tc>
          <w:tcPr>
            <w:tcW w:type="dxa" w:w="965"/>
          </w:tcPr>
          <w:p>
            <w:pPr>
              <w:spacing w:after="40"/>
            </w:pPr>
            <w:r>
              <w:rPr>
                <w:b/>
                <w:sz w:val="16"/>
              </w:rPr>
              <w:t>Objective</w:t>
            </w:r>
          </w:p>
        </w:tc>
        <w:tc>
          <w:tcPr>
            <w:tcW w:type="dxa" w:w="965"/>
          </w:tcPr>
          <w:p>
            <w:pPr>
              <w:spacing w:after="40"/>
            </w:pPr>
            <w:r>
              <w:rPr>
                <w:b/>
                <w:sz w:val="16"/>
              </w:rPr>
              <w:t>RMSE</w:t>
            </w:r>
          </w:p>
        </w:tc>
        <w:tc>
          <w:tcPr>
            <w:tcW w:type="dxa" w:w="965"/>
          </w:tcPr>
          <w:p>
            <w:pPr>
              <w:spacing w:after="40"/>
            </w:pPr>
            <w:r>
              <w:rPr>
                <w:b/>
                <w:sz w:val="16"/>
              </w:rPr>
              <w:t>MAE</w:t>
            </w:r>
          </w:p>
        </w:tc>
        <w:tc>
          <w:tcPr>
            <w:tcW w:type="dxa" w:w="965"/>
          </w:tcPr>
          <w:p>
            <w:pPr>
              <w:spacing w:after="40"/>
            </w:pPr>
            <w:r>
              <w:rPr>
                <w:b/>
                <w:sz w:val="16"/>
              </w:rPr>
              <w:t>WAPE</w:t>
            </w:r>
          </w:p>
        </w:tc>
        <w:tc>
          <w:tcPr>
            <w:tcW w:type="dxa" w:w="965"/>
          </w:tcPr>
          <w:p>
            <w:pPr>
              <w:spacing w:after="40"/>
            </w:pPr>
            <w:r>
              <w:rPr>
                <w:b/>
                <w:sz w:val="16"/>
              </w:rPr>
              <w:t>Bias</w:t>
            </w:r>
          </w:p>
        </w:tc>
        <w:tc>
          <w:tcPr>
            <w:tcW w:type="dxa" w:w="965"/>
          </w:tcPr>
          <w:p>
            <w:pPr>
              <w:spacing w:after="40"/>
            </w:pPr>
            <w:r>
              <w:rPr>
                <w:b/>
                <w:sz w:val="16"/>
              </w:rPr>
              <w:t>Demand Accuracy</w:t>
            </w:r>
          </w:p>
        </w:tc>
        <w:tc>
          <w:tcPr>
            <w:tcW w:type="dxa" w:w="965"/>
          </w:tcPr>
          <w:p>
            <w:pPr>
              <w:spacing w:after="40"/>
            </w:pPr>
            <w:r>
              <w:rPr>
                <w:b/>
                <w:sz w:val="16"/>
              </w:rPr>
              <w:t>Precision</w:t>
            </w:r>
          </w:p>
        </w:tc>
        <w:tc>
          <w:tcPr>
            <w:tcW w:type="dxa" w:w="965"/>
          </w:tcPr>
          <w:p>
            <w:pPr>
              <w:spacing w:after="40"/>
            </w:pPr>
            <w:r>
              <w:rPr>
                <w:b/>
                <w:sz w:val="16"/>
              </w:rPr>
              <w:t>Recall</w:t>
            </w:r>
          </w:p>
        </w:tc>
        <w:tc>
          <w:tcPr>
            <w:tcW w:type="dxa" w:w="965"/>
          </w:tcPr>
          <w:p>
            <w:pPr>
              <w:spacing w:after="40"/>
            </w:pPr>
            <w:r>
              <w:rPr>
                <w:b/>
                <w:sz w:val="16"/>
              </w:rPr>
              <w:t>F1</w:t>
            </w:r>
          </w:p>
        </w:tc>
      </w:tr>
      <w:tr>
        <w:tc>
          <w:tcPr>
            <w:tcW w:type="dxa" w:w="965"/>
          </w:tcPr>
          <w:p>
            <w:pPr>
              <w:spacing w:after="40"/>
            </w:pPr>
            <w:r>
              <w:rPr>
                <w:sz w:val="16"/>
              </w:rPr>
              <w:t>Naive — last value</w:t>
            </w:r>
          </w:p>
        </w:tc>
        <w:tc>
          <w:tcPr>
            <w:tcW w:type="dxa" w:w="965"/>
          </w:tcPr>
          <w:p>
            <w:pPr>
              <w:spacing w:after="40"/>
            </w:pPr>
            <w:r>
              <w:rPr>
                <w:sz w:val="16"/>
              </w:rPr>
              <w:t>none (arithmetic)</w:t>
            </w:r>
          </w:p>
        </w:tc>
        <w:tc>
          <w:tcPr>
            <w:tcW w:type="dxa" w:w="965"/>
          </w:tcPr>
          <w:p>
            <w:pPr>
              <w:spacing w:after="40"/>
            </w:pPr>
            <w:r>
              <w:rPr>
                <w:sz w:val="16"/>
              </w:rPr>
              <w:t>2.8936</w:t>
            </w:r>
          </w:p>
        </w:tc>
        <w:tc>
          <w:tcPr>
            <w:tcW w:type="dxa" w:w="965"/>
          </w:tcPr>
          <w:p>
            <w:pPr>
              <w:spacing w:after="40"/>
            </w:pPr>
            <w:r>
              <w:rPr>
                <w:sz w:val="16"/>
              </w:rPr>
              <w:t>1.373</w:t>
            </w:r>
          </w:p>
        </w:tc>
        <w:tc>
          <w:tcPr>
            <w:tcW w:type="dxa" w:w="965"/>
          </w:tcPr>
          <w:p>
            <w:pPr>
              <w:spacing w:after="40"/>
            </w:pPr>
            <w:r>
              <w:rPr>
                <w:sz w:val="16"/>
              </w:rPr>
              <w:t>0.9516</w:t>
            </w:r>
          </w:p>
        </w:tc>
        <w:tc>
          <w:tcPr>
            <w:tcW w:type="dxa" w:w="965"/>
          </w:tcPr>
          <w:p>
            <w:pPr>
              <w:spacing w:after="40"/>
            </w:pPr>
            <w:r>
              <w:rPr>
                <w:sz w:val="16"/>
              </w:rPr>
              <w:t>0.1903</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r>
      <w:tr>
        <w:tc>
          <w:tcPr>
            <w:tcW w:type="dxa" w:w="965"/>
          </w:tcPr>
          <w:p>
            <w:pPr>
              <w:spacing w:after="40"/>
            </w:pPr>
            <w:r>
              <w:rPr>
                <w:sz w:val="16"/>
              </w:rPr>
              <w:t>Naive — rolling mean 7</w:t>
            </w:r>
          </w:p>
        </w:tc>
        <w:tc>
          <w:tcPr>
            <w:tcW w:type="dxa" w:w="965"/>
          </w:tcPr>
          <w:p>
            <w:pPr>
              <w:spacing w:after="40"/>
            </w:pPr>
            <w:r>
              <w:rPr>
                <w:sz w:val="16"/>
              </w:rPr>
              <w:t>none (arithmetic)</w:t>
            </w:r>
          </w:p>
        </w:tc>
        <w:tc>
          <w:tcPr>
            <w:tcW w:type="dxa" w:w="965"/>
          </w:tcPr>
          <w:p>
            <w:pPr>
              <w:spacing w:after="40"/>
            </w:pPr>
            <w:r>
              <w:rPr>
                <w:sz w:val="16"/>
              </w:rPr>
              <w:t>2.2487</w:t>
            </w:r>
          </w:p>
        </w:tc>
        <w:tc>
          <w:tcPr>
            <w:tcW w:type="dxa" w:w="965"/>
          </w:tcPr>
          <w:p>
            <w:pPr>
              <w:spacing w:after="40"/>
            </w:pPr>
            <w:r>
              <w:rPr>
                <w:sz w:val="16"/>
              </w:rPr>
              <w:t>1.0683</w:t>
            </w:r>
          </w:p>
        </w:tc>
        <w:tc>
          <w:tcPr>
            <w:tcW w:type="dxa" w:w="965"/>
          </w:tcPr>
          <w:p>
            <w:pPr>
              <w:spacing w:after="40"/>
            </w:pPr>
            <w:r>
              <w:rPr>
                <w:sz w:val="16"/>
              </w:rPr>
              <w:t>0.7404</w:t>
            </w:r>
          </w:p>
        </w:tc>
        <w:tc>
          <w:tcPr>
            <w:tcW w:type="dxa" w:w="965"/>
          </w:tcPr>
          <w:p>
            <w:pPr>
              <w:spacing w:after="40"/>
            </w:pPr>
            <w:r>
              <w:rPr>
                <w:sz w:val="16"/>
              </w:rPr>
              <w:t>-0.1062</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r>
      <w:tr>
        <w:tc>
          <w:tcPr>
            <w:tcW w:type="dxa" w:w="965"/>
          </w:tcPr>
          <w:p>
            <w:pPr>
              <w:spacing w:after="40"/>
            </w:pPr>
            <w:r>
              <w:rPr>
                <w:sz w:val="16"/>
              </w:rPr>
              <w:t>Naive — rolling mean 28</w:t>
            </w:r>
          </w:p>
        </w:tc>
        <w:tc>
          <w:tcPr>
            <w:tcW w:type="dxa" w:w="965"/>
          </w:tcPr>
          <w:p>
            <w:pPr>
              <w:spacing w:after="40"/>
            </w:pPr>
            <w:r>
              <w:rPr>
                <w:sz w:val="16"/>
              </w:rPr>
              <w:t>none (arithmetic)</w:t>
            </w:r>
          </w:p>
        </w:tc>
        <w:tc>
          <w:tcPr>
            <w:tcW w:type="dxa" w:w="965"/>
          </w:tcPr>
          <w:p>
            <w:pPr>
              <w:spacing w:after="40"/>
            </w:pPr>
            <w:r>
              <w:rPr>
                <w:sz w:val="16"/>
              </w:rPr>
              <w:t>2.243</w:t>
            </w:r>
          </w:p>
        </w:tc>
        <w:tc>
          <w:tcPr>
            <w:tcW w:type="dxa" w:w="965"/>
          </w:tcPr>
          <w:p>
            <w:pPr>
              <w:spacing w:after="40"/>
            </w:pPr>
            <w:r>
              <w:rPr>
                <w:sz w:val="16"/>
              </w:rPr>
              <w:t>1.0657</w:t>
            </w:r>
          </w:p>
        </w:tc>
        <w:tc>
          <w:tcPr>
            <w:tcW w:type="dxa" w:w="965"/>
          </w:tcPr>
          <w:p>
            <w:pPr>
              <w:spacing w:after="40"/>
            </w:pPr>
            <w:r>
              <w:rPr>
                <w:sz w:val="16"/>
              </w:rPr>
              <w:t>0.7386</w:t>
            </w:r>
          </w:p>
        </w:tc>
        <w:tc>
          <w:tcPr>
            <w:tcW w:type="dxa" w:w="965"/>
          </w:tcPr>
          <w:p>
            <w:pPr>
              <w:spacing w:after="40"/>
            </w:pPr>
            <w:r>
              <w:rPr>
                <w:sz w:val="16"/>
              </w:rPr>
              <w:t>-0.0564</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r>
      <w:tr>
        <w:tc>
          <w:tcPr>
            <w:tcW w:type="dxa" w:w="965"/>
          </w:tcPr>
          <w:p>
            <w:pPr>
              <w:spacing w:after="40"/>
            </w:pPr>
            <w:r>
              <w:rPr>
                <w:sz w:val="16"/>
              </w:rPr>
              <w:t>Naive — seasonal naive</w:t>
            </w:r>
          </w:p>
        </w:tc>
        <w:tc>
          <w:tcPr>
            <w:tcW w:type="dxa" w:w="965"/>
          </w:tcPr>
          <w:p>
            <w:pPr>
              <w:spacing w:after="40"/>
            </w:pPr>
            <w:r>
              <w:rPr>
                <w:sz w:val="16"/>
              </w:rPr>
              <w:t>none (arithmetic)</w:t>
            </w:r>
          </w:p>
        </w:tc>
        <w:tc>
          <w:tcPr>
            <w:tcW w:type="dxa" w:w="965"/>
          </w:tcPr>
          <w:p>
            <w:pPr>
              <w:spacing w:after="40"/>
            </w:pPr>
            <w:r>
              <w:rPr>
                <w:sz w:val="16"/>
              </w:rPr>
              <w:t>2.6769</w:t>
            </w:r>
          </w:p>
        </w:tc>
        <w:tc>
          <w:tcPr>
            <w:tcW w:type="dxa" w:w="965"/>
          </w:tcPr>
          <w:p>
            <w:pPr>
              <w:spacing w:after="40"/>
            </w:pPr>
            <w:r>
              <w:rPr>
                <w:sz w:val="16"/>
              </w:rPr>
              <w:t>1.244</w:t>
            </w:r>
          </w:p>
        </w:tc>
        <w:tc>
          <w:tcPr>
            <w:tcW w:type="dxa" w:w="965"/>
          </w:tcPr>
          <w:p>
            <w:pPr>
              <w:spacing w:after="40"/>
            </w:pPr>
            <w:r>
              <w:rPr>
                <w:sz w:val="16"/>
              </w:rPr>
              <w:t>0.8622</w:t>
            </w:r>
          </w:p>
        </w:tc>
        <w:tc>
          <w:tcPr>
            <w:tcW w:type="dxa" w:w="965"/>
          </w:tcPr>
          <w:p>
            <w:pPr>
              <w:spacing w:after="40"/>
            </w:pPr>
            <w:r>
              <w:rPr>
                <w:sz w:val="16"/>
              </w:rPr>
              <w:t>-0.1062</w:t>
            </w:r>
          </w:p>
        </w:tc>
        <w:tc>
          <w:tcPr>
            <w:tcW w:type="dxa" w:w="965"/>
          </w:tcPr>
          <w:p>
            <w:pPr>
              <w:spacing w:after="40"/>
            </w:pPr>
            <w:r>
              <w:rPr>
                <w:sz w:val="16"/>
              </w:rPr>
              <w:t>0.657</w:t>
            </w:r>
          </w:p>
        </w:tc>
        <w:tc>
          <w:tcPr>
            <w:tcW w:type="dxa" w:w="965"/>
          </w:tcPr>
          <w:p>
            <w:pPr>
              <w:spacing w:after="40"/>
            </w:pPr>
            <w:r>
              <w:rPr>
                <w:sz w:val="16"/>
              </w:rPr>
              <w:t>0.6289</w:t>
            </w:r>
          </w:p>
        </w:tc>
        <w:tc>
          <w:tcPr>
            <w:tcW w:type="dxa" w:w="965"/>
          </w:tcPr>
          <w:p>
            <w:pPr>
              <w:spacing w:after="40"/>
            </w:pPr>
            <w:r>
              <w:rPr>
                <w:sz w:val="16"/>
              </w:rPr>
              <w:t>0.6027</w:t>
            </w:r>
          </w:p>
        </w:tc>
        <w:tc>
          <w:tcPr>
            <w:tcW w:type="dxa" w:w="965"/>
          </w:tcPr>
          <w:p>
            <w:pPr>
              <w:spacing w:after="40"/>
            </w:pPr>
            <w:r>
              <w:rPr>
                <w:sz w:val="16"/>
              </w:rPr>
              <w:t>0.6156</w:t>
            </w:r>
          </w:p>
        </w:tc>
      </w:tr>
      <w:tr>
        <w:tc>
          <w:tcPr>
            <w:tcW w:type="dxa" w:w="965"/>
          </w:tcPr>
          <w:p>
            <w:pPr>
              <w:spacing w:after="40"/>
            </w:pPr>
            <w:r>
              <w:rPr>
                <w:sz w:val="16"/>
              </w:rPr>
              <w:t>LightGBM, L2 objective</w:t>
            </w:r>
          </w:p>
        </w:tc>
        <w:tc>
          <w:tcPr>
            <w:tcW w:type="dxa" w:w="965"/>
          </w:tcPr>
          <w:p>
            <w:pPr>
              <w:spacing w:after="40"/>
            </w:pPr>
            <w:r>
              <w:rPr>
                <w:sz w:val="16"/>
              </w:rPr>
              <w:t>L2 (squared error)</w:t>
            </w:r>
          </w:p>
        </w:tc>
        <w:tc>
          <w:tcPr>
            <w:tcW w:type="dxa" w:w="965"/>
          </w:tcPr>
          <w:p>
            <w:pPr>
              <w:spacing w:after="40"/>
            </w:pPr>
            <w:r>
              <w:rPr>
                <w:sz w:val="16"/>
              </w:rPr>
              <w:t>2.1467</w:t>
            </w:r>
          </w:p>
        </w:tc>
        <w:tc>
          <w:tcPr>
            <w:tcW w:type="dxa" w:w="965"/>
          </w:tcPr>
          <w:p>
            <w:pPr>
              <w:spacing w:after="40"/>
            </w:pPr>
            <w:r>
              <w:rPr>
                <w:sz w:val="16"/>
              </w:rPr>
              <w:t>1.0411</w:t>
            </w:r>
          </w:p>
        </w:tc>
        <w:tc>
          <w:tcPr>
            <w:tcW w:type="dxa" w:w="965"/>
          </w:tcPr>
          <w:p>
            <w:pPr>
              <w:spacing w:after="40"/>
            </w:pPr>
            <w:r>
              <w:rPr>
                <w:sz w:val="16"/>
              </w:rPr>
              <w:t>0.7216</w:t>
            </w:r>
          </w:p>
        </w:tc>
        <w:tc>
          <w:tcPr>
            <w:tcW w:type="dxa" w:w="965"/>
          </w:tcPr>
          <w:p>
            <w:pPr>
              <w:spacing w:after="40"/>
            </w:pPr>
            <w:r>
              <w:rPr>
                <w:sz w:val="16"/>
              </w:rPr>
              <w:t>-0.059</w:t>
            </w:r>
          </w:p>
        </w:tc>
        <w:tc>
          <w:tcPr>
            <w:tcW w:type="dxa" w:w="965"/>
          </w:tcPr>
          <w:p>
            <w:pPr>
              <w:spacing w:after="40"/>
            </w:pPr>
            <w:r>
              <w:rPr>
                <w:sz w:val="16"/>
              </w:rPr>
              <w:t>0.6996</w:t>
            </w:r>
          </w:p>
        </w:tc>
        <w:tc>
          <w:tcPr>
            <w:tcW w:type="dxa" w:w="965"/>
          </w:tcPr>
          <w:p>
            <w:pPr>
              <w:spacing w:after="40"/>
            </w:pPr>
            <w:r>
              <w:rPr>
                <w:sz w:val="16"/>
              </w:rPr>
              <w:t>0.636</w:t>
            </w:r>
          </w:p>
        </w:tc>
        <w:tc>
          <w:tcPr>
            <w:tcW w:type="dxa" w:w="965"/>
          </w:tcPr>
          <w:p>
            <w:pPr>
              <w:spacing w:after="40"/>
            </w:pPr>
            <w:r>
              <w:rPr>
                <w:sz w:val="16"/>
              </w:rPr>
              <w:t>0.7967</w:t>
            </w:r>
          </w:p>
        </w:tc>
        <w:tc>
          <w:tcPr>
            <w:tcW w:type="dxa" w:w="965"/>
          </w:tcPr>
          <w:p>
            <w:pPr>
              <w:spacing w:after="40"/>
            </w:pPr>
            <w:r>
              <w:rPr>
                <w:sz w:val="16"/>
              </w:rPr>
              <w:t>0.7073</w:t>
            </w:r>
          </w:p>
        </w:tc>
      </w:tr>
      <w:tr>
        <w:tc>
          <w:tcPr>
            <w:tcW w:type="dxa" w:w="965"/>
          </w:tcPr>
          <w:p>
            <w:pPr>
              <w:spacing w:after="40"/>
            </w:pPr>
            <w:r>
              <w:rPr>
                <w:sz w:val="16"/>
              </w:rPr>
              <w:t>LightGBM, Tweedie</w:t>
            </w:r>
          </w:p>
        </w:tc>
        <w:tc>
          <w:tcPr>
            <w:tcW w:type="dxa" w:w="965"/>
          </w:tcPr>
          <w:p>
            <w:pPr>
              <w:spacing w:after="40"/>
            </w:pPr>
            <w:r>
              <w:rPr>
                <w:sz w:val="16"/>
              </w:rPr>
              <w:t>Tweedie p=1.1</w:t>
            </w:r>
          </w:p>
        </w:tc>
        <w:tc>
          <w:tcPr>
            <w:tcW w:type="dxa" w:w="965"/>
          </w:tcPr>
          <w:p>
            <w:pPr>
              <w:spacing w:after="40"/>
            </w:pPr>
            <w:r>
              <w:rPr>
                <w:sz w:val="16"/>
              </w:rPr>
              <w:t>2.1256</w:t>
            </w:r>
          </w:p>
        </w:tc>
        <w:tc>
          <w:tcPr>
            <w:tcW w:type="dxa" w:w="965"/>
          </w:tcPr>
          <w:p>
            <w:pPr>
              <w:spacing w:after="40"/>
            </w:pPr>
            <w:r>
              <w:rPr>
                <w:sz w:val="16"/>
              </w:rPr>
              <w:t>1.0315</w:t>
            </w:r>
          </w:p>
        </w:tc>
        <w:tc>
          <w:tcPr>
            <w:tcW w:type="dxa" w:w="965"/>
          </w:tcPr>
          <w:p>
            <w:pPr>
              <w:spacing w:after="40"/>
            </w:pPr>
            <w:r>
              <w:rPr>
                <w:sz w:val="16"/>
              </w:rPr>
              <w:t>0.7149</w:t>
            </w:r>
          </w:p>
        </w:tc>
        <w:tc>
          <w:tcPr>
            <w:tcW w:type="dxa" w:w="965"/>
          </w:tcPr>
          <w:p>
            <w:pPr>
              <w:spacing w:after="40"/>
            </w:pPr>
            <w:r>
              <w:rPr>
                <w:sz w:val="16"/>
              </w:rPr>
              <w:t>-0.0795</w:t>
            </w:r>
          </w:p>
        </w:tc>
        <w:tc>
          <w:tcPr>
            <w:tcW w:type="dxa" w:w="965"/>
          </w:tcPr>
          <w:p>
            <w:pPr>
              <w:spacing w:after="40"/>
            </w:pPr>
            <w:r>
              <w:rPr>
                <w:sz w:val="16"/>
              </w:rPr>
              <w:t>0.7039</w:t>
            </w:r>
          </w:p>
        </w:tc>
        <w:tc>
          <w:tcPr>
            <w:tcW w:type="dxa" w:w="965"/>
          </w:tcPr>
          <w:p>
            <w:pPr>
              <w:spacing w:after="40"/>
            </w:pPr>
            <w:r>
              <w:rPr>
                <w:sz w:val="16"/>
              </w:rPr>
              <w:t>0.6421</w:t>
            </w:r>
          </w:p>
        </w:tc>
        <w:tc>
          <w:tcPr>
            <w:tcW w:type="dxa" w:w="965"/>
          </w:tcPr>
          <w:p>
            <w:pPr>
              <w:spacing w:after="40"/>
            </w:pPr>
            <w:r>
              <w:rPr>
                <w:sz w:val="16"/>
              </w:rPr>
              <w:t>0.7913</w:t>
            </w:r>
          </w:p>
        </w:tc>
        <w:tc>
          <w:tcPr>
            <w:tcW w:type="dxa" w:w="965"/>
          </w:tcPr>
          <w:p>
            <w:pPr>
              <w:spacing w:after="40"/>
            </w:pPr>
            <w:r>
              <w:rPr>
                <w:sz w:val="16"/>
              </w:rPr>
              <w:t>0.7089</w:t>
            </w:r>
          </w:p>
        </w:tc>
      </w:tr>
      <w:tr>
        <w:tc>
          <w:tcPr>
            <w:tcW w:type="dxa" w:w="965"/>
          </w:tcPr>
          <w:p>
            <w:pPr>
              <w:spacing w:after="40"/>
            </w:pPr>
            <w:r>
              <w:rPr>
                <w:sz w:val="16"/>
              </w:rPr>
              <w:t>LightGBM, Tweedie + recency</w:t>
            </w:r>
          </w:p>
        </w:tc>
        <w:tc>
          <w:tcPr>
            <w:tcW w:type="dxa" w:w="965"/>
          </w:tcPr>
          <w:p>
            <w:pPr>
              <w:spacing w:after="40"/>
            </w:pPr>
            <w:r>
              <w:rPr>
                <w:sz w:val="16"/>
              </w:rPr>
              <w:t>Tweedie p=1.1</w:t>
            </w:r>
          </w:p>
        </w:tc>
        <w:tc>
          <w:tcPr>
            <w:tcW w:type="dxa" w:w="965"/>
          </w:tcPr>
          <w:p>
            <w:pPr>
              <w:spacing w:after="40"/>
            </w:pPr>
            <w:r>
              <w:rPr>
                <w:sz w:val="16"/>
              </w:rPr>
              <w:t>2.1258</w:t>
            </w:r>
          </w:p>
        </w:tc>
        <w:tc>
          <w:tcPr>
            <w:tcW w:type="dxa" w:w="965"/>
          </w:tcPr>
          <w:p>
            <w:pPr>
              <w:spacing w:after="40"/>
            </w:pPr>
            <w:r>
              <w:rPr>
                <w:sz w:val="16"/>
              </w:rPr>
              <w:t>1.032</w:t>
            </w:r>
          </w:p>
        </w:tc>
        <w:tc>
          <w:tcPr>
            <w:tcW w:type="dxa" w:w="965"/>
          </w:tcPr>
          <w:p>
            <w:pPr>
              <w:spacing w:after="40"/>
            </w:pPr>
            <w:r>
              <w:rPr>
                <w:sz w:val="16"/>
              </w:rPr>
              <w:t>0.7153</w:t>
            </w:r>
          </w:p>
        </w:tc>
        <w:tc>
          <w:tcPr>
            <w:tcW w:type="dxa" w:w="965"/>
          </w:tcPr>
          <w:p>
            <w:pPr>
              <w:spacing w:after="40"/>
            </w:pPr>
            <w:r>
              <w:rPr>
                <w:sz w:val="16"/>
              </w:rPr>
              <w:t>-0.0763</w:t>
            </w:r>
          </w:p>
        </w:tc>
        <w:tc>
          <w:tcPr>
            <w:tcW w:type="dxa" w:w="965"/>
          </w:tcPr>
          <w:p>
            <w:pPr>
              <w:spacing w:after="40"/>
            </w:pPr>
            <w:r>
              <w:rPr>
                <w:sz w:val="16"/>
              </w:rPr>
              <w:t>0.7038</w:t>
            </w:r>
          </w:p>
        </w:tc>
        <w:tc>
          <w:tcPr>
            <w:tcW w:type="dxa" w:w="965"/>
          </w:tcPr>
          <w:p>
            <w:pPr>
              <w:spacing w:after="40"/>
            </w:pPr>
            <w:r>
              <w:rPr>
                <w:sz w:val="16"/>
              </w:rPr>
              <w:t>0.6415</w:t>
            </w:r>
          </w:p>
        </w:tc>
        <w:tc>
          <w:tcPr>
            <w:tcW w:type="dxa" w:w="965"/>
          </w:tcPr>
          <w:p>
            <w:pPr>
              <w:spacing w:after="40"/>
            </w:pPr>
            <w:r>
              <w:rPr>
                <w:sz w:val="16"/>
              </w:rPr>
              <w:t>0.793</w:t>
            </w:r>
          </w:p>
        </w:tc>
        <w:tc>
          <w:tcPr>
            <w:tcW w:type="dxa" w:w="965"/>
          </w:tcPr>
          <w:p>
            <w:pPr>
              <w:spacing w:after="40"/>
            </w:pPr>
            <w:r>
              <w:rPr>
                <w:sz w:val="16"/>
              </w:rPr>
              <w:t>0.7093</w:t>
            </w:r>
          </w:p>
        </w:tc>
      </w:tr>
      <w:tr>
        <w:tc>
          <w:tcPr>
            <w:tcW w:type="dxa" w:w="965"/>
          </w:tcPr>
          <w:p>
            <w:pPr>
              <w:spacing w:after="40"/>
            </w:pPr>
            <w:r>
              <w:rPr>
                <w:sz w:val="16"/>
              </w:rPr>
              <w:t>LightGBM, Tweedie 32f (champion v1)</w:t>
            </w:r>
          </w:p>
        </w:tc>
        <w:tc>
          <w:tcPr>
            <w:tcW w:type="dxa" w:w="965"/>
          </w:tcPr>
          <w:p>
            <w:pPr>
              <w:spacing w:after="40"/>
            </w:pPr>
            <w:r>
              <w:rPr>
                <w:sz w:val="16"/>
              </w:rPr>
              <w:t>Tweedie p=1.1</w:t>
            </w:r>
          </w:p>
        </w:tc>
        <w:tc>
          <w:tcPr>
            <w:tcW w:type="dxa" w:w="965"/>
          </w:tcPr>
          <w:p>
            <w:pPr>
              <w:spacing w:after="40"/>
            </w:pPr>
            <w:r>
              <w:rPr>
                <w:sz w:val="16"/>
              </w:rPr>
              <w:t>2.121</w:t>
            </w:r>
          </w:p>
        </w:tc>
        <w:tc>
          <w:tcPr>
            <w:tcW w:type="dxa" w:w="965"/>
          </w:tcPr>
          <w:p>
            <w:pPr>
              <w:spacing w:after="40"/>
            </w:pPr>
            <w:r>
              <w:rPr>
                <w:sz w:val="16"/>
              </w:rPr>
              <w:t>1.0319</w:t>
            </w:r>
          </w:p>
        </w:tc>
        <w:tc>
          <w:tcPr>
            <w:tcW w:type="dxa" w:w="965"/>
          </w:tcPr>
          <w:p>
            <w:pPr>
              <w:spacing w:after="40"/>
            </w:pPr>
            <w:r>
              <w:rPr>
                <w:sz w:val="16"/>
              </w:rPr>
              <w:t>0.7152</w:t>
            </w:r>
          </w:p>
        </w:tc>
        <w:tc>
          <w:tcPr>
            <w:tcW w:type="dxa" w:w="965"/>
          </w:tcPr>
          <w:p>
            <w:pPr>
              <w:spacing w:after="40"/>
            </w:pPr>
            <w:r>
              <w:rPr>
                <w:sz w:val="16"/>
              </w:rPr>
              <w:t>-0.0704</w:t>
            </w:r>
          </w:p>
        </w:tc>
        <w:tc>
          <w:tcPr>
            <w:tcW w:type="dxa" w:w="965"/>
          </w:tcPr>
          <w:p>
            <w:pPr>
              <w:spacing w:after="40"/>
            </w:pPr>
            <w:r>
              <w:rPr>
                <w:sz w:val="16"/>
              </w:rPr>
              <w:t>0.7038</w:t>
            </w:r>
          </w:p>
        </w:tc>
        <w:tc>
          <w:tcPr>
            <w:tcW w:type="dxa" w:w="965"/>
          </w:tcPr>
          <w:p>
            <w:pPr>
              <w:spacing w:after="40"/>
            </w:pPr>
            <w:r>
              <w:rPr>
                <w:sz w:val="16"/>
              </w:rPr>
              <w:t>0.6413</w:t>
            </w:r>
          </w:p>
        </w:tc>
        <w:tc>
          <w:tcPr>
            <w:tcW w:type="dxa" w:w="965"/>
          </w:tcPr>
          <w:p>
            <w:pPr>
              <w:spacing w:after="40"/>
            </w:pPr>
            <w:r>
              <w:rPr>
                <w:sz w:val="16"/>
              </w:rPr>
              <w:t>0.7939</w:t>
            </w:r>
          </w:p>
        </w:tc>
        <w:tc>
          <w:tcPr>
            <w:tcW w:type="dxa" w:w="965"/>
          </w:tcPr>
          <w:p>
            <w:pPr>
              <w:spacing w:after="40"/>
            </w:pPr>
            <w:r>
              <w:rPr>
                <w:sz w:val="16"/>
              </w:rPr>
              <w:t>0.7095</w:t>
            </w:r>
          </w:p>
        </w:tc>
      </w:tr>
      <w:tr>
        <w:tc>
          <w:tcPr>
            <w:tcW w:type="dxa" w:w="965"/>
          </w:tcPr>
          <w:p>
            <w:pPr>
              <w:spacing w:after="40"/>
            </w:pPr>
            <w:r>
              <w:rPr>
                <w:sz w:val="16"/>
              </w:rPr>
              <w:t>Hurdle (two-stage)</w:t>
            </w:r>
          </w:p>
        </w:tc>
        <w:tc>
          <w:tcPr>
            <w:tcW w:type="dxa" w:w="965"/>
          </w:tcPr>
          <w:p>
            <w:pPr>
              <w:spacing w:after="40"/>
            </w:pPr>
            <w:r>
              <w:rPr>
                <w:sz w:val="16"/>
              </w:rPr>
              <w:t>binary + Tweedie</w:t>
            </w:r>
          </w:p>
        </w:tc>
        <w:tc>
          <w:tcPr>
            <w:tcW w:type="dxa" w:w="965"/>
          </w:tcPr>
          <w:p>
            <w:pPr>
              <w:spacing w:after="40"/>
            </w:pPr>
            <w:r>
              <w:rPr>
                <w:sz w:val="16"/>
              </w:rPr>
              <w:t>2.1267</w:t>
            </w:r>
          </w:p>
        </w:tc>
        <w:tc>
          <w:tcPr>
            <w:tcW w:type="dxa" w:w="965"/>
          </w:tcPr>
          <w:p>
            <w:pPr>
              <w:spacing w:after="40"/>
            </w:pPr>
            <w:r>
              <w:rPr>
                <w:sz w:val="16"/>
              </w:rPr>
              <w:t>1.0324</w:t>
            </w:r>
          </w:p>
        </w:tc>
        <w:tc>
          <w:tcPr>
            <w:tcW w:type="dxa" w:w="965"/>
          </w:tcPr>
          <w:p>
            <w:pPr>
              <w:spacing w:after="40"/>
            </w:pPr>
            <w:r>
              <w:rPr>
                <w:sz w:val="16"/>
              </w:rPr>
              <w:t>0.7155</w:t>
            </w:r>
          </w:p>
        </w:tc>
        <w:tc>
          <w:tcPr>
            <w:tcW w:type="dxa" w:w="965"/>
          </w:tcPr>
          <w:p>
            <w:pPr>
              <w:spacing w:after="40"/>
            </w:pPr>
            <w:r>
              <w:rPr>
                <w:sz w:val="16"/>
              </w:rPr>
              <w:t>-0.0721</w:t>
            </w:r>
          </w:p>
        </w:tc>
        <w:tc>
          <w:tcPr>
            <w:tcW w:type="dxa" w:w="965"/>
          </w:tcPr>
          <w:p>
            <w:pPr>
              <w:spacing w:after="40"/>
            </w:pPr>
            <w:r>
              <w:rPr>
                <w:sz w:val="16"/>
              </w:rPr>
              <w:t>0.7025</w:t>
            </w:r>
          </w:p>
        </w:tc>
        <w:tc>
          <w:tcPr>
            <w:tcW w:type="dxa" w:w="965"/>
          </w:tcPr>
          <w:p>
            <w:pPr>
              <w:spacing w:after="40"/>
            </w:pPr>
            <w:r>
              <w:rPr>
                <w:sz w:val="16"/>
              </w:rPr>
              <w:t>0.6393</w:t>
            </w:r>
          </w:p>
        </w:tc>
        <w:tc>
          <w:tcPr>
            <w:tcW w:type="dxa" w:w="965"/>
          </w:tcPr>
          <w:p>
            <w:pPr>
              <w:spacing w:after="40"/>
            </w:pPr>
            <w:r>
              <w:rPr>
                <w:sz w:val="16"/>
              </w:rPr>
              <w:t>0.7967</w:t>
            </w:r>
          </w:p>
        </w:tc>
        <w:tc>
          <w:tcPr>
            <w:tcW w:type="dxa" w:w="965"/>
          </w:tcPr>
          <w:p>
            <w:pPr>
              <w:spacing w:after="40"/>
            </w:pPr>
            <w:r>
              <w:rPr>
                <w:sz w:val="16"/>
              </w:rPr>
              <w:t>0.7093</w:t>
            </w:r>
          </w:p>
        </w:tc>
      </w:tr>
      <w:tr>
        <w:tc>
          <w:tcPr>
            <w:tcW w:type="dxa" w:w="965"/>
          </w:tcPr>
          <w:p>
            <w:pPr>
              <w:spacing w:after="40"/>
            </w:pPr>
            <w:r>
              <w:rPr>
                <w:sz w:val="16"/>
              </w:rPr>
              <w:t>LightGBM, Tweedie p=1.5</w:t>
            </w:r>
          </w:p>
        </w:tc>
        <w:tc>
          <w:tcPr>
            <w:tcW w:type="dxa" w:w="965"/>
          </w:tcPr>
          <w:p>
            <w:pPr>
              <w:spacing w:after="40"/>
            </w:pPr>
            <w:r>
              <w:rPr>
                <w:sz w:val="16"/>
              </w:rPr>
              <w:t>Tweedie p=1.5</w:t>
            </w:r>
          </w:p>
        </w:tc>
        <w:tc>
          <w:tcPr>
            <w:tcW w:type="dxa" w:w="965"/>
          </w:tcPr>
          <w:p>
            <w:pPr>
              <w:spacing w:after="40"/>
            </w:pPr>
            <w:r>
              <w:rPr>
                <w:sz w:val="16"/>
              </w:rPr>
              <w:t>2.1263</w:t>
            </w:r>
          </w:p>
        </w:tc>
        <w:tc>
          <w:tcPr>
            <w:tcW w:type="dxa" w:w="965"/>
          </w:tcPr>
          <w:p>
            <w:pPr>
              <w:spacing w:after="40"/>
            </w:pPr>
            <w:r>
              <w:rPr>
                <w:sz w:val="16"/>
              </w:rPr>
              <w:t>1.0289</w:t>
            </w:r>
          </w:p>
        </w:tc>
        <w:tc>
          <w:tcPr>
            <w:tcW w:type="dxa" w:w="965"/>
          </w:tcPr>
          <w:p>
            <w:pPr>
              <w:spacing w:after="40"/>
            </w:pPr>
            <w:r>
              <w:rPr>
                <w:sz w:val="16"/>
              </w:rPr>
              <w:t>0.7131</w:t>
            </w:r>
          </w:p>
        </w:tc>
        <w:tc>
          <w:tcPr>
            <w:tcW w:type="dxa" w:w="965"/>
          </w:tcPr>
          <w:p>
            <w:pPr>
              <w:spacing w:after="40"/>
            </w:pPr>
            <w:r>
              <w:rPr>
                <w:sz w:val="16"/>
              </w:rPr>
              <w:t>-0.0854</w:t>
            </w:r>
          </w:p>
        </w:tc>
        <w:tc>
          <w:tcPr>
            <w:tcW w:type="dxa" w:w="965"/>
          </w:tcPr>
          <w:p>
            <w:pPr>
              <w:spacing w:after="40"/>
            </w:pPr>
            <w:r>
              <w:rPr>
                <w:sz w:val="16"/>
              </w:rPr>
              <w:t>0.7057</w:t>
            </w:r>
          </w:p>
        </w:tc>
        <w:tc>
          <w:tcPr>
            <w:tcW w:type="dxa" w:w="965"/>
          </w:tcPr>
          <w:p>
            <w:pPr>
              <w:spacing w:after="40"/>
            </w:pPr>
            <w:r>
              <w:rPr>
                <w:sz w:val="16"/>
              </w:rPr>
              <w:t>0.6452</w:t>
            </w:r>
          </w:p>
        </w:tc>
        <w:tc>
          <w:tcPr>
            <w:tcW w:type="dxa" w:w="965"/>
          </w:tcPr>
          <w:p>
            <w:pPr>
              <w:spacing w:after="40"/>
            </w:pPr>
            <w:r>
              <w:rPr>
                <w:sz w:val="16"/>
              </w:rPr>
              <w:t>0.7865</w:t>
            </w:r>
          </w:p>
        </w:tc>
        <w:tc>
          <w:tcPr>
            <w:tcW w:type="dxa" w:w="965"/>
          </w:tcPr>
          <w:p>
            <w:pPr>
              <w:spacing w:after="40"/>
            </w:pPr>
            <w:r>
              <w:rPr>
                <w:sz w:val="16"/>
              </w:rPr>
              <w:t>0.7089</w:t>
            </w:r>
          </w:p>
        </w:tc>
      </w:tr>
      <w:tr>
        <w:tc>
          <w:tcPr>
            <w:tcW w:type="dxa" w:w="965"/>
          </w:tcPr>
          <w:p>
            <w:pPr>
              <w:spacing w:after="40"/>
            </w:pPr>
            <w:r>
              <w:rPr>
                <w:sz w:val="16"/>
              </w:rPr>
              <w:t>LightGBM, Poisson</w:t>
            </w:r>
          </w:p>
        </w:tc>
        <w:tc>
          <w:tcPr>
            <w:tcW w:type="dxa" w:w="965"/>
          </w:tcPr>
          <w:p>
            <w:pPr>
              <w:spacing w:after="40"/>
            </w:pPr>
            <w:r>
              <w:rPr>
                <w:sz w:val="16"/>
              </w:rPr>
              <w:t>Poisson</w:t>
            </w:r>
          </w:p>
        </w:tc>
        <w:tc>
          <w:tcPr>
            <w:tcW w:type="dxa" w:w="965"/>
          </w:tcPr>
          <w:p>
            <w:pPr>
              <w:spacing w:after="40"/>
            </w:pPr>
            <w:r>
              <w:rPr>
                <w:sz w:val="16"/>
              </w:rPr>
              <w:t>2.1379</w:t>
            </w:r>
          </w:p>
        </w:tc>
        <w:tc>
          <w:tcPr>
            <w:tcW w:type="dxa" w:w="965"/>
          </w:tcPr>
          <w:p>
            <w:pPr>
              <w:spacing w:after="40"/>
            </w:pPr>
            <w:r>
              <w:rPr>
                <w:sz w:val="16"/>
              </w:rPr>
              <w:t>1.035</w:t>
            </w:r>
          </w:p>
        </w:tc>
        <w:tc>
          <w:tcPr>
            <w:tcW w:type="dxa" w:w="965"/>
          </w:tcPr>
          <w:p>
            <w:pPr>
              <w:spacing w:after="40"/>
            </w:pPr>
            <w:r>
              <w:rPr>
                <w:sz w:val="16"/>
              </w:rPr>
              <w:t>0.7173</w:t>
            </w:r>
          </w:p>
        </w:tc>
        <w:tc>
          <w:tcPr>
            <w:tcW w:type="dxa" w:w="965"/>
          </w:tcPr>
          <w:p>
            <w:pPr>
              <w:spacing w:after="40"/>
            </w:pPr>
            <w:r>
              <w:rPr>
                <w:sz w:val="16"/>
              </w:rPr>
              <w:t>-0.063</w:t>
            </w:r>
          </w:p>
        </w:tc>
        <w:tc>
          <w:tcPr>
            <w:tcW w:type="dxa" w:w="965"/>
          </w:tcPr>
          <w:p>
            <w:pPr>
              <w:spacing w:after="40"/>
            </w:pPr>
            <w:r>
              <w:rPr>
                <w:sz w:val="16"/>
              </w:rPr>
              <w:t>0.7018</w:t>
            </w:r>
          </w:p>
        </w:tc>
        <w:tc>
          <w:tcPr>
            <w:tcW w:type="dxa" w:w="965"/>
          </w:tcPr>
          <w:p>
            <w:pPr>
              <w:spacing w:after="40"/>
            </w:pPr>
            <w:r>
              <w:rPr>
                <w:sz w:val="16"/>
              </w:rPr>
              <w:t>0.6384</w:t>
            </w:r>
          </w:p>
        </w:tc>
        <w:tc>
          <w:tcPr>
            <w:tcW w:type="dxa" w:w="965"/>
          </w:tcPr>
          <w:p>
            <w:pPr>
              <w:spacing w:after="40"/>
            </w:pPr>
            <w:r>
              <w:rPr>
                <w:sz w:val="16"/>
              </w:rPr>
              <w:t>0.7971</w:t>
            </w:r>
          </w:p>
        </w:tc>
        <w:tc>
          <w:tcPr>
            <w:tcW w:type="dxa" w:w="965"/>
          </w:tcPr>
          <w:p>
            <w:pPr>
              <w:spacing w:after="40"/>
            </w:pPr>
            <w:r>
              <w:rPr>
                <w:sz w:val="16"/>
              </w:rPr>
              <w:t>0.709</w:t>
            </w:r>
          </w:p>
        </w:tc>
      </w:tr>
      <w:tr>
        <w:tc>
          <w:tcPr>
            <w:tcW w:type="dxa" w:w="965"/>
          </w:tcPr>
          <w:p>
            <w:pPr>
              <w:spacing w:after="40"/>
            </w:pPr>
            <w:r>
              <w:rPr>
                <w:sz w:val="16"/>
              </w:rPr>
              <w:t>LightGBM, L1</w:t>
            </w:r>
          </w:p>
        </w:tc>
        <w:tc>
          <w:tcPr>
            <w:tcW w:type="dxa" w:w="965"/>
          </w:tcPr>
          <w:p>
            <w:pPr>
              <w:spacing w:after="40"/>
            </w:pPr>
            <w:r>
              <w:rPr>
                <w:sz w:val="16"/>
              </w:rPr>
              <w:t>L1 (absolute error)</w:t>
            </w:r>
          </w:p>
        </w:tc>
        <w:tc>
          <w:tcPr>
            <w:tcW w:type="dxa" w:w="965"/>
          </w:tcPr>
          <w:p>
            <w:pPr>
              <w:spacing w:after="40"/>
            </w:pPr>
            <w:r>
              <w:rPr>
                <w:sz w:val="16"/>
              </w:rPr>
              <w:t>2.2432</w:t>
            </w:r>
          </w:p>
        </w:tc>
        <w:tc>
          <w:tcPr>
            <w:tcW w:type="dxa" w:w="965"/>
          </w:tcPr>
          <w:p>
            <w:pPr>
              <w:spacing w:after="40"/>
            </w:pPr>
            <w:r>
              <w:rPr>
                <w:sz w:val="16"/>
              </w:rPr>
              <w:t>0.9591</w:t>
            </w:r>
          </w:p>
        </w:tc>
        <w:tc>
          <w:tcPr>
            <w:tcW w:type="dxa" w:w="965"/>
          </w:tcPr>
          <w:p>
            <w:pPr>
              <w:spacing w:after="40"/>
            </w:pPr>
            <w:r>
              <w:rPr>
                <w:sz w:val="16"/>
              </w:rPr>
              <w:t>0.6648</w:t>
            </w:r>
          </w:p>
        </w:tc>
        <w:tc>
          <w:tcPr>
            <w:tcW w:type="dxa" w:w="965"/>
          </w:tcPr>
          <w:p>
            <w:pPr>
              <w:spacing w:after="40"/>
            </w:pPr>
            <w:r>
              <w:rPr>
                <w:sz w:val="16"/>
              </w:rPr>
              <w:t>-0.4756</w:t>
            </w:r>
          </w:p>
        </w:tc>
        <w:tc>
          <w:tcPr>
            <w:tcW w:type="dxa" w:w="965"/>
          </w:tcPr>
          <w:p>
            <w:pPr>
              <w:spacing w:after="40"/>
            </w:pPr>
            <w:r>
              <w:rPr>
                <w:sz w:val="16"/>
              </w:rPr>
              <w:t>0.7243</w:t>
            </w:r>
          </w:p>
        </w:tc>
        <w:tc>
          <w:tcPr>
            <w:tcW w:type="dxa" w:w="965"/>
          </w:tcPr>
          <w:p>
            <w:pPr>
              <w:spacing w:after="40"/>
            </w:pPr>
            <w:r>
              <w:rPr>
                <w:sz w:val="16"/>
              </w:rPr>
              <w:t>0.7408</w:t>
            </w:r>
          </w:p>
        </w:tc>
        <w:tc>
          <w:tcPr>
            <w:tcW w:type="dxa" w:w="965"/>
          </w:tcPr>
          <w:p>
            <w:pPr>
              <w:spacing w:after="40"/>
            </w:pPr>
            <w:r>
              <w:rPr>
                <w:sz w:val="16"/>
              </w:rPr>
              <w:t>0.6074</w:t>
            </w:r>
          </w:p>
        </w:tc>
        <w:tc>
          <w:tcPr>
            <w:tcW w:type="dxa" w:w="965"/>
          </w:tcPr>
          <w:p>
            <w:pPr>
              <w:spacing w:after="40"/>
            </w:pPr>
            <w:r>
              <w:rPr>
                <w:sz w:val="16"/>
              </w:rPr>
              <w:t>0.6675</w:t>
            </w:r>
          </w:p>
        </w:tc>
      </w:tr>
      <w:tr>
        <w:tc>
          <w:tcPr>
            <w:tcW w:type="dxa" w:w="965"/>
          </w:tcPr>
          <w:p>
            <w:pPr>
              <w:spacing w:after="40"/>
            </w:pPr>
            <w:r>
              <w:rPr>
                <w:sz w:val="16"/>
              </w:rPr>
              <w:t>Recursive one-step (member B)</w:t>
            </w:r>
          </w:p>
        </w:tc>
        <w:tc>
          <w:tcPr>
            <w:tcW w:type="dxa" w:w="965"/>
          </w:tcPr>
          <w:p>
            <w:pPr>
              <w:spacing w:after="40"/>
            </w:pPr>
            <w:r>
              <w:rPr>
                <w:sz w:val="16"/>
              </w:rPr>
              <w:t>Tweedie p=1.1</w:t>
            </w:r>
          </w:p>
        </w:tc>
        <w:tc>
          <w:tcPr>
            <w:tcW w:type="dxa" w:w="965"/>
          </w:tcPr>
          <w:p>
            <w:pPr>
              <w:spacing w:after="40"/>
            </w:pPr>
            <w:r>
              <w:rPr>
                <w:sz w:val="16"/>
              </w:rPr>
              <w:t>2.1182</w:t>
            </w:r>
          </w:p>
        </w:tc>
        <w:tc>
          <w:tcPr>
            <w:tcW w:type="dxa" w:w="965"/>
          </w:tcPr>
          <w:p>
            <w:pPr>
              <w:spacing w:after="40"/>
            </w:pPr>
            <w:r>
              <w:rPr>
                <w:sz w:val="16"/>
              </w:rPr>
              <w:t>1.0717</w:t>
            </w:r>
          </w:p>
        </w:tc>
        <w:tc>
          <w:tcPr>
            <w:tcW w:type="dxa" w:w="965"/>
          </w:tcPr>
          <w:p>
            <w:pPr>
              <w:spacing w:after="40"/>
            </w:pPr>
            <w:r>
              <w:rPr>
                <w:sz w:val="16"/>
              </w:rPr>
              <w:t>0.7428</w:t>
            </w:r>
          </w:p>
        </w:tc>
        <w:tc>
          <w:tcPr>
            <w:tcW w:type="dxa" w:w="965"/>
          </w:tcPr>
          <w:p>
            <w:pPr>
              <w:spacing w:after="40"/>
            </w:pPr>
            <w:r>
              <w:rPr>
                <w:sz w:val="16"/>
              </w:rPr>
              <w:t>0.0538</w:t>
            </w:r>
          </w:p>
        </w:tc>
        <w:tc>
          <w:tcPr>
            <w:tcW w:type="dxa" w:w="965"/>
          </w:tcPr>
          <w:p>
            <w:pPr>
              <w:spacing w:after="40"/>
            </w:pPr>
            <w:r>
              <w:rPr>
                <w:sz w:val="16"/>
              </w:rPr>
              <w:t>0.6897</w:t>
            </w:r>
          </w:p>
        </w:tc>
        <w:tc>
          <w:tcPr>
            <w:tcW w:type="dxa" w:w="965"/>
          </w:tcPr>
          <w:p>
            <w:pPr>
              <w:spacing w:after="40"/>
            </w:pPr>
            <w:r>
              <w:rPr>
                <w:sz w:val="16"/>
              </w:rPr>
              <w:t>0.6216</w:t>
            </w:r>
          </w:p>
        </w:tc>
        <w:tc>
          <w:tcPr>
            <w:tcW w:type="dxa" w:w="965"/>
          </w:tcPr>
          <w:p>
            <w:pPr>
              <w:spacing w:after="40"/>
            </w:pPr>
            <w:r>
              <w:rPr>
                <w:sz w:val="16"/>
              </w:rPr>
              <w:t>0.8148</w:t>
            </w:r>
          </w:p>
        </w:tc>
        <w:tc>
          <w:tcPr>
            <w:tcW w:type="dxa" w:w="965"/>
          </w:tcPr>
          <w:p>
            <w:pPr>
              <w:spacing w:after="40"/>
            </w:pPr>
            <w:r>
              <w:rPr>
                <w:sz w:val="16"/>
              </w:rPr>
              <w:t>0.7053</w:t>
            </w:r>
          </w:p>
        </w:tc>
      </w:tr>
      <w:tr>
        <w:tc>
          <w:tcPr>
            <w:tcW w:type="dxa" w:w="965"/>
          </w:tcPr>
          <w:p>
            <w:pPr>
              <w:spacing w:after="40"/>
            </w:pPr>
            <w:r>
              <w:rPr>
                <w:sz w:val="16"/>
              </w:rPr>
              <w:t>Team-style approach, frozen-origin</w:t>
            </w:r>
          </w:p>
        </w:tc>
        <w:tc>
          <w:tcPr>
            <w:tcW w:type="dxa" w:w="965"/>
          </w:tcPr>
          <w:p>
            <w:pPr>
              <w:spacing w:after="40"/>
            </w:pPr>
            <w:r>
              <w:rPr>
                <w:sz w:val="16"/>
              </w:rPr>
              <w:t>Tweedie p=1.1</w:t>
            </w:r>
          </w:p>
        </w:tc>
        <w:tc>
          <w:tcPr>
            <w:tcW w:type="dxa" w:w="965"/>
          </w:tcPr>
          <w:p>
            <w:pPr>
              <w:spacing w:after="40"/>
            </w:pPr>
            <w:r>
              <w:rPr>
                <w:sz w:val="16"/>
              </w:rPr>
              <w:t>2.1835</w:t>
            </w:r>
          </w:p>
        </w:tc>
        <w:tc>
          <w:tcPr>
            <w:tcW w:type="dxa" w:w="965"/>
          </w:tcPr>
          <w:p>
            <w:pPr>
              <w:spacing w:after="40"/>
            </w:pPr>
            <w:r>
              <w:rPr>
                <w:sz w:val="16"/>
              </w:rPr>
              <w:t>1.0498</w:t>
            </w:r>
          </w:p>
        </w:tc>
        <w:tc>
          <w:tcPr>
            <w:tcW w:type="dxa" w:w="965"/>
          </w:tcPr>
          <w:p>
            <w:pPr>
              <w:spacing w:after="40"/>
            </w:pPr>
            <w:r>
              <w:rPr>
                <w:sz w:val="16"/>
              </w:rPr>
              <w:t>0.7276</w:t>
            </w:r>
          </w:p>
        </w:tc>
        <w:tc>
          <w:tcPr>
            <w:tcW w:type="dxa" w:w="965"/>
          </w:tcPr>
          <w:p>
            <w:pPr>
              <w:spacing w:after="40"/>
            </w:pPr>
            <w:r>
              <w:rPr>
                <w:sz w:val="16"/>
              </w:rPr>
              <w:t>-0.0821</w:t>
            </w:r>
          </w:p>
        </w:tc>
        <w:tc>
          <w:tcPr>
            <w:tcW w:type="dxa" w:w="965"/>
          </w:tcPr>
          <w:p>
            <w:pPr>
              <w:spacing w:after="40"/>
            </w:pPr>
            <w:r>
              <w:rPr>
                <w:sz w:val="16"/>
              </w:rPr>
              <w:t>0.699</w:t>
            </w:r>
          </w:p>
        </w:tc>
        <w:tc>
          <w:tcPr>
            <w:tcW w:type="dxa" w:w="965"/>
          </w:tcPr>
          <w:p>
            <w:pPr>
              <w:spacing w:after="40"/>
            </w:pPr>
            <w:r>
              <w:rPr>
                <w:sz w:val="16"/>
              </w:rPr>
              <w:t>0.6369</w:t>
            </w:r>
          </w:p>
        </w:tc>
        <w:tc>
          <w:tcPr>
            <w:tcW w:type="dxa" w:w="965"/>
          </w:tcPr>
          <w:p>
            <w:pPr>
              <w:spacing w:after="40"/>
            </w:pPr>
            <w:r>
              <w:rPr>
                <w:sz w:val="16"/>
              </w:rPr>
              <w:t>0.7898</w:t>
            </w:r>
          </w:p>
        </w:tc>
        <w:tc>
          <w:tcPr>
            <w:tcW w:type="dxa" w:w="965"/>
          </w:tcPr>
          <w:p>
            <w:pPr>
              <w:spacing w:after="40"/>
            </w:pPr>
            <w:r>
              <w:rPr>
                <w:sz w:val="16"/>
              </w:rPr>
              <w:t>0.7052</w:t>
            </w:r>
          </w:p>
        </w:tc>
      </w:tr>
      <w:tr>
        <w:tc>
          <w:tcPr>
            <w:tcW w:type="dxa" w:w="965"/>
          </w:tcPr>
          <w:p>
            <w:pPr>
              <w:spacing w:after="40"/>
            </w:pPr>
            <w:r>
              <w:rPr>
                <w:sz w:val="16"/>
              </w:rPr>
              <w:t>Shape only 36f</w:t>
            </w:r>
          </w:p>
        </w:tc>
        <w:tc>
          <w:tcPr>
            <w:tcW w:type="dxa" w:w="965"/>
          </w:tcPr>
          <w:p>
            <w:pPr>
              <w:spacing w:after="40"/>
            </w:pPr>
            <w:r>
              <w:rPr>
                <w:sz w:val="16"/>
              </w:rPr>
              <w:t>Tweedie p=1.1</w:t>
            </w:r>
          </w:p>
        </w:tc>
        <w:tc>
          <w:tcPr>
            <w:tcW w:type="dxa" w:w="965"/>
          </w:tcPr>
          <w:p>
            <w:pPr>
              <w:spacing w:after="40"/>
            </w:pPr>
            <w:r>
              <w:rPr>
                <w:sz w:val="16"/>
              </w:rPr>
              <w:t>2.1163</w:t>
            </w:r>
          </w:p>
        </w:tc>
        <w:tc>
          <w:tcPr>
            <w:tcW w:type="dxa" w:w="965"/>
          </w:tcPr>
          <w:p>
            <w:pPr>
              <w:spacing w:after="40"/>
            </w:pPr>
            <w:r>
              <w:rPr>
                <w:sz w:val="16"/>
              </w:rPr>
              <w:t>1.0299</w:t>
            </w:r>
          </w:p>
        </w:tc>
        <w:tc>
          <w:tcPr>
            <w:tcW w:type="dxa" w:w="965"/>
          </w:tcPr>
          <w:p>
            <w:pPr>
              <w:spacing w:after="40"/>
            </w:pPr>
            <w:r>
              <w:rPr>
                <w:sz w:val="16"/>
              </w:rPr>
              <w:t>0.7138</w:t>
            </w:r>
          </w:p>
        </w:tc>
        <w:tc>
          <w:tcPr>
            <w:tcW w:type="dxa" w:w="965"/>
          </w:tcPr>
          <w:p>
            <w:pPr>
              <w:spacing w:after="40"/>
            </w:pPr>
            <w:r>
              <w:rPr>
                <w:sz w:val="16"/>
              </w:rPr>
              <w:t>-0.0729</w:t>
            </w:r>
          </w:p>
        </w:tc>
        <w:tc>
          <w:tcPr>
            <w:tcW w:type="dxa" w:w="965"/>
          </w:tcPr>
          <w:p>
            <w:pPr>
              <w:spacing w:after="40"/>
            </w:pPr>
            <w:r>
              <w:rPr>
                <w:sz w:val="16"/>
              </w:rPr>
              <w:t>0.7043</w:t>
            </w:r>
          </w:p>
        </w:tc>
        <w:tc>
          <w:tcPr>
            <w:tcW w:type="dxa" w:w="965"/>
          </w:tcPr>
          <w:p>
            <w:pPr>
              <w:spacing w:after="40"/>
            </w:pPr>
            <w:r>
              <w:rPr>
                <w:sz w:val="16"/>
              </w:rPr>
              <w:t>0.642</w:t>
            </w:r>
          </w:p>
        </w:tc>
        <w:tc>
          <w:tcPr>
            <w:tcW w:type="dxa" w:w="965"/>
          </w:tcPr>
          <w:p>
            <w:pPr>
              <w:spacing w:after="40"/>
            </w:pPr>
            <w:r>
              <w:rPr>
                <w:sz w:val="16"/>
              </w:rPr>
              <w:t>0.7933</w:t>
            </w:r>
          </w:p>
        </w:tc>
        <w:tc>
          <w:tcPr>
            <w:tcW w:type="dxa" w:w="965"/>
          </w:tcPr>
          <w:p>
            <w:pPr>
              <w:spacing w:after="40"/>
            </w:pPr>
            <w:r>
              <w:rPr>
                <w:sz w:val="16"/>
              </w:rPr>
              <w:t>0.7097</w:t>
            </w:r>
          </w:p>
        </w:tc>
      </w:tr>
      <w:tr>
        <w:tc>
          <w:tcPr>
            <w:tcW w:type="dxa" w:w="965"/>
          </w:tcPr>
          <w:p>
            <w:pPr>
              <w:spacing w:after="40"/>
            </w:pPr>
            <w:r>
              <w:rPr>
                <w:sz w:val="16"/>
              </w:rPr>
              <w:t>Shape+Cycle 38f (champion v2)</w:t>
            </w:r>
          </w:p>
        </w:tc>
        <w:tc>
          <w:tcPr>
            <w:tcW w:type="dxa" w:w="965"/>
          </w:tcPr>
          <w:p>
            <w:pPr>
              <w:spacing w:after="40"/>
            </w:pPr>
            <w:r>
              <w:rPr>
                <w:sz w:val="16"/>
              </w:rPr>
              <w:t>Tweedie p=1.1</w:t>
            </w:r>
          </w:p>
        </w:tc>
        <w:tc>
          <w:tcPr>
            <w:tcW w:type="dxa" w:w="965"/>
          </w:tcPr>
          <w:p>
            <w:pPr>
              <w:spacing w:after="40"/>
            </w:pPr>
            <w:r>
              <w:rPr>
                <w:sz w:val="16"/>
              </w:rPr>
              <w:t>2.1157</w:t>
            </w:r>
          </w:p>
        </w:tc>
        <w:tc>
          <w:tcPr>
            <w:tcW w:type="dxa" w:w="965"/>
          </w:tcPr>
          <w:p>
            <w:pPr>
              <w:spacing w:after="40"/>
            </w:pPr>
            <w:r>
              <w:rPr>
                <w:sz w:val="16"/>
              </w:rPr>
              <w:t>1.0287</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c>
          <w:tcPr>
            <w:tcW w:type="dxa" w:w="965"/>
          </w:tcPr>
          <w:p>
            <w:pPr>
              <w:spacing w:after="40"/>
            </w:pPr>
            <w:r>
              <w:rPr>
                <w:sz w:val="16"/>
              </w:rPr>
              <w:t>nan</w:t>
            </w:r>
          </w:p>
        </w:tc>
      </w:tr>
      <w:tr>
        <w:tc>
          <w:tcPr>
            <w:tcW w:type="dxa" w:w="965"/>
          </w:tcPr>
          <w:p>
            <w:pPr>
              <w:spacing w:after="40"/>
            </w:pPr>
            <w:r>
              <w:rPr>
                <w:sz w:val="16"/>
              </w:rPr>
              <w:t>Diversity blend w=0.50 (38f+26f)</w:t>
            </w:r>
          </w:p>
        </w:tc>
        <w:tc>
          <w:tcPr>
            <w:tcW w:type="dxa" w:w="965"/>
          </w:tcPr>
          <w:p>
            <w:pPr>
              <w:spacing w:after="40"/>
            </w:pPr>
            <w:r>
              <w:rPr>
                <w:sz w:val="16"/>
              </w:rPr>
              <w:t>Tweedie p=1.1 ×2</w:t>
            </w:r>
          </w:p>
        </w:tc>
        <w:tc>
          <w:tcPr>
            <w:tcW w:type="dxa" w:w="965"/>
          </w:tcPr>
          <w:p>
            <w:pPr>
              <w:spacing w:after="40"/>
            </w:pPr>
            <w:r>
              <w:rPr>
                <w:sz w:val="16"/>
              </w:rPr>
              <w:t>2.092</w:t>
            </w:r>
          </w:p>
        </w:tc>
        <w:tc>
          <w:tcPr>
            <w:tcW w:type="dxa" w:w="965"/>
          </w:tcPr>
          <w:p>
            <w:pPr>
              <w:spacing w:after="40"/>
            </w:pPr>
            <w:r>
              <w:rPr>
                <w:sz w:val="16"/>
              </w:rPr>
              <w:t>1.0441</w:t>
            </w:r>
          </w:p>
        </w:tc>
        <w:tc>
          <w:tcPr>
            <w:tcW w:type="dxa" w:w="965"/>
          </w:tcPr>
          <w:p>
            <w:pPr>
              <w:spacing w:after="40"/>
            </w:pPr>
            <w:r>
              <w:rPr>
                <w:sz w:val="16"/>
              </w:rPr>
              <w:t>0.7236</w:t>
            </w:r>
          </w:p>
        </w:tc>
        <w:tc>
          <w:tcPr>
            <w:tcW w:type="dxa" w:w="965"/>
          </w:tcPr>
          <w:p>
            <w:pPr>
              <w:spacing w:after="40"/>
            </w:pPr>
            <w:r>
              <w:rPr>
                <w:sz w:val="16"/>
              </w:rPr>
              <w:t>-0.0081</w:t>
            </w:r>
          </w:p>
        </w:tc>
        <w:tc>
          <w:tcPr>
            <w:tcW w:type="dxa" w:w="965"/>
          </w:tcPr>
          <w:p>
            <w:pPr>
              <w:spacing w:after="40"/>
            </w:pPr>
            <w:r>
              <w:rPr>
                <w:sz w:val="16"/>
              </w:rPr>
              <w:t>0.6967</w:t>
            </w:r>
          </w:p>
        </w:tc>
        <w:tc>
          <w:tcPr>
            <w:tcW w:type="dxa" w:w="965"/>
          </w:tcPr>
          <w:p>
            <w:pPr>
              <w:spacing w:after="40"/>
            </w:pPr>
            <w:r>
              <w:rPr>
                <w:sz w:val="16"/>
              </w:rPr>
              <w:t>0.6305</w:t>
            </w:r>
          </w:p>
        </w:tc>
        <w:tc>
          <w:tcPr>
            <w:tcW w:type="dxa" w:w="965"/>
          </w:tcPr>
          <w:p>
            <w:pPr>
              <w:spacing w:after="40"/>
            </w:pPr>
            <w:r>
              <w:rPr>
                <w:sz w:val="16"/>
              </w:rPr>
              <w:t>0.8076</w:t>
            </w:r>
          </w:p>
        </w:tc>
        <w:tc>
          <w:tcPr>
            <w:tcW w:type="dxa" w:w="965"/>
          </w:tcPr>
          <w:p>
            <w:pPr>
              <w:spacing w:after="40"/>
            </w:pPr>
            <w:r>
              <w:rPr>
                <w:sz w:val="16"/>
              </w:rPr>
              <w:t>0.7082</w:t>
            </w:r>
          </w:p>
        </w:tc>
      </w:tr>
      <w:tr>
        <w:tc>
          <w:tcPr>
            <w:tcW w:type="dxa" w:w="965"/>
          </w:tcPr>
          <w:p>
            <w:pPr>
              <w:spacing w:after="40"/>
            </w:pPr>
            <w:r>
              <w:rPr>
                <w:sz w:val="16"/>
              </w:rPr>
              <w:t>Diversity blend w=0.60 (38f+32f)</w:t>
            </w:r>
          </w:p>
        </w:tc>
        <w:tc>
          <w:tcPr>
            <w:tcW w:type="dxa" w:w="965"/>
          </w:tcPr>
          <w:p>
            <w:pPr>
              <w:spacing w:after="40"/>
            </w:pPr>
            <w:r>
              <w:rPr>
                <w:sz w:val="16"/>
              </w:rPr>
              <w:t>Tweedie p=1.1 ×2</w:t>
            </w:r>
          </w:p>
        </w:tc>
        <w:tc>
          <w:tcPr>
            <w:tcW w:type="dxa" w:w="965"/>
          </w:tcPr>
          <w:p>
            <w:pPr>
              <w:spacing w:after="40"/>
            </w:pPr>
            <w:r>
              <w:rPr>
                <w:sz w:val="16"/>
              </w:rPr>
              <w:t>2.0929</w:t>
            </w:r>
          </w:p>
        </w:tc>
        <w:tc>
          <w:tcPr>
            <w:tcW w:type="dxa" w:w="965"/>
          </w:tcPr>
          <w:p>
            <w:pPr>
              <w:spacing w:after="40"/>
            </w:pPr>
            <w:r>
              <w:rPr>
                <w:sz w:val="16"/>
              </w:rPr>
              <w:t>1.0395</w:t>
            </w:r>
          </w:p>
        </w:tc>
        <w:tc>
          <w:tcPr>
            <w:tcW w:type="dxa" w:w="965"/>
          </w:tcPr>
          <w:p>
            <w:pPr>
              <w:spacing w:after="40"/>
            </w:pPr>
            <w:r>
              <w:rPr>
                <w:sz w:val="16"/>
              </w:rPr>
              <w:t>0.7205</w:t>
            </w:r>
          </w:p>
        </w:tc>
        <w:tc>
          <w:tcPr>
            <w:tcW w:type="dxa" w:w="965"/>
          </w:tcPr>
          <w:p>
            <w:pPr>
              <w:spacing w:after="40"/>
            </w:pPr>
            <w:r>
              <w:rPr>
                <w:sz w:val="16"/>
              </w:rPr>
              <w:t>-0.0224</w:t>
            </w:r>
          </w:p>
        </w:tc>
        <w:tc>
          <w:tcPr>
            <w:tcW w:type="dxa" w:w="965"/>
          </w:tcPr>
          <w:p>
            <w:pPr>
              <w:spacing w:after="40"/>
            </w:pPr>
            <w:r>
              <w:rPr>
                <w:sz w:val="16"/>
              </w:rPr>
              <w:t>0.698</w:t>
            </w:r>
          </w:p>
        </w:tc>
        <w:tc>
          <w:tcPr>
            <w:tcW w:type="dxa" w:w="965"/>
          </w:tcPr>
          <w:p>
            <w:pPr>
              <w:spacing w:after="40"/>
            </w:pPr>
            <w:r>
              <w:rPr>
                <w:sz w:val="16"/>
              </w:rPr>
              <w:t>0.6321</w:t>
            </w:r>
          </w:p>
        </w:tc>
        <w:tc>
          <w:tcPr>
            <w:tcW w:type="dxa" w:w="965"/>
          </w:tcPr>
          <w:p>
            <w:pPr>
              <w:spacing w:after="40"/>
            </w:pPr>
            <w:r>
              <w:rPr>
                <w:sz w:val="16"/>
              </w:rPr>
              <w:t>0.8068</w:t>
            </w:r>
          </w:p>
        </w:tc>
        <w:tc>
          <w:tcPr>
            <w:tcW w:type="dxa" w:w="965"/>
          </w:tcPr>
          <w:p>
            <w:pPr>
              <w:spacing w:after="40"/>
            </w:pPr>
            <w:r>
              <w:rPr>
                <w:sz w:val="16"/>
              </w:rPr>
              <w:t>0.7088</w:t>
            </w:r>
          </w:p>
        </w:tc>
      </w:tr>
      <w:tr>
        <w:tc>
          <w:tcPr>
            <w:tcW w:type="dxa" w:w="965"/>
          </w:tcPr>
          <w:p>
            <w:pPr>
              <w:spacing w:after="40"/>
            </w:pPr>
            <w:r>
              <w:rPr>
                <w:sz w:val="16"/>
              </w:rPr>
              <w:t>- member A: direct 38f (seed 42)</w:t>
            </w:r>
          </w:p>
        </w:tc>
        <w:tc>
          <w:tcPr>
            <w:tcW w:type="dxa" w:w="965"/>
          </w:tcPr>
          <w:p>
            <w:pPr>
              <w:spacing w:after="40"/>
            </w:pPr>
            <w:r>
              <w:rPr>
                <w:sz w:val="16"/>
              </w:rPr>
              <w:t>Tweedie p=1.1</w:t>
            </w:r>
          </w:p>
        </w:tc>
        <w:tc>
          <w:tcPr>
            <w:tcW w:type="dxa" w:w="965"/>
          </w:tcPr>
          <w:p>
            <w:pPr>
              <w:spacing w:after="40"/>
            </w:pPr>
            <w:r>
              <w:rPr>
                <w:sz w:val="16"/>
              </w:rPr>
              <w:t>2.1211</w:t>
            </w:r>
          </w:p>
        </w:tc>
        <w:tc>
          <w:tcPr>
            <w:tcW w:type="dxa" w:w="965"/>
          </w:tcPr>
          <w:p>
            <w:pPr>
              <w:spacing w:after="40"/>
            </w:pPr>
            <w:r>
              <w:rPr>
                <w:sz w:val="16"/>
              </w:rPr>
              <w:t>1.0293</w:t>
            </w:r>
          </w:p>
        </w:tc>
        <w:tc>
          <w:tcPr>
            <w:tcW w:type="dxa" w:w="965"/>
          </w:tcPr>
          <w:p>
            <w:pPr>
              <w:spacing w:after="40"/>
            </w:pPr>
            <w:r>
              <w:rPr>
                <w:sz w:val="16"/>
              </w:rPr>
              <w:t>0.7134</w:t>
            </w:r>
          </w:p>
        </w:tc>
        <w:tc>
          <w:tcPr>
            <w:tcW w:type="dxa" w:w="965"/>
          </w:tcPr>
          <w:p>
            <w:pPr>
              <w:spacing w:after="40"/>
            </w:pPr>
            <w:r>
              <w:rPr>
                <w:sz w:val="16"/>
              </w:rPr>
              <w:t>-0.0724</w:t>
            </w:r>
          </w:p>
        </w:tc>
        <w:tc>
          <w:tcPr>
            <w:tcW w:type="dxa" w:w="965"/>
          </w:tcPr>
          <w:p>
            <w:pPr>
              <w:spacing w:after="40"/>
            </w:pPr>
            <w:r>
              <w:rPr>
                <w:sz w:val="16"/>
              </w:rPr>
              <w:t>0.7047</w:t>
            </w:r>
          </w:p>
        </w:tc>
        <w:tc>
          <w:tcPr>
            <w:tcW w:type="dxa" w:w="965"/>
          </w:tcPr>
          <w:p>
            <w:pPr>
              <w:spacing w:after="40"/>
            </w:pPr>
            <w:r>
              <w:rPr>
                <w:sz w:val="16"/>
              </w:rPr>
              <w:t>0.6429</w:t>
            </w:r>
          </w:p>
        </w:tc>
        <w:tc>
          <w:tcPr>
            <w:tcW w:type="dxa" w:w="965"/>
          </w:tcPr>
          <w:p>
            <w:pPr>
              <w:spacing w:after="40"/>
            </w:pPr>
            <w:r>
              <w:rPr>
                <w:sz w:val="16"/>
              </w:rPr>
              <w:t>0.7918</w:t>
            </w:r>
          </w:p>
        </w:tc>
        <w:tc>
          <w:tcPr>
            <w:tcW w:type="dxa" w:w="965"/>
          </w:tcPr>
          <w:p>
            <w:pPr>
              <w:spacing w:after="40"/>
            </w:pPr>
            <w:r>
              <w:rPr>
                <w:sz w:val="16"/>
              </w:rPr>
              <w:t>0.7096</w:t>
            </w:r>
          </w:p>
        </w:tc>
      </w:tr>
      <w:tr>
        <w:tc>
          <w:tcPr>
            <w:tcW w:type="dxa" w:w="965"/>
          </w:tcPr>
          <w:p>
            <w:pPr>
              <w:spacing w:after="40"/>
            </w:pPr>
            <w:r>
              <w:rPr>
                <w:sz w:val="16"/>
              </w:rPr>
              <w:t>- member B2: recursive 32f (seed 42)</w:t>
            </w:r>
          </w:p>
        </w:tc>
        <w:tc>
          <w:tcPr>
            <w:tcW w:type="dxa" w:w="965"/>
          </w:tcPr>
          <w:p>
            <w:pPr>
              <w:spacing w:after="40"/>
            </w:pPr>
            <w:r>
              <w:rPr>
                <w:sz w:val="16"/>
              </w:rPr>
              <w:t>Tweedie p=1.1</w:t>
            </w:r>
          </w:p>
        </w:tc>
        <w:tc>
          <w:tcPr>
            <w:tcW w:type="dxa" w:w="965"/>
          </w:tcPr>
          <w:p>
            <w:pPr>
              <w:spacing w:after="40"/>
            </w:pPr>
            <w:r>
              <w:rPr>
                <w:sz w:val="16"/>
              </w:rPr>
              <w:t>2.1185</w:t>
            </w:r>
          </w:p>
        </w:tc>
        <w:tc>
          <w:tcPr>
            <w:tcW w:type="dxa" w:w="965"/>
          </w:tcPr>
          <w:p>
            <w:pPr>
              <w:spacing w:after="40"/>
            </w:pPr>
            <w:r>
              <w:rPr>
                <w:sz w:val="16"/>
              </w:rPr>
              <w:t>1.0689</w:t>
            </w:r>
          </w:p>
        </w:tc>
        <w:tc>
          <w:tcPr>
            <w:tcW w:type="dxa" w:w="965"/>
          </w:tcPr>
          <w:p>
            <w:pPr>
              <w:spacing w:after="40"/>
            </w:pPr>
            <w:r>
              <w:rPr>
                <w:sz w:val="16"/>
              </w:rPr>
              <w:t>0.7408</w:t>
            </w:r>
          </w:p>
        </w:tc>
        <w:tc>
          <w:tcPr>
            <w:tcW w:type="dxa" w:w="965"/>
          </w:tcPr>
          <w:p>
            <w:pPr>
              <w:spacing w:after="40"/>
            </w:pPr>
            <w:r>
              <w:rPr>
                <w:sz w:val="16"/>
              </w:rPr>
              <w:t>0.0526</w:t>
            </w:r>
          </w:p>
        </w:tc>
        <w:tc>
          <w:tcPr>
            <w:tcW w:type="dxa" w:w="965"/>
          </w:tcPr>
          <w:p>
            <w:pPr>
              <w:spacing w:after="40"/>
            </w:pPr>
            <w:r>
              <w:rPr>
                <w:sz w:val="16"/>
              </w:rPr>
              <w:t>0.6879</w:t>
            </w:r>
          </w:p>
        </w:tc>
        <w:tc>
          <w:tcPr>
            <w:tcW w:type="dxa" w:w="965"/>
          </w:tcPr>
          <w:p>
            <w:pPr>
              <w:spacing w:after="40"/>
            </w:pPr>
            <w:r>
              <w:rPr>
                <w:sz w:val="16"/>
              </w:rPr>
              <w:t>0.6183</w:t>
            </w:r>
          </w:p>
        </w:tc>
        <w:tc>
          <w:tcPr>
            <w:tcW w:type="dxa" w:w="965"/>
          </w:tcPr>
          <w:p>
            <w:pPr>
              <w:spacing w:after="40"/>
            </w:pPr>
            <w:r>
              <w:rPr>
                <w:sz w:val="16"/>
              </w:rPr>
              <w:t>0.8233</w:t>
            </w:r>
          </w:p>
        </w:tc>
        <w:tc>
          <w:tcPr>
            <w:tcW w:type="dxa" w:w="965"/>
          </w:tcPr>
          <w:p>
            <w:pPr>
              <w:spacing w:after="40"/>
            </w:pPr>
            <w:r>
              <w:rPr>
                <w:sz w:val="16"/>
              </w:rPr>
              <w:t>0.7062</w:t>
            </w:r>
          </w:p>
        </w:tc>
      </w:tr>
    </w:tbl>
    <w:p/>
    <w:p>
      <w:pPr>
        <w:jc w:val="center"/>
      </w:pPr>
      <w:r>
        <w:drawing>
          <wp:inline xmlns:a="http://schemas.openxmlformats.org/drawingml/2006/main" xmlns:pic="http://schemas.openxmlformats.org/drawingml/2006/picture">
            <wp:extent cx="5852160" cy="3615442"/>
            <wp:docPr id="4" name="Picture 4"/>
            <wp:cNvGraphicFramePr>
              <a:graphicFrameLocks noChangeAspect="1"/>
            </wp:cNvGraphicFramePr>
            <a:graphic>
              <a:graphicData uri="http://schemas.openxmlformats.org/drawingml/2006/picture">
                <pic:pic>
                  <pic:nvPicPr>
                    <pic:cNvPr id="0" name="fig2_model_comparison.png"/>
                    <pic:cNvPicPr/>
                  </pic:nvPicPr>
                  <pic:blipFill>
                    <a:blip r:embed="rId12"/>
                    <a:stretch>
                      <a:fillRect/>
                    </a:stretch>
                  </pic:blipFill>
                  <pic:spPr>
                    <a:xfrm>
                      <a:off x="0" y="0"/>
                      <a:ext cx="5852160" cy="3615442"/>
                    </a:xfrm>
                    <a:prstGeom prst="rect"/>
                  </pic:spPr>
                </pic:pic>
              </a:graphicData>
            </a:graphic>
          </wp:inline>
        </w:drawing>
      </w:r>
    </w:p>
    <w:p>
      <w:pPr>
        <w:pStyle w:val="Heading2"/>
      </w:pPr>
      <w:r>
        <w:rPr>
          <w:color w:val="1A3D6D"/>
          <w:sz w:val="22"/>
        </w:rPr>
        <w:t>12.1 Non-comparable reference — the external 2.0324 figure</w:t>
      </w:r>
    </w:p>
    <w:p>
      <w:r>
        <w:rPr>
          <w:b/>
        </w:rPr>
        <w:t>This figure must not be placed in the table above.</w:t>
      </w:r>
      <w:r>
        <w:t xml:space="preserve"> It was produced under a different evaluation task. The approach recomputes rolling and lag features </w:t>
      </w:r>
      <w:r>
        <w:rPr>
          <w:i/>
        </w:rPr>
        <w:t>inside</w:t>
      </w:r>
      <w:r>
        <w:t xml:space="preserve"> the forecast horizon from observed sales. Measured against those feature definitions:</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Feature</w:t>
            </w:r>
          </w:p>
        </w:tc>
        <w:tc>
          <w:tcPr>
            <w:tcW w:type="dxa" w:w="4824"/>
          </w:tcPr>
          <w:p>
            <w:pPr>
              <w:spacing w:after="40"/>
            </w:pPr>
            <w:r>
              <w:rPr>
                <w:b/>
                <w:sz w:val="16"/>
              </w:rPr>
              <w:t>Horizon days that consume post-origin actuals</w:t>
            </w:r>
          </w:p>
        </w:tc>
      </w:tr>
      <w:tr>
        <w:tc>
          <w:tcPr>
            <w:tcW w:type="dxa" w:w="4824"/>
          </w:tcPr>
          <w:p>
            <w:pPr>
              <w:spacing w:after="40"/>
            </w:pPr>
            <w:r>
              <w:rPr>
                <w:rFonts w:ascii="Consolas" w:hAnsi="Consolas"/>
                <w:sz w:val="16"/>
              </w:rPr>
              <w:t>rolling_mean_7</w:t>
            </w:r>
          </w:p>
        </w:tc>
        <w:tc>
          <w:tcPr>
            <w:tcW w:type="dxa" w:w="4824"/>
          </w:tcPr>
          <w:p>
            <w:pPr>
              <w:spacing w:after="40"/>
            </w:pPr>
            <w:r>
              <w:rPr>
                <w:b/>
                <w:sz w:val="16"/>
              </w:rPr>
              <w:t>27 / 28</w:t>
            </w:r>
          </w:p>
        </w:tc>
      </w:tr>
      <w:tr>
        <w:tc>
          <w:tcPr>
            <w:tcW w:type="dxa" w:w="4824"/>
          </w:tcPr>
          <w:p>
            <w:pPr>
              <w:spacing w:after="40"/>
            </w:pPr>
            <w:r>
              <w:rPr>
                <w:rFonts w:ascii="Consolas" w:hAnsi="Consolas"/>
                <w:sz w:val="16"/>
              </w:rPr>
              <w:t>rolling_mean_28</w:t>
            </w:r>
          </w:p>
        </w:tc>
        <w:tc>
          <w:tcPr>
            <w:tcW w:type="dxa" w:w="4824"/>
          </w:tcPr>
          <w:p>
            <w:pPr>
              <w:spacing w:after="40"/>
            </w:pPr>
            <w:r>
              <w:rPr>
                <w:b/>
                <w:sz w:val="16"/>
              </w:rPr>
              <w:t>27 / 28</w:t>
            </w:r>
          </w:p>
        </w:tc>
      </w:tr>
      <w:tr>
        <w:tc>
          <w:tcPr>
            <w:tcW w:type="dxa" w:w="4824"/>
          </w:tcPr>
          <w:p>
            <w:pPr>
              <w:spacing w:after="40"/>
            </w:pPr>
            <w:r>
              <w:rPr>
                <w:rFonts w:ascii="Consolas" w:hAnsi="Consolas"/>
                <w:sz w:val="16"/>
              </w:rPr>
              <w:t>rolling_zero_count_7</w:t>
            </w:r>
          </w:p>
        </w:tc>
        <w:tc>
          <w:tcPr>
            <w:tcW w:type="dxa" w:w="4824"/>
          </w:tcPr>
          <w:p>
            <w:pPr>
              <w:spacing w:after="40"/>
            </w:pPr>
            <w:r>
              <w:rPr>
                <w:b/>
                <w:sz w:val="16"/>
              </w:rPr>
              <w:t>27 / 28</w:t>
            </w:r>
          </w:p>
        </w:tc>
      </w:tr>
      <w:tr>
        <w:tc>
          <w:tcPr>
            <w:tcW w:type="dxa" w:w="4824"/>
          </w:tcPr>
          <w:p>
            <w:pPr>
              <w:spacing w:after="40"/>
            </w:pPr>
            <w:r>
              <w:rPr>
                <w:rFonts w:ascii="Consolas" w:hAnsi="Consolas"/>
                <w:sz w:val="16"/>
              </w:rPr>
              <w:t>lag_7</w:t>
            </w:r>
          </w:p>
        </w:tc>
        <w:tc>
          <w:tcPr>
            <w:tcW w:type="dxa" w:w="4824"/>
          </w:tcPr>
          <w:p>
            <w:pPr>
              <w:spacing w:after="40"/>
            </w:pPr>
            <w:r>
              <w:rPr>
                <w:b/>
                <w:sz w:val="16"/>
              </w:rPr>
              <w:t>21 / 28</w:t>
            </w:r>
          </w:p>
        </w:tc>
      </w:tr>
      <w:tr>
        <w:tc>
          <w:tcPr>
            <w:tcW w:type="dxa" w:w="4824"/>
          </w:tcPr>
          <w:p>
            <w:pPr>
              <w:spacing w:after="40"/>
            </w:pPr>
            <w:r>
              <w:rPr>
                <w:rFonts w:ascii="Consolas" w:hAnsi="Consolas"/>
                <w:sz w:val="16"/>
              </w:rPr>
              <w:t>lag_28</w:t>
            </w:r>
          </w:p>
        </w:tc>
        <w:tc>
          <w:tcPr>
            <w:tcW w:type="dxa" w:w="4824"/>
          </w:tcPr>
          <w:p>
            <w:pPr>
              <w:spacing w:after="40"/>
            </w:pPr>
            <w:r>
              <w:rPr>
                <w:b/>
                <w:sz w:val="16"/>
              </w:rPr>
              <w:t>0 / 28</w:t>
            </w:r>
          </w:p>
        </w:tc>
      </w:tr>
    </w:tbl>
    <w:p/>
    <w:p>
      <w:r>
        <w:t xml:space="preserve">A model permitted to read the answer on 27 of 28 days is solving a problem closer to daily-refreshed nowcasting. The project quantified this directly: a deliberate leaky probe, recorded as </w:t>
      </w:r>
      <w:r>
        <w:rPr>
          <w:rFonts w:ascii="Consolas" w:hAnsi="Consolas"/>
          <w:sz w:val="17"/>
        </w:rPr>
        <w:t>diagnostic_leakage_probe_DO_NOT_USE</w:t>
      </w:r>
      <w:r>
        <w:t xml:space="preserve">, scored </w:t>
      </w:r>
      <w:r>
        <w:rPr>
          <w:b/>
        </w:rPr>
        <w:t>1.9165</w:t>
      </w:r>
      <w:r>
        <w:t xml:space="preserve"> — </w:t>
      </w:r>
      <w:r>
        <w:rPr>
          <w:i/>
        </w:rPr>
        <w:t>better</w:t>
      </w:r>
      <w:r>
        <w:t xml:space="preserve"> than the external figure — by allowing exactly this class of violation. That number is retained in the ledger as documentation and is not a valid forecasting result.</w:t>
      </w:r>
    </w:p>
    <w:p>
      <w:r>
        <w:t xml:space="preserve">The defensible like-for-like comparison is </w:t>
      </w:r>
      <w:r>
        <w:rPr>
          <w:rFonts w:ascii="Consolas" w:hAnsi="Consolas"/>
          <w:sz w:val="17"/>
        </w:rPr>
        <w:t>model_08_team_style_reproduction</w:t>
      </w:r>
      <w:r>
        <w:t xml:space="preserve">, which implements the described approach under frozen-origin rules and scores </w:t>
      </w:r>
      <w:r>
        <w:rPr>
          <w:b/>
        </w:rPr>
        <w:t>2.1835</w:t>
      </w:r>
      <w:r>
        <w:t>.</w:t>
      </w:r>
    </w:p>
    <w:p>
      <w:pPr>
        <w:pStyle w:val="Heading1"/>
      </w:pPr>
      <w:r>
        <w:rPr>
          <w:color w:val="1A3D6D"/>
          <w:sz w:val="26"/>
        </w:rPr>
        <w:t>13. Error Analysis</w:t>
      </w:r>
    </w:p>
    <w:p>
      <w:pPr>
        <w:pStyle w:val="Heading2"/>
      </w:pPr>
      <w:r>
        <w:rPr>
          <w:color w:val="1A3D6D"/>
          <w:sz w:val="22"/>
        </w:rPr>
        <w:t>13.1 The error is variance, and it is concentrated</w:t>
      </w:r>
    </w:p>
    <w:p>
      <w:r>
        <w:t xml:space="preserve">The project's error autopsy decomposed MSE on the 32-feature champion: bias² accounts for </w:t>
      </w:r>
      <w:r>
        <w:rPr>
          <w:b/>
        </w:rPr>
        <w:t>0.11%</w:t>
      </w:r>
      <w:r>
        <w:t xml:space="preserve"> of MSE and variance for the rest. There is no systematic offset to correct — which is why the per-series bias-correction experiment failed.</w:t>
      </w:r>
    </w:p>
    <w:p>
      <w:pPr>
        <w:jc w:val="center"/>
      </w:pPr>
      <w:r>
        <w:drawing>
          <wp:inline xmlns:a="http://schemas.openxmlformats.org/drawingml/2006/main" xmlns:pic="http://schemas.openxmlformats.org/drawingml/2006/picture">
            <wp:extent cx="5852160" cy="2480775"/>
            <wp:docPr id="5" name="Picture 5"/>
            <wp:cNvGraphicFramePr>
              <a:graphicFrameLocks noChangeAspect="1"/>
            </wp:cNvGraphicFramePr>
            <a:graphic>
              <a:graphicData uri="http://schemas.openxmlformats.org/drawingml/2006/picture">
                <pic:pic>
                  <pic:nvPicPr>
                    <pic:cNvPr id="0" name="fig3_error_concentration.png"/>
                    <pic:cNvPicPr/>
                  </pic:nvPicPr>
                  <pic:blipFill>
                    <a:blip r:embed="rId13"/>
                    <a:stretch>
                      <a:fillRect/>
                    </a:stretch>
                  </pic:blipFill>
                  <pic:spPr>
                    <a:xfrm>
                      <a:off x="0" y="0"/>
                      <a:ext cx="5852160" cy="2480775"/>
                    </a:xfrm>
                    <a:prstGeom prst="rect"/>
                  </pic:spPr>
                </pic:pic>
              </a:graphicData>
            </a:graphic>
          </wp:inline>
        </w:drawing>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pPr>
              <w:spacing w:after="40"/>
            </w:pPr>
            <w:r>
              <w:rPr>
                <w:b/>
                <w:sz w:val="16"/>
              </w:rPr>
              <w:t>decile</w:t>
            </w:r>
          </w:p>
        </w:tc>
        <w:tc>
          <w:tcPr>
            <w:tcW w:type="dxa" w:w="1378"/>
          </w:tcPr>
          <w:p>
            <w:pPr>
              <w:spacing w:after="40"/>
            </w:pPr>
            <w:r>
              <w:rPr>
                <w:b/>
                <w:sz w:val="16"/>
              </w:rPr>
              <w:t>n</w:t>
            </w:r>
          </w:p>
        </w:tc>
        <w:tc>
          <w:tcPr>
            <w:tcW w:type="dxa" w:w="1378"/>
          </w:tcPr>
          <w:p>
            <w:pPr>
              <w:spacing w:after="40"/>
            </w:pPr>
            <w:r>
              <w:rPr>
                <w:b/>
                <w:sz w:val="16"/>
              </w:rPr>
              <w:t>actual_mean</w:t>
            </w:r>
          </w:p>
        </w:tc>
        <w:tc>
          <w:tcPr>
            <w:tcW w:type="dxa" w:w="1378"/>
          </w:tcPr>
          <w:p>
            <w:pPr>
              <w:spacing w:after="40"/>
            </w:pPr>
            <w:r>
              <w:rPr>
                <w:b/>
                <w:sz w:val="16"/>
              </w:rPr>
              <w:t>pred_mean</w:t>
            </w:r>
          </w:p>
        </w:tc>
        <w:tc>
          <w:tcPr>
            <w:tcW w:type="dxa" w:w="1378"/>
          </w:tcPr>
          <w:p>
            <w:pPr>
              <w:spacing w:after="40"/>
            </w:pPr>
            <w:r>
              <w:rPr>
                <w:b/>
                <w:sz w:val="16"/>
              </w:rPr>
              <w:t>RMSE</w:t>
            </w:r>
          </w:p>
        </w:tc>
        <w:tc>
          <w:tcPr>
            <w:tcW w:type="dxa" w:w="1378"/>
          </w:tcPr>
          <w:p>
            <w:pPr>
              <w:spacing w:after="40"/>
            </w:pPr>
            <w:r>
              <w:rPr>
                <w:b/>
                <w:sz w:val="16"/>
              </w:rPr>
              <w:t>bias</w:t>
            </w:r>
          </w:p>
        </w:tc>
        <w:tc>
          <w:tcPr>
            <w:tcW w:type="dxa" w:w="1378"/>
          </w:tcPr>
          <w:p>
            <w:pPr>
              <w:spacing w:after="40"/>
            </w:pPr>
            <w:r>
              <w:rPr>
                <w:b/>
                <w:sz w:val="16"/>
              </w:rPr>
              <w:t>sq_err_share_pct</w:t>
            </w:r>
          </w:p>
        </w:tc>
      </w:tr>
      <w:tr>
        <w:tc>
          <w:tcPr>
            <w:tcW w:type="dxa" w:w="1378"/>
          </w:tcPr>
          <w:p>
            <w:pPr>
              <w:spacing w:after="40"/>
            </w:pPr>
            <w:r>
              <w:rPr>
                <w:sz w:val="16"/>
              </w:rPr>
              <w:t>1.0000</w:t>
            </w:r>
          </w:p>
        </w:tc>
        <w:tc>
          <w:tcPr>
            <w:tcW w:type="dxa" w:w="1378"/>
          </w:tcPr>
          <w:p>
            <w:pPr>
              <w:spacing w:after="40"/>
            </w:pPr>
            <w:r>
              <w:rPr>
                <w:sz w:val="16"/>
              </w:rPr>
              <w:t>85428.0000</w:t>
            </w:r>
          </w:p>
        </w:tc>
        <w:tc>
          <w:tcPr>
            <w:tcW w:type="dxa" w:w="1378"/>
          </w:tcPr>
          <w:p>
            <w:pPr>
              <w:spacing w:after="40"/>
            </w:pPr>
            <w:r>
              <w:rPr>
                <w:sz w:val="16"/>
              </w:rPr>
              <w:t>0.1956</w:t>
            </w:r>
          </w:p>
        </w:tc>
        <w:tc>
          <w:tcPr>
            <w:tcW w:type="dxa" w:w="1378"/>
          </w:tcPr>
          <w:p>
            <w:pPr>
              <w:spacing w:after="40"/>
            </w:pPr>
            <w:r>
              <w:rPr>
                <w:sz w:val="16"/>
              </w:rPr>
              <w:t>0.2029</w:t>
            </w:r>
          </w:p>
        </w:tc>
        <w:tc>
          <w:tcPr>
            <w:tcW w:type="dxa" w:w="1378"/>
          </w:tcPr>
          <w:p>
            <w:pPr>
              <w:spacing w:after="40"/>
            </w:pPr>
            <w:r>
              <w:rPr>
                <w:sz w:val="16"/>
              </w:rPr>
              <w:t>0.5589</w:t>
            </w:r>
          </w:p>
        </w:tc>
        <w:tc>
          <w:tcPr>
            <w:tcW w:type="dxa" w:w="1378"/>
          </w:tcPr>
          <w:p>
            <w:pPr>
              <w:spacing w:after="40"/>
            </w:pPr>
            <w:r>
              <w:rPr>
                <w:sz w:val="16"/>
              </w:rPr>
              <w:t>0.0073</w:t>
            </w:r>
          </w:p>
        </w:tc>
        <w:tc>
          <w:tcPr>
            <w:tcW w:type="dxa" w:w="1378"/>
          </w:tcPr>
          <w:p>
            <w:pPr>
              <w:spacing w:after="40"/>
            </w:pPr>
            <w:r>
              <w:rPr>
                <w:sz w:val="16"/>
              </w:rPr>
              <w:t>0.7136</w:t>
            </w:r>
          </w:p>
        </w:tc>
      </w:tr>
      <w:tr>
        <w:tc>
          <w:tcPr>
            <w:tcW w:type="dxa" w:w="1378"/>
          </w:tcPr>
          <w:p>
            <w:pPr>
              <w:spacing w:after="40"/>
            </w:pPr>
            <w:r>
              <w:rPr>
                <w:sz w:val="16"/>
              </w:rPr>
              <w:t>2.0000</w:t>
            </w:r>
          </w:p>
        </w:tc>
        <w:tc>
          <w:tcPr>
            <w:tcW w:type="dxa" w:w="1378"/>
          </w:tcPr>
          <w:p>
            <w:pPr>
              <w:spacing w:after="40"/>
            </w:pPr>
            <w:r>
              <w:rPr>
                <w:sz w:val="16"/>
              </w:rPr>
              <w:t>85400.0000</w:t>
            </w:r>
          </w:p>
        </w:tc>
        <w:tc>
          <w:tcPr>
            <w:tcW w:type="dxa" w:w="1378"/>
          </w:tcPr>
          <w:p>
            <w:pPr>
              <w:spacing w:after="40"/>
            </w:pPr>
            <w:r>
              <w:rPr>
                <w:sz w:val="16"/>
              </w:rPr>
              <w:t>0.2955</w:t>
            </w:r>
          </w:p>
        </w:tc>
        <w:tc>
          <w:tcPr>
            <w:tcW w:type="dxa" w:w="1378"/>
          </w:tcPr>
          <w:p>
            <w:pPr>
              <w:spacing w:after="40"/>
            </w:pPr>
            <w:r>
              <w:rPr>
                <w:sz w:val="16"/>
              </w:rPr>
              <w:t>0.2966</w:t>
            </w:r>
          </w:p>
        </w:tc>
        <w:tc>
          <w:tcPr>
            <w:tcW w:type="dxa" w:w="1378"/>
          </w:tcPr>
          <w:p>
            <w:pPr>
              <w:spacing w:after="40"/>
            </w:pPr>
            <w:r>
              <w:rPr>
                <w:sz w:val="16"/>
              </w:rPr>
              <w:t>0.6443</w:t>
            </w:r>
          </w:p>
        </w:tc>
        <w:tc>
          <w:tcPr>
            <w:tcW w:type="dxa" w:w="1378"/>
          </w:tcPr>
          <w:p>
            <w:pPr>
              <w:spacing w:after="40"/>
            </w:pPr>
            <w:r>
              <w:rPr>
                <w:sz w:val="16"/>
              </w:rPr>
              <w:t>0.0011</w:t>
            </w:r>
          </w:p>
        </w:tc>
        <w:tc>
          <w:tcPr>
            <w:tcW w:type="dxa" w:w="1378"/>
          </w:tcPr>
          <w:p>
            <w:pPr>
              <w:spacing w:after="40"/>
            </w:pPr>
            <w:r>
              <w:rPr>
                <w:sz w:val="16"/>
              </w:rPr>
              <w:t>0.9478</w:t>
            </w:r>
          </w:p>
        </w:tc>
      </w:tr>
      <w:tr>
        <w:tc>
          <w:tcPr>
            <w:tcW w:type="dxa" w:w="1378"/>
          </w:tcPr>
          <w:p>
            <w:pPr>
              <w:spacing w:after="40"/>
            </w:pPr>
            <w:r>
              <w:rPr>
                <w:sz w:val="16"/>
              </w:rPr>
              <w:t>3.0000</w:t>
            </w:r>
          </w:p>
        </w:tc>
        <w:tc>
          <w:tcPr>
            <w:tcW w:type="dxa" w:w="1378"/>
          </w:tcPr>
          <w:p>
            <w:pPr>
              <w:spacing w:after="40"/>
            </w:pPr>
            <w:r>
              <w:rPr>
                <w:sz w:val="16"/>
              </w:rPr>
              <w:t>85288.0000</w:t>
            </w:r>
          </w:p>
        </w:tc>
        <w:tc>
          <w:tcPr>
            <w:tcW w:type="dxa" w:w="1378"/>
          </w:tcPr>
          <w:p>
            <w:pPr>
              <w:spacing w:after="40"/>
            </w:pPr>
            <w:r>
              <w:rPr>
                <w:sz w:val="16"/>
              </w:rPr>
              <w:t>0.3952</w:t>
            </w:r>
          </w:p>
        </w:tc>
        <w:tc>
          <w:tcPr>
            <w:tcW w:type="dxa" w:w="1378"/>
          </w:tcPr>
          <w:p>
            <w:pPr>
              <w:spacing w:after="40"/>
            </w:pPr>
            <w:r>
              <w:rPr>
                <w:sz w:val="16"/>
              </w:rPr>
              <w:t>0.3976</w:t>
            </w:r>
          </w:p>
        </w:tc>
        <w:tc>
          <w:tcPr>
            <w:tcW w:type="dxa" w:w="1378"/>
          </w:tcPr>
          <w:p>
            <w:pPr>
              <w:spacing w:after="40"/>
            </w:pPr>
            <w:r>
              <w:rPr>
                <w:sz w:val="16"/>
              </w:rPr>
              <w:t>0.7633</w:t>
            </w:r>
          </w:p>
        </w:tc>
        <w:tc>
          <w:tcPr>
            <w:tcW w:type="dxa" w:w="1378"/>
          </w:tcPr>
          <w:p>
            <w:pPr>
              <w:spacing w:after="40"/>
            </w:pPr>
            <w:r>
              <w:rPr>
                <w:sz w:val="16"/>
              </w:rPr>
              <w:t>0.0024</w:t>
            </w:r>
          </w:p>
        </w:tc>
        <w:tc>
          <w:tcPr>
            <w:tcW w:type="dxa" w:w="1378"/>
          </w:tcPr>
          <w:p>
            <w:pPr>
              <w:spacing w:after="40"/>
            </w:pPr>
            <w:r>
              <w:rPr>
                <w:sz w:val="16"/>
              </w:rPr>
              <w:t>1.3288</w:t>
            </w:r>
          </w:p>
        </w:tc>
      </w:tr>
      <w:tr>
        <w:tc>
          <w:tcPr>
            <w:tcW w:type="dxa" w:w="1378"/>
          </w:tcPr>
          <w:p>
            <w:pPr>
              <w:spacing w:after="40"/>
            </w:pPr>
            <w:r>
              <w:rPr>
                <w:sz w:val="16"/>
              </w:rPr>
              <w:t>4.0000</w:t>
            </w:r>
          </w:p>
        </w:tc>
        <w:tc>
          <w:tcPr>
            <w:tcW w:type="dxa" w:w="1378"/>
          </w:tcPr>
          <w:p>
            <w:pPr>
              <w:spacing w:after="40"/>
            </w:pPr>
            <w:r>
              <w:rPr>
                <w:sz w:val="16"/>
              </w:rPr>
              <w:t>85792.0000</w:t>
            </w:r>
          </w:p>
        </w:tc>
        <w:tc>
          <w:tcPr>
            <w:tcW w:type="dxa" w:w="1378"/>
          </w:tcPr>
          <w:p>
            <w:pPr>
              <w:spacing w:after="40"/>
            </w:pPr>
            <w:r>
              <w:rPr>
                <w:sz w:val="16"/>
              </w:rPr>
              <w:t>0.5293</w:t>
            </w:r>
          </w:p>
        </w:tc>
        <w:tc>
          <w:tcPr>
            <w:tcW w:type="dxa" w:w="1378"/>
          </w:tcPr>
          <w:p>
            <w:pPr>
              <w:spacing w:after="40"/>
            </w:pPr>
            <w:r>
              <w:rPr>
                <w:sz w:val="16"/>
              </w:rPr>
              <w:t>0.5322</w:t>
            </w:r>
          </w:p>
        </w:tc>
        <w:tc>
          <w:tcPr>
            <w:tcW w:type="dxa" w:w="1378"/>
          </w:tcPr>
          <w:p>
            <w:pPr>
              <w:spacing w:after="40"/>
            </w:pPr>
            <w:r>
              <w:rPr>
                <w:sz w:val="16"/>
              </w:rPr>
              <w:t>0.9036</w:t>
            </w:r>
          </w:p>
        </w:tc>
        <w:tc>
          <w:tcPr>
            <w:tcW w:type="dxa" w:w="1378"/>
          </w:tcPr>
          <w:p>
            <w:pPr>
              <w:spacing w:after="40"/>
            </w:pPr>
            <w:r>
              <w:rPr>
                <w:sz w:val="16"/>
              </w:rPr>
              <w:t>0.0029</w:t>
            </w:r>
          </w:p>
        </w:tc>
        <w:tc>
          <w:tcPr>
            <w:tcW w:type="dxa" w:w="1378"/>
          </w:tcPr>
          <w:p>
            <w:pPr>
              <w:spacing w:after="40"/>
            </w:pPr>
            <w:r>
              <w:rPr>
                <w:sz w:val="16"/>
              </w:rPr>
              <w:t>1.8731</w:t>
            </w:r>
          </w:p>
        </w:tc>
      </w:tr>
      <w:tr>
        <w:tc>
          <w:tcPr>
            <w:tcW w:type="dxa" w:w="1378"/>
          </w:tcPr>
          <w:p>
            <w:pPr>
              <w:spacing w:after="40"/>
            </w:pPr>
            <w:r>
              <w:rPr>
                <w:sz w:val="16"/>
              </w:rPr>
              <w:t>5.0000</w:t>
            </w:r>
          </w:p>
        </w:tc>
        <w:tc>
          <w:tcPr>
            <w:tcW w:type="dxa" w:w="1378"/>
          </w:tcPr>
          <w:p>
            <w:pPr>
              <w:spacing w:after="40"/>
            </w:pPr>
            <w:r>
              <w:rPr>
                <w:sz w:val="16"/>
              </w:rPr>
              <w:t>85232.0000</w:t>
            </w:r>
          </w:p>
        </w:tc>
        <w:tc>
          <w:tcPr>
            <w:tcW w:type="dxa" w:w="1378"/>
          </w:tcPr>
          <w:p>
            <w:pPr>
              <w:spacing w:after="40"/>
            </w:pPr>
            <w:r>
              <w:rPr>
                <w:sz w:val="16"/>
              </w:rPr>
              <w:t>0.6685</w:t>
            </w:r>
          </w:p>
        </w:tc>
        <w:tc>
          <w:tcPr>
            <w:tcW w:type="dxa" w:w="1378"/>
          </w:tcPr>
          <w:p>
            <w:pPr>
              <w:spacing w:after="40"/>
            </w:pPr>
            <w:r>
              <w:rPr>
                <w:sz w:val="16"/>
              </w:rPr>
              <w:t>0.6603</w:t>
            </w:r>
          </w:p>
        </w:tc>
        <w:tc>
          <w:tcPr>
            <w:tcW w:type="dxa" w:w="1378"/>
          </w:tcPr>
          <w:p>
            <w:pPr>
              <w:spacing w:after="40"/>
            </w:pPr>
            <w:r>
              <w:rPr>
                <w:sz w:val="16"/>
              </w:rPr>
              <w:t>1.0411</w:t>
            </w:r>
          </w:p>
        </w:tc>
        <w:tc>
          <w:tcPr>
            <w:tcW w:type="dxa" w:w="1378"/>
          </w:tcPr>
          <w:p>
            <w:pPr>
              <w:spacing w:after="40"/>
            </w:pPr>
            <w:r>
              <w:rPr>
                <w:sz w:val="16"/>
              </w:rPr>
              <w:t>-0.0082</w:t>
            </w:r>
          </w:p>
        </w:tc>
        <w:tc>
          <w:tcPr>
            <w:tcW w:type="dxa" w:w="1378"/>
          </w:tcPr>
          <w:p>
            <w:pPr>
              <w:spacing w:after="40"/>
            </w:pPr>
            <w:r>
              <w:rPr>
                <w:sz w:val="16"/>
              </w:rPr>
              <w:t>2.4704</w:t>
            </w:r>
          </w:p>
        </w:tc>
      </w:tr>
      <w:tr>
        <w:tc>
          <w:tcPr>
            <w:tcW w:type="dxa" w:w="1378"/>
          </w:tcPr>
          <w:p>
            <w:pPr>
              <w:spacing w:after="40"/>
            </w:pPr>
            <w:r>
              <w:rPr>
                <w:sz w:val="16"/>
              </w:rPr>
              <w:t>6.0000</w:t>
            </w:r>
          </w:p>
        </w:tc>
        <w:tc>
          <w:tcPr>
            <w:tcW w:type="dxa" w:w="1378"/>
          </w:tcPr>
          <w:p>
            <w:pPr>
              <w:spacing w:after="40"/>
            </w:pPr>
            <w:r>
              <w:rPr>
                <w:sz w:val="16"/>
              </w:rPr>
              <w:t>85204.0000</w:t>
            </w:r>
          </w:p>
        </w:tc>
        <w:tc>
          <w:tcPr>
            <w:tcW w:type="dxa" w:w="1378"/>
          </w:tcPr>
          <w:p>
            <w:pPr>
              <w:spacing w:after="40"/>
            </w:pPr>
            <w:r>
              <w:rPr>
                <w:sz w:val="16"/>
              </w:rPr>
              <w:t>0.8454</w:t>
            </w:r>
          </w:p>
        </w:tc>
        <w:tc>
          <w:tcPr>
            <w:tcW w:type="dxa" w:w="1378"/>
          </w:tcPr>
          <w:p>
            <w:pPr>
              <w:spacing w:after="40"/>
            </w:pPr>
            <w:r>
              <w:rPr>
                <w:sz w:val="16"/>
              </w:rPr>
              <w:t>0.8447</w:t>
            </w:r>
          </w:p>
        </w:tc>
        <w:tc>
          <w:tcPr>
            <w:tcW w:type="dxa" w:w="1378"/>
          </w:tcPr>
          <w:p>
            <w:pPr>
              <w:spacing w:after="40"/>
            </w:pPr>
            <w:r>
              <w:rPr>
                <w:sz w:val="16"/>
              </w:rPr>
              <w:t>1.1965</w:t>
            </w:r>
          </w:p>
        </w:tc>
        <w:tc>
          <w:tcPr>
            <w:tcW w:type="dxa" w:w="1378"/>
          </w:tcPr>
          <w:p>
            <w:pPr>
              <w:spacing w:after="40"/>
            </w:pPr>
            <w:r>
              <w:rPr>
                <w:sz w:val="16"/>
              </w:rPr>
              <w:t>-0.0007</w:t>
            </w:r>
          </w:p>
        </w:tc>
        <w:tc>
          <w:tcPr>
            <w:tcW w:type="dxa" w:w="1378"/>
          </w:tcPr>
          <w:p>
            <w:pPr>
              <w:spacing w:after="40"/>
            </w:pPr>
            <w:r>
              <w:rPr>
                <w:sz w:val="16"/>
              </w:rPr>
              <w:t>3.2615</w:t>
            </w:r>
          </w:p>
        </w:tc>
      </w:tr>
      <w:tr>
        <w:tc>
          <w:tcPr>
            <w:tcW w:type="dxa" w:w="1378"/>
          </w:tcPr>
          <w:p>
            <w:pPr>
              <w:spacing w:after="40"/>
            </w:pPr>
            <w:r>
              <w:rPr>
                <w:sz w:val="16"/>
              </w:rPr>
              <w:t>7.0000</w:t>
            </w:r>
          </w:p>
        </w:tc>
        <w:tc>
          <w:tcPr>
            <w:tcW w:type="dxa" w:w="1378"/>
          </w:tcPr>
          <w:p>
            <w:pPr>
              <w:spacing w:after="40"/>
            </w:pPr>
            <w:r>
              <w:rPr>
                <w:sz w:val="16"/>
              </w:rPr>
              <w:t>85428.0000</w:t>
            </w:r>
          </w:p>
        </w:tc>
        <w:tc>
          <w:tcPr>
            <w:tcW w:type="dxa" w:w="1378"/>
          </w:tcPr>
          <w:p>
            <w:pPr>
              <w:spacing w:after="40"/>
            </w:pPr>
            <w:r>
              <w:rPr>
                <w:sz w:val="16"/>
              </w:rPr>
              <w:t>1.0739</w:t>
            </w:r>
          </w:p>
        </w:tc>
        <w:tc>
          <w:tcPr>
            <w:tcW w:type="dxa" w:w="1378"/>
          </w:tcPr>
          <w:p>
            <w:pPr>
              <w:spacing w:after="40"/>
            </w:pPr>
            <w:r>
              <w:rPr>
                <w:sz w:val="16"/>
              </w:rPr>
              <w:t>1.0863</w:t>
            </w:r>
          </w:p>
        </w:tc>
        <w:tc>
          <w:tcPr>
            <w:tcW w:type="dxa" w:w="1378"/>
          </w:tcPr>
          <w:p>
            <w:pPr>
              <w:spacing w:after="40"/>
            </w:pPr>
            <w:r>
              <w:rPr>
                <w:sz w:val="16"/>
              </w:rPr>
              <w:t>1.3655</w:t>
            </w:r>
          </w:p>
        </w:tc>
        <w:tc>
          <w:tcPr>
            <w:tcW w:type="dxa" w:w="1378"/>
          </w:tcPr>
          <w:p>
            <w:pPr>
              <w:spacing w:after="40"/>
            </w:pPr>
            <w:r>
              <w:rPr>
                <w:sz w:val="16"/>
              </w:rPr>
              <w:t>0.0123</w:t>
            </w:r>
          </w:p>
        </w:tc>
        <w:tc>
          <w:tcPr>
            <w:tcW w:type="dxa" w:w="1378"/>
          </w:tcPr>
          <w:p>
            <w:pPr>
              <w:spacing w:after="40"/>
            </w:pPr>
            <w:r>
              <w:rPr>
                <w:sz w:val="16"/>
              </w:rPr>
              <w:t>4.2592</w:t>
            </w:r>
          </w:p>
        </w:tc>
      </w:tr>
      <w:tr>
        <w:tc>
          <w:tcPr>
            <w:tcW w:type="dxa" w:w="1378"/>
          </w:tcPr>
          <w:p>
            <w:pPr>
              <w:spacing w:after="40"/>
            </w:pPr>
            <w:r>
              <w:rPr>
                <w:sz w:val="16"/>
              </w:rPr>
              <w:t>8.0000</w:t>
            </w:r>
          </w:p>
        </w:tc>
        <w:tc>
          <w:tcPr>
            <w:tcW w:type="dxa" w:w="1378"/>
          </w:tcPr>
          <w:p>
            <w:pPr>
              <w:spacing w:after="40"/>
            </w:pPr>
            <w:r>
              <w:rPr>
                <w:sz w:val="16"/>
              </w:rPr>
              <w:t>85204.0000</w:t>
            </w:r>
          </w:p>
        </w:tc>
        <w:tc>
          <w:tcPr>
            <w:tcW w:type="dxa" w:w="1378"/>
          </w:tcPr>
          <w:p>
            <w:pPr>
              <w:spacing w:after="40"/>
            </w:pPr>
            <w:r>
              <w:rPr>
                <w:sz w:val="16"/>
              </w:rPr>
              <w:t>1.5055</w:t>
            </w:r>
          </w:p>
        </w:tc>
        <w:tc>
          <w:tcPr>
            <w:tcW w:type="dxa" w:w="1378"/>
          </w:tcPr>
          <w:p>
            <w:pPr>
              <w:spacing w:after="40"/>
            </w:pPr>
            <w:r>
              <w:rPr>
                <w:sz w:val="16"/>
              </w:rPr>
              <w:t>1.4757</w:t>
            </w:r>
          </w:p>
        </w:tc>
        <w:tc>
          <w:tcPr>
            <w:tcW w:type="dxa" w:w="1378"/>
          </w:tcPr>
          <w:p>
            <w:pPr>
              <w:spacing w:after="40"/>
            </w:pPr>
            <w:r>
              <w:rPr>
                <w:sz w:val="16"/>
              </w:rPr>
              <w:t>1.7448</w:t>
            </w:r>
          </w:p>
        </w:tc>
        <w:tc>
          <w:tcPr>
            <w:tcW w:type="dxa" w:w="1378"/>
          </w:tcPr>
          <w:p>
            <w:pPr>
              <w:spacing w:after="40"/>
            </w:pPr>
            <w:r>
              <w:rPr>
                <w:sz w:val="16"/>
              </w:rPr>
              <w:t>-0.0298</w:t>
            </w:r>
          </w:p>
        </w:tc>
        <w:tc>
          <w:tcPr>
            <w:tcW w:type="dxa" w:w="1378"/>
          </w:tcPr>
          <w:p>
            <w:pPr>
              <w:spacing w:after="40"/>
            </w:pPr>
            <w:r>
              <w:rPr>
                <w:sz w:val="16"/>
              </w:rPr>
              <w:t>6.9363</w:t>
            </w:r>
          </w:p>
        </w:tc>
      </w:tr>
      <w:tr>
        <w:tc>
          <w:tcPr>
            <w:tcW w:type="dxa" w:w="1378"/>
          </w:tcPr>
          <w:p>
            <w:pPr>
              <w:spacing w:after="40"/>
            </w:pPr>
            <w:r>
              <w:rPr>
                <w:sz w:val="16"/>
              </w:rPr>
              <w:t>9.0000</w:t>
            </w:r>
          </w:p>
        </w:tc>
        <w:tc>
          <w:tcPr>
            <w:tcW w:type="dxa" w:w="1378"/>
          </w:tcPr>
          <w:p>
            <w:pPr>
              <w:spacing w:after="40"/>
            </w:pPr>
            <w:r>
              <w:rPr>
                <w:sz w:val="16"/>
              </w:rPr>
              <w:t>85400.0000</w:t>
            </w:r>
          </w:p>
        </w:tc>
        <w:tc>
          <w:tcPr>
            <w:tcW w:type="dxa" w:w="1378"/>
          </w:tcPr>
          <w:p>
            <w:pPr>
              <w:spacing w:after="40"/>
            </w:pPr>
            <w:r>
              <w:rPr>
                <w:sz w:val="16"/>
              </w:rPr>
              <w:t>2.3022</w:t>
            </w:r>
          </w:p>
        </w:tc>
        <w:tc>
          <w:tcPr>
            <w:tcW w:type="dxa" w:w="1378"/>
          </w:tcPr>
          <w:p>
            <w:pPr>
              <w:spacing w:after="40"/>
            </w:pPr>
            <w:r>
              <w:rPr>
                <w:sz w:val="16"/>
              </w:rPr>
              <w:t>2.2758</w:t>
            </w:r>
          </w:p>
        </w:tc>
        <w:tc>
          <w:tcPr>
            <w:tcW w:type="dxa" w:w="1378"/>
          </w:tcPr>
          <w:p>
            <w:pPr>
              <w:spacing w:after="40"/>
            </w:pPr>
            <w:r>
              <w:rPr>
                <w:sz w:val="16"/>
              </w:rPr>
              <w:t>2.3161</w:t>
            </w:r>
          </w:p>
        </w:tc>
        <w:tc>
          <w:tcPr>
            <w:tcW w:type="dxa" w:w="1378"/>
          </w:tcPr>
          <w:p>
            <w:pPr>
              <w:spacing w:after="40"/>
            </w:pPr>
            <w:r>
              <w:rPr>
                <w:sz w:val="16"/>
              </w:rPr>
              <w:t>-0.0264</w:t>
            </w:r>
          </w:p>
        </w:tc>
        <w:tc>
          <w:tcPr>
            <w:tcW w:type="dxa" w:w="1378"/>
          </w:tcPr>
          <w:p>
            <w:pPr>
              <w:spacing w:after="40"/>
            </w:pPr>
            <w:r>
              <w:rPr>
                <w:sz w:val="16"/>
              </w:rPr>
              <w:t>12.2507</w:t>
            </w:r>
          </w:p>
        </w:tc>
      </w:tr>
      <w:tr>
        <w:tc>
          <w:tcPr>
            <w:tcW w:type="dxa" w:w="1378"/>
          </w:tcPr>
          <w:p>
            <w:pPr>
              <w:spacing w:after="40"/>
            </w:pPr>
            <w:r>
              <w:rPr>
                <w:sz w:val="16"/>
              </w:rPr>
              <w:t>10.0000</w:t>
            </w:r>
          </w:p>
        </w:tc>
        <w:tc>
          <w:tcPr>
            <w:tcW w:type="dxa" w:w="1378"/>
          </w:tcPr>
          <w:p>
            <w:pPr>
              <w:spacing w:after="40"/>
            </w:pPr>
            <w:r>
              <w:rPr>
                <w:sz w:val="16"/>
              </w:rPr>
              <w:t>85344.0000</w:t>
            </w:r>
          </w:p>
        </w:tc>
        <w:tc>
          <w:tcPr>
            <w:tcW w:type="dxa" w:w="1378"/>
          </w:tcPr>
          <w:p>
            <w:pPr>
              <w:spacing w:after="40"/>
            </w:pPr>
            <w:r>
              <w:rPr>
                <w:sz w:val="16"/>
              </w:rPr>
              <w:t>6.6211</w:t>
            </w:r>
          </w:p>
        </w:tc>
        <w:tc>
          <w:tcPr>
            <w:tcW w:type="dxa" w:w="1378"/>
          </w:tcPr>
          <w:p>
            <w:pPr>
              <w:spacing w:after="40"/>
            </w:pPr>
            <w:r>
              <w:rPr>
                <w:sz w:val="16"/>
              </w:rPr>
              <w:t>6.4360</w:t>
            </w:r>
          </w:p>
        </w:tc>
        <w:tc>
          <w:tcPr>
            <w:tcW w:type="dxa" w:w="1378"/>
          </w:tcPr>
          <w:p>
            <w:pPr>
              <w:spacing w:after="40"/>
            </w:pPr>
            <w:r>
              <w:rPr>
                <w:sz w:val="16"/>
              </w:rPr>
              <w:t>5.3760</w:t>
            </w:r>
          </w:p>
        </w:tc>
        <w:tc>
          <w:tcPr>
            <w:tcW w:type="dxa" w:w="1378"/>
          </w:tcPr>
          <w:p>
            <w:pPr>
              <w:spacing w:after="40"/>
            </w:pPr>
            <w:r>
              <w:rPr>
                <w:sz w:val="16"/>
              </w:rPr>
              <w:t>-0.1850</w:t>
            </w:r>
          </w:p>
        </w:tc>
        <w:tc>
          <w:tcPr>
            <w:tcW w:type="dxa" w:w="1378"/>
          </w:tcPr>
          <w:p>
            <w:pPr>
              <w:spacing w:after="40"/>
            </w:pPr>
            <w:r>
              <w:rPr>
                <w:sz w:val="16"/>
              </w:rPr>
              <w:t>65.9585</w:t>
            </w:r>
          </w:p>
        </w:tc>
      </w:tr>
    </w:tbl>
    <w:p/>
    <w:p>
      <w:r>
        <w:t xml:space="preserve">The top volume decile carries </w:t>
      </w:r>
      <w:r>
        <w:rPr>
          <w:b/>
        </w:rPr>
        <w:t>66.0%</w:t>
      </w:r>
      <w:r>
        <w:t xml:space="preserve"> of all squared error while being 10% of rows, and it under-forecasts by -0.185 units/day. Deciles 9–10 together account for 78.2%.</w:t>
      </w:r>
    </w:p>
    <w:p>
      <w:pPr>
        <w:pStyle w:val="Heading2"/>
      </w:pPr>
      <w:r>
        <w:rPr>
          <w:color w:val="1A3D6D"/>
          <w:sz w:val="22"/>
        </w:rPr>
        <w:t>13.2 Direction of error</w:t>
      </w:r>
    </w:p>
    <w:p>
      <w:r>
        <w:t>33.43% of rows are under-forecast, but they contribute 72.46% of squared error; the mean shortfall when under (1.6487) is more than double the mean excess when over (0.7222). The model misses spikes. This is intrinsic: without promotion or inventory data, a demand spike is largely unpredictable from sales history alone.</w:t>
      </w:r>
    </w:p>
    <w:p>
      <w:pPr>
        <w:jc w:val="center"/>
      </w:pPr>
      <w:r>
        <w:drawing>
          <wp:inline xmlns:a="http://schemas.openxmlformats.org/drawingml/2006/main" xmlns:pic="http://schemas.openxmlformats.org/drawingml/2006/picture">
            <wp:extent cx="5852160" cy="2474561"/>
            <wp:docPr id="6" name="Picture 6"/>
            <wp:cNvGraphicFramePr>
              <a:graphicFrameLocks noChangeAspect="1"/>
            </wp:cNvGraphicFramePr>
            <a:graphic>
              <a:graphicData uri="http://schemas.openxmlformats.org/drawingml/2006/picture">
                <pic:pic>
                  <pic:nvPicPr>
                    <pic:cNvPr id="0" name="fig8_calibration_residuals.png"/>
                    <pic:cNvPicPr/>
                  </pic:nvPicPr>
                  <pic:blipFill>
                    <a:blip r:embed="rId14"/>
                    <a:stretch>
                      <a:fillRect/>
                    </a:stretch>
                  </pic:blipFill>
                  <pic:spPr>
                    <a:xfrm>
                      <a:off x="0" y="0"/>
                      <a:ext cx="5852160" cy="2474561"/>
                    </a:xfrm>
                    <a:prstGeom prst="rect"/>
                  </pic:spPr>
                </pic:pic>
              </a:graphicData>
            </a:graphic>
          </wp:inline>
        </w:drawing>
      </w:r>
    </w:p>
    <w:p>
      <w:r>
        <w:rPr>
          <w:i/>
          <w:color w:val="555550"/>
          <w:sz w:val="17"/>
        </w:rPr>
        <w:t>Left: mean actual against mean predicted over 20 prediction bins. Right: residual histogram, log count, clipped to ±8 units for display — the bars at the extremes are the clipped tails, not modes.</w:t>
      </w:r>
    </w:p>
    <w:p>
      <w:r>
        <w:t xml:space="preserve">The calibration panel is an important positive finding the project never reported: binned mean predictions track actuals along the identity line across the full range, and overall bias is only -0.0224 units/day. The model's </w:t>
      </w:r>
      <w:r>
        <w:rPr>
          <w:i/>
        </w:rPr>
        <w:t>conditional mean</w:t>
      </w:r>
      <w:r>
        <w:t xml:space="preserve"> is well calibrated; what remains is dispersion. This independently corroborates the autopsy's variance decomposition and explains why every recalibration experiment in the project failed — there is almost no systematic offset available to correct.</w:t>
      </w:r>
    </w:p>
    <w:p>
      <w:pPr>
        <w:pStyle w:val="Heading2"/>
      </w:pPr>
      <w:r>
        <w:rPr>
          <w:color w:val="1A3D6D"/>
          <w:sz w:val="22"/>
        </w:rPr>
        <w:t>13.3 Horizon behaviour</w:t>
      </w:r>
    </w:p>
    <w:p>
      <w:pPr>
        <w:jc w:val="center"/>
      </w:pPr>
      <w:r>
        <w:drawing>
          <wp:inline xmlns:a="http://schemas.openxmlformats.org/drawingml/2006/main" xmlns:pic="http://schemas.openxmlformats.org/drawingml/2006/picture">
            <wp:extent cx="5852160" cy="3162390"/>
            <wp:docPr id="7" name="Picture 7"/>
            <wp:cNvGraphicFramePr>
              <a:graphicFrameLocks noChangeAspect="1"/>
            </wp:cNvGraphicFramePr>
            <a:graphic>
              <a:graphicData uri="http://schemas.openxmlformats.org/drawingml/2006/picture">
                <pic:pic>
                  <pic:nvPicPr>
                    <pic:cNvPr id="0" name="fig4_horizon_rmse.png"/>
                    <pic:cNvPicPr/>
                  </pic:nvPicPr>
                  <pic:blipFill>
                    <a:blip r:embed="rId15"/>
                    <a:stretch>
                      <a:fillRect/>
                    </a:stretch>
                  </pic:blipFill>
                  <pic:spPr>
                    <a:xfrm>
                      <a:off x="0" y="0"/>
                      <a:ext cx="5852160" cy="3162390"/>
                    </a:xfrm>
                    <a:prstGeom prst="rect"/>
                  </pic:spPr>
                </pic:pic>
              </a:graphicData>
            </a:graphic>
          </wp:inline>
        </w:drawing>
      </w:r>
    </w:p>
    <w:p>
      <w:r>
        <w:t xml:space="preserve">Error grows with horizon but non-monotonically — the oscillation is the weekly cycle, not instability. Notably the recursive member is </w:t>
      </w:r>
      <w:r>
        <w:rPr>
          <w:i/>
        </w:rPr>
        <w:t>better</w:t>
      </w:r>
      <w:r>
        <w:t xml:space="preserve"> than the direct member at short horizons, where its freshly-derived lags still carry signal, and worse at long ones where its own errors have compounded. The blend tracks the lower envelope for most of the horizon, which is the mechanism of the gain made visible.</w:t>
      </w:r>
    </w:p>
    <w:p>
      <w:pPr>
        <w:pStyle w:val="Heading2"/>
      </w:pPr>
      <w:r>
        <w:rPr>
          <w:color w:val="1A3D6D"/>
          <w:sz w:val="22"/>
        </w:rPr>
        <w:t>13.4 Headroom analysis</w:t>
      </w:r>
    </w:p>
    <w:p>
      <w:r>
        <w:t xml:space="preserve">Oracle bounds computed on the champion's residuals — each is the best </w:t>
      </w:r>
      <w:r>
        <w:rPr>
          <w:i/>
        </w:rPr>
        <w:t>possible</w:t>
      </w:r>
      <w:r>
        <w:t xml:space="preserve"> gain from that form of correction, with the answers visible:</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Correction, given the answers</w:t>
            </w:r>
          </w:p>
        </w:tc>
        <w:tc>
          <w:tcPr>
            <w:tcW w:type="dxa" w:w="4824"/>
          </w:tcPr>
          <w:p>
            <w:pPr>
              <w:spacing w:after="40"/>
            </w:pPr>
            <w:r>
              <w:rPr>
                <w:b/>
                <w:sz w:val="16"/>
              </w:rPr>
              <w:t>Best possible ΔRMSE</w:t>
            </w:r>
          </w:p>
        </w:tc>
      </w:tr>
      <w:tr>
        <w:tc>
          <w:tcPr>
            <w:tcW w:type="dxa" w:w="4824"/>
          </w:tcPr>
          <w:p>
            <w:pPr>
              <w:spacing w:after="40"/>
            </w:pPr>
            <w:r>
              <w:rPr>
                <w:sz w:val="16"/>
              </w:rPr>
              <w:t>Single global multiplier</w:t>
            </w:r>
          </w:p>
        </w:tc>
        <w:tc>
          <w:tcPr>
            <w:tcW w:type="dxa" w:w="4824"/>
          </w:tcPr>
          <w:p>
            <w:pPr>
              <w:spacing w:after="40"/>
            </w:pPr>
            <w:r>
              <w:rPr>
                <w:sz w:val="16"/>
              </w:rPr>
              <w:t>-0.0016</w:t>
            </w:r>
          </w:p>
        </w:tc>
      </w:tr>
      <w:tr>
        <w:tc>
          <w:tcPr>
            <w:tcW w:type="dxa" w:w="4824"/>
          </w:tcPr>
          <w:p>
            <w:pPr>
              <w:spacing w:after="40"/>
            </w:pPr>
            <w:r>
              <w:rPr>
                <w:sz w:val="16"/>
              </w:rPr>
              <w:t>Per volume decile</w:t>
            </w:r>
          </w:p>
        </w:tc>
        <w:tc>
          <w:tcPr>
            <w:tcW w:type="dxa" w:w="4824"/>
          </w:tcPr>
          <w:p>
            <w:pPr>
              <w:spacing w:after="40"/>
            </w:pPr>
            <w:r>
              <w:rPr>
                <w:sz w:val="16"/>
              </w:rPr>
              <w:t>-0.0019</w:t>
            </w:r>
          </w:p>
        </w:tc>
      </w:tr>
      <w:tr>
        <w:tc>
          <w:tcPr>
            <w:tcW w:type="dxa" w:w="4824"/>
          </w:tcPr>
          <w:p>
            <w:pPr>
              <w:spacing w:after="40"/>
            </w:pPr>
            <w:r>
              <w:rPr>
                <w:sz w:val="16"/>
              </w:rPr>
              <w:t>Per category</w:t>
            </w:r>
          </w:p>
        </w:tc>
        <w:tc>
          <w:tcPr>
            <w:tcW w:type="dxa" w:w="4824"/>
          </w:tcPr>
          <w:p>
            <w:pPr>
              <w:spacing w:after="40"/>
            </w:pPr>
            <w:r>
              <w:rPr>
                <w:sz w:val="16"/>
              </w:rPr>
              <w:t>-0.0025</w:t>
            </w:r>
          </w:p>
        </w:tc>
      </w:tr>
      <w:tr>
        <w:tc>
          <w:tcPr>
            <w:tcW w:type="dxa" w:w="4824"/>
          </w:tcPr>
          <w:p>
            <w:pPr>
              <w:spacing w:after="40"/>
            </w:pPr>
            <w:r>
              <w:rPr>
                <w:sz w:val="16"/>
              </w:rPr>
              <w:t>Per store × category</w:t>
            </w:r>
          </w:p>
        </w:tc>
        <w:tc>
          <w:tcPr>
            <w:tcW w:type="dxa" w:w="4824"/>
          </w:tcPr>
          <w:p>
            <w:pPr>
              <w:spacing w:after="40"/>
            </w:pPr>
            <w:r>
              <w:rPr>
                <w:sz w:val="16"/>
              </w:rPr>
              <w:t>-0.0071</w:t>
            </w:r>
          </w:p>
        </w:tc>
      </w:tr>
      <w:tr>
        <w:tc>
          <w:tcPr>
            <w:tcW w:type="dxa" w:w="4824"/>
          </w:tcPr>
          <w:p>
            <w:pPr>
              <w:spacing w:after="40"/>
            </w:pPr>
            <w:r>
              <w:rPr>
                <w:sz w:val="16"/>
              </w:rPr>
              <w:t>Per horizon</w:t>
            </w:r>
          </w:p>
        </w:tc>
        <w:tc>
          <w:tcPr>
            <w:tcW w:type="dxa" w:w="4824"/>
          </w:tcPr>
          <w:p>
            <w:pPr>
              <w:spacing w:after="40"/>
            </w:pPr>
            <w:r>
              <w:rPr>
                <w:sz w:val="16"/>
              </w:rPr>
              <w:t>-0.0081</w:t>
            </w:r>
          </w:p>
        </w:tc>
      </w:tr>
      <w:tr>
        <w:tc>
          <w:tcPr>
            <w:tcW w:type="dxa" w:w="4824"/>
          </w:tcPr>
          <w:p>
            <w:pPr>
              <w:spacing w:after="40"/>
            </w:pPr>
            <w:r>
              <w:rPr>
                <w:b/>
                <w:sz w:val="16"/>
              </w:rPr>
              <w:t>Per series</w:t>
            </w:r>
          </w:p>
        </w:tc>
        <w:tc>
          <w:tcPr>
            <w:tcW w:type="dxa" w:w="4824"/>
          </w:tcPr>
          <w:p>
            <w:pPr>
              <w:spacing w:after="40"/>
            </w:pPr>
            <w:r>
              <w:rPr>
                <w:b/>
                <w:sz w:val="16"/>
              </w:rPr>
              <w:t>-0.2388</w:t>
            </w:r>
          </w:p>
        </w:tc>
      </w:tr>
    </w:tbl>
    <w:p/>
    <w:p>
      <w:r>
        <w:t xml:space="preserve">The per-series bound is large, and it is the reason the shape features were worth trying. But Exp. #69 showed that per-series corrections estimated from a pre-origin window do </w:t>
      </w:r>
      <w:r>
        <w:rPr>
          <w:b/>
        </w:rPr>
        <w:t>not</w:t>
      </w:r>
      <w:r>
        <w:t xml:space="preserve"> transfer, and the diagnostic showed only ~10% of the weekday-oracle gap is recoverable from history. Every coarse segmentation is bounded below 0.008 — which is why the project stopped pursuing specialisation and turned to ensembling.</w:t>
      </w:r>
    </w:p>
    <w:p>
      <w:pPr>
        <w:pStyle w:val="Heading1"/>
      </w:pPr>
      <w:r>
        <w:rPr>
          <w:color w:val="1A3D6D"/>
          <w:sz w:val="26"/>
        </w:rPr>
        <w:t>14. Leakage and Integrity Audit</w:t>
      </w:r>
    </w:p>
    <w:p>
      <w:pPr>
        <w:pStyle w:val="Heading2"/>
      </w:pPr>
      <w:r>
        <w:rPr>
          <w:color w:val="1A3D6D"/>
          <w:sz w:val="22"/>
        </w:rPr>
        <w:t>14.1 Corruption test (run independently by this audit)</w:t>
      </w:r>
    </w:p>
    <w:p>
      <w:r>
        <w:t xml:space="preserve">Method: build the feature frame at </w:t>
      </w:r>
      <w:r>
        <w:rPr>
          <w:rFonts w:ascii="Consolas" w:hAnsi="Consolas"/>
          <w:sz w:val="17"/>
        </w:rPr>
        <w:t>d_1913</w:t>
      </w:r>
      <w:r>
        <w:t xml:space="preserve">; overwrite </w:t>
      </w:r>
      <w:r>
        <w:rPr>
          <w:b/>
        </w:rPr>
        <w:t>every</w:t>
      </w:r>
      <w:r>
        <w:t xml:space="preserve"> day after the origin with 9999; rebuild; compare bit-for-bit.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Test</w:t>
            </w:r>
          </w:p>
        </w:tc>
        <w:tc>
          <w:tcPr>
            <w:tcW w:type="dxa" w:w="3216"/>
          </w:tcPr>
          <w:p>
            <w:pPr>
              <w:spacing w:after="40"/>
            </w:pPr>
            <w:r>
              <w:rPr>
                <w:b/>
                <w:sz w:val="16"/>
              </w:rPr>
              <w:t>Expectation</w:t>
            </w:r>
          </w:p>
        </w:tc>
        <w:tc>
          <w:tcPr>
            <w:tcW w:type="dxa" w:w="3216"/>
          </w:tcPr>
          <w:p>
            <w:pPr>
              <w:spacing w:after="40"/>
            </w:pPr>
            <w:r>
              <w:rPr>
                <w:b/>
                <w:sz w:val="16"/>
              </w:rPr>
              <w:t>Result</w:t>
            </w:r>
          </w:p>
        </w:tc>
      </w:tr>
      <w:tr>
        <w:tc>
          <w:tcPr>
            <w:tcW w:type="dxa" w:w="3216"/>
          </w:tcPr>
          <w:p>
            <w:pPr>
              <w:spacing w:after="40"/>
            </w:pPr>
            <w:r>
              <w:rPr>
                <w:sz w:val="16"/>
              </w:rPr>
              <w:t xml:space="preserve">Future </w:t>
            </w:r>
            <w:r>
              <w:rPr>
                <w:b/>
                <w:sz w:val="16"/>
              </w:rPr>
              <w:t>sales</w:t>
            </w:r>
            <w:r>
              <w:rPr>
                <w:sz w:val="16"/>
              </w:rPr>
              <w:t xml:space="preserve"> corrupted</w:t>
            </w:r>
          </w:p>
        </w:tc>
        <w:tc>
          <w:tcPr>
            <w:tcW w:type="dxa" w:w="3216"/>
          </w:tcPr>
          <w:p>
            <w:pPr>
              <w:spacing w:after="40"/>
            </w:pPr>
            <w:r>
              <w:rPr>
                <w:sz w:val="16"/>
              </w:rPr>
              <w:t>no feature changes</w:t>
            </w:r>
          </w:p>
        </w:tc>
        <w:tc>
          <w:tcPr>
            <w:tcW w:type="dxa" w:w="3216"/>
          </w:tcPr>
          <w:p>
            <w:pPr>
              <w:spacing w:after="40"/>
            </w:pPr>
            <w:r>
              <w:rPr>
                <w:b/>
                <w:sz w:val="16"/>
              </w:rPr>
              <w:t>0 of 38 changed → PASS</w:t>
            </w:r>
          </w:p>
        </w:tc>
      </w:tr>
      <w:tr>
        <w:tc>
          <w:tcPr>
            <w:tcW w:type="dxa" w:w="3216"/>
          </w:tcPr>
          <w:p>
            <w:pPr>
              <w:spacing w:after="40"/>
            </w:pPr>
            <w:r>
              <w:rPr>
                <w:sz w:val="16"/>
              </w:rPr>
              <w:t xml:space="preserve">Future </w:t>
            </w:r>
            <w:r>
              <w:rPr>
                <w:b/>
                <w:sz w:val="16"/>
              </w:rPr>
              <w:t>prices</w:t>
            </w:r>
            <w:r>
              <w:rPr>
                <w:sz w:val="16"/>
              </w:rPr>
              <w:t xml:space="preserve"> corrupted</w:t>
            </w:r>
          </w:p>
        </w:tc>
        <w:tc>
          <w:tcPr>
            <w:tcW w:type="dxa" w:w="3216"/>
          </w:tcPr>
          <w:p>
            <w:pPr>
              <w:spacing w:after="40"/>
            </w:pPr>
            <w:r>
              <w:rPr>
                <w:sz w:val="16"/>
              </w:rPr>
              <w:t xml:space="preserve">price features </w:t>
            </w:r>
            <w:r>
              <w:rPr>
                <w:i/>
                <w:sz w:val="16"/>
              </w:rPr>
              <w:t>should</w:t>
            </w:r>
            <w:r>
              <w:rPr>
                <w:sz w:val="16"/>
              </w:rPr>
              <w:t xml:space="preserve"> change</w:t>
            </w:r>
          </w:p>
        </w:tc>
        <w:tc>
          <w:tcPr>
            <w:tcW w:type="dxa" w:w="3216"/>
          </w:tcPr>
          <w:p>
            <w:pPr>
              <w:spacing w:after="40"/>
            </w:pPr>
            <w:r>
              <w:rPr>
                <w:rFonts w:ascii="Consolas" w:hAnsi="Consolas"/>
                <w:sz w:val="16"/>
              </w:rPr>
              <w:t>sell_price</w:t>
            </w:r>
            <w:r>
              <w:rPr>
                <w:sz w:val="16"/>
              </w:rPr>
              <w:t xml:space="preserve">, </w:t>
            </w:r>
            <w:r>
              <w:rPr>
                <w:rFonts w:ascii="Consolas" w:hAnsi="Consolas"/>
                <w:sz w:val="16"/>
              </w:rPr>
              <w:t>recent_avg_price</w:t>
            </w:r>
            <w:r>
              <w:rPr>
                <w:sz w:val="16"/>
              </w:rPr>
              <w:t xml:space="preserve">, </w:t>
            </w:r>
            <w:r>
              <w:rPr>
                <w:rFonts w:ascii="Consolas" w:hAnsi="Consolas"/>
                <w:sz w:val="16"/>
              </w:rPr>
              <w:t>price_rel_to_recent_avg</w:t>
            </w:r>
            <w:r>
              <w:rPr>
                <w:sz w:val="16"/>
              </w:rPr>
              <w:t xml:space="preserve"> → </w:t>
            </w:r>
            <w:r>
              <w:rPr>
                <w:b/>
                <w:sz w:val="16"/>
              </w:rPr>
              <w:t>PASS</w:t>
            </w:r>
          </w:p>
        </w:tc>
      </w:tr>
    </w:tbl>
    <w:p/>
    <w:p>
      <w:r>
        <w:t>The mirror test matters as much as the first. If corrupting future prices changed nothing, the pipeline would be failing to use information it is entitled to use.</w:t>
      </w:r>
    </w:p>
    <w:p>
      <w:pPr>
        <w:pStyle w:val="Heading2"/>
      </w:pPr>
      <w:r>
        <w:rPr>
          <w:color w:val="1A3D6D"/>
          <w:sz w:val="22"/>
        </w:rPr>
        <w:t>14.2 Recursive member</w:t>
      </w:r>
    </w:p>
    <w:p>
      <w:r>
        <w:t xml:space="preserve">Structural, not statistical: the working matrix is rebuilt as real history up to </w:t>
      </w:r>
      <w:r>
        <w:rPr>
          <w:i/>
        </w:rPr>
        <w:t>T</w:t>
      </w:r>
      <w:r>
        <w:t xml:space="preserve">, zeros thereafter, then overwritten only by the model's own output. Verified per window — </w:t>
      </w:r>
      <w:r>
        <w:rPr>
          <w:rFonts w:ascii="Consolas" w:hAnsi="Consolas"/>
          <w:sz w:val="17"/>
        </w:rPr>
        <w:t>future_matrix_equals_real_sales = False</w:t>
      </w:r>
      <w:r>
        <w:t xml:space="preserve"> (must be False), </w:t>
      </w:r>
      <w:r>
        <w:rPr>
          <w:rFonts w:ascii="Consolas" w:hAnsi="Consolas"/>
          <w:sz w:val="17"/>
        </w:rPr>
        <w:t>pre_origin_history_intact = True</w:t>
      </w:r>
      <w:r>
        <w:t xml:space="preserve"> (must be True).</w:t>
      </w:r>
    </w:p>
    <w:p>
      <w:pPr>
        <w:pStyle w:val="Heading2"/>
      </w:pPr>
      <w:r>
        <w:rPr>
          <w:color w:val="1A3D6D"/>
          <w:sz w:val="22"/>
        </w:rPr>
        <w:t>14.3 Boundary and selection checks</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Check</w:t>
            </w:r>
          </w:p>
        </w:tc>
        <w:tc>
          <w:tcPr>
            <w:tcW w:type="dxa" w:w="4824"/>
          </w:tcPr>
          <w:p>
            <w:pPr>
              <w:spacing w:after="40"/>
            </w:pPr>
            <w:r>
              <w:rPr>
                <w:b/>
                <w:sz w:val="16"/>
              </w:rPr>
              <w:t>Finding</w:t>
            </w:r>
          </w:p>
        </w:tc>
      </w:tr>
      <w:tr>
        <w:tc>
          <w:tcPr>
            <w:tcW w:type="dxa" w:w="4824"/>
          </w:tcPr>
          <w:p>
            <w:pPr>
              <w:spacing w:after="40"/>
            </w:pPr>
            <w:r>
              <w:rPr>
                <w:sz w:val="16"/>
              </w:rPr>
              <w:t>Training/validation overlap</w:t>
            </w:r>
          </w:p>
        </w:tc>
        <w:tc>
          <w:tcPr>
            <w:tcW w:type="dxa" w:w="4824"/>
          </w:tcPr>
          <w:p>
            <w:pPr>
              <w:spacing w:after="40"/>
            </w:pPr>
            <w:r>
              <w:rPr>
                <w:sz w:val="16"/>
              </w:rPr>
              <w:t xml:space="preserve">Newest training target </w:t>
            </w:r>
            <w:r>
              <w:rPr>
                <w:rFonts w:ascii="Consolas" w:hAnsi="Consolas"/>
                <w:sz w:val="16"/>
              </w:rPr>
              <w:t>d_1913</w:t>
            </w:r>
            <w:r>
              <w:rPr>
                <w:sz w:val="16"/>
              </w:rPr>
              <w:t xml:space="preserve">; validation starts </w:t>
            </w:r>
            <w:r>
              <w:rPr>
                <w:rFonts w:ascii="Consolas" w:hAnsi="Consolas"/>
                <w:sz w:val="16"/>
              </w:rPr>
              <w:t>d_1914</w:t>
            </w:r>
            <w:r>
              <w:rPr>
                <w:sz w:val="16"/>
              </w:rPr>
              <w:t>. No overlap.</w:t>
            </w:r>
          </w:p>
        </w:tc>
      </w:tr>
      <w:tr>
        <w:tc>
          <w:tcPr>
            <w:tcW w:type="dxa" w:w="4824"/>
          </w:tcPr>
          <w:p>
            <w:pPr>
              <w:spacing w:after="40"/>
            </w:pPr>
            <w:r>
              <w:rPr>
                <w:sz w:val="16"/>
              </w:rPr>
              <w:t>Target encoding</w:t>
            </w:r>
          </w:p>
        </w:tc>
        <w:tc>
          <w:tcPr>
            <w:tcW w:type="dxa" w:w="4824"/>
          </w:tcPr>
          <w:p>
            <w:pPr>
              <w:spacing w:after="40"/>
            </w:pPr>
            <w:r>
              <w:rPr>
                <w:sz w:val="16"/>
              </w:rPr>
              <w:t>None used anywhere.</w:t>
            </w:r>
          </w:p>
        </w:tc>
      </w:tr>
      <w:tr>
        <w:tc>
          <w:tcPr>
            <w:tcW w:type="dxa" w:w="4824"/>
          </w:tcPr>
          <w:p>
            <w:pPr>
              <w:spacing w:after="40"/>
            </w:pPr>
            <w:r>
              <w:rPr>
                <w:sz w:val="16"/>
              </w:rPr>
              <w:t>Global normalisation</w:t>
            </w:r>
          </w:p>
        </w:tc>
        <w:tc>
          <w:tcPr>
            <w:tcW w:type="dxa" w:w="4824"/>
          </w:tcPr>
          <w:p>
            <w:pPr>
              <w:spacing w:after="40"/>
            </w:pPr>
            <w:r>
              <w:rPr>
                <w:sz w:val="16"/>
              </w:rPr>
              <w:t>None — no statistic spans the validation window.</w:t>
            </w:r>
          </w:p>
        </w:tc>
      </w:tr>
      <w:tr>
        <w:tc>
          <w:tcPr>
            <w:tcW w:type="dxa" w:w="4824"/>
          </w:tcPr>
          <w:p>
            <w:pPr>
              <w:spacing w:after="40"/>
            </w:pPr>
            <w:r>
              <w:rPr>
                <w:sz w:val="16"/>
              </w:rPr>
              <w:t>Blend weight selection</w:t>
            </w:r>
          </w:p>
        </w:tc>
        <w:tc>
          <w:tcPr>
            <w:tcW w:type="dxa" w:w="4824"/>
          </w:tcPr>
          <w:p>
            <w:pPr>
              <w:spacing w:after="40"/>
            </w:pPr>
            <w:r>
              <w:rPr>
                <w:sz w:val="16"/>
              </w:rPr>
              <w:t xml:space="preserve">Inner window </w:t>
            </w:r>
            <w:r>
              <w:rPr>
                <w:rFonts w:ascii="Consolas" w:hAnsi="Consolas"/>
                <w:sz w:val="16"/>
              </w:rPr>
              <w:t>d_1886–d_1913</w:t>
            </w:r>
            <w:r>
              <w:rPr>
                <w:sz w:val="16"/>
              </w:rPr>
              <w:t>, before both the primary targets and the deployment origin.</w:t>
            </w:r>
          </w:p>
        </w:tc>
      </w:tr>
      <w:tr>
        <w:tc>
          <w:tcPr>
            <w:tcW w:type="dxa" w:w="4824"/>
          </w:tcPr>
          <w:p>
            <w:pPr>
              <w:spacing w:after="40"/>
            </w:pPr>
            <w:r>
              <w:rPr>
                <w:sz w:val="16"/>
              </w:rPr>
              <w:t>Hyperparameter selection</w:t>
            </w:r>
          </w:p>
        </w:tc>
        <w:tc>
          <w:tcPr>
            <w:tcW w:type="dxa" w:w="4824"/>
          </w:tcPr>
          <w:p>
            <w:pPr>
              <w:spacing w:after="40"/>
            </w:pPr>
            <w:r>
              <w:rPr>
                <w:sz w:val="16"/>
              </w:rPr>
              <w:t>Inner window only.</w:t>
            </w:r>
          </w:p>
        </w:tc>
      </w:tr>
      <w:tr>
        <w:tc>
          <w:tcPr>
            <w:tcW w:type="dxa" w:w="4824"/>
          </w:tcPr>
          <w:p>
            <w:pPr>
              <w:spacing w:after="40"/>
            </w:pPr>
            <w:r>
              <w:rPr>
                <w:sz w:val="16"/>
              </w:rPr>
              <w:t>Early stopping on validation</w:t>
            </w:r>
          </w:p>
        </w:tc>
        <w:tc>
          <w:tcPr>
            <w:tcW w:type="dxa" w:w="4824"/>
          </w:tcPr>
          <w:p>
            <w:pPr>
              <w:spacing w:after="40"/>
            </w:pPr>
            <w:r>
              <w:rPr>
                <w:sz w:val="16"/>
              </w:rPr>
              <w:t>Not used (fixed 400 rounds).</w:t>
            </w:r>
          </w:p>
        </w:tc>
      </w:tr>
    </w:tbl>
    <w:p/>
    <w:p>
      <w:pPr>
        <w:pStyle w:val="Heading2"/>
      </w:pPr>
      <w:r>
        <w:rPr>
          <w:color w:val="1A3D6D"/>
          <w:sz w:val="22"/>
        </w:rPr>
        <w:t>14.4 Defect found: mislabelled prediction file</w:t>
      </w:r>
    </w:p>
    <w:p>
      <w:r>
        <w:rPr>
          <w:rFonts w:ascii="Consolas" w:hAnsi="Consolas"/>
          <w:sz w:val="17"/>
        </w:rPr>
        <w:t>predictions/validation/exp_74_new_champion_validation.csv</w:t>
      </w:r>
      <w:r>
        <w:t xml:space="preserve"> is </w:t>
      </w:r>
      <w:r>
        <w:rPr>
          <w:b/>
        </w:rPr>
        <w:t>not</w:t>
      </w:r>
      <w:r>
        <w:t xml:space="preserve"> the 38-feature champion's output. It is byte-identical (same MD5) to </w:t>
      </w:r>
      <w:r>
        <w:rPr>
          <w:rFonts w:ascii="Consolas" w:hAnsi="Consolas"/>
          <w:sz w:val="17"/>
        </w:rPr>
        <w:t>exp_72_shape_validation.csv</w:t>
      </w:r>
      <w:r>
        <w:t xml:space="preserve">, the 36-feature model. Script </w:t>
      </w:r>
      <w:r>
        <w:rPr>
          <w:rFonts w:ascii="Consolas" w:hAnsi="Consolas"/>
          <w:sz w:val="17"/>
        </w:rPr>
        <w:t>36_exp74_reproduce_and_extend.py</w:t>
      </w:r>
      <w:r>
        <w:t xml:space="preserve"> discards the 38-feature predictions and writes Part A's instead.</w:t>
      </w:r>
    </w:p>
    <w:p>
      <w:r>
        <w:rPr>
          <w:b/>
        </w:rPr>
        <w:t>Impact.</w:t>
      </w:r>
      <w:r>
        <w:t xml:space="preserve"> The champion's registry metrics are unaffected and were reproduced bit-identically. The mislabelled file was used in the headroom diagnostic that motivated Exp. #76, but that diagnostic's conclusion was subsequently confirmed by direct retraining, so no downstream result depends on it. The practical consequence is that the 38-feature champion has no per-row predictions, hence </w:t>
      </w:r>
      <w:r>
        <w:rPr>
          <w:rFonts w:ascii="Consolas" w:hAnsi="Consolas"/>
          <w:sz w:val="17"/>
        </w:rPr>
        <w:t>N/A</w:t>
      </w:r>
      <w:r>
        <w:t xml:space="preserve"> in its comparison row.</w:t>
      </w:r>
    </w:p>
    <w:p>
      <w:pPr>
        <w:pStyle w:val="Heading2"/>
      </w:pPr>
      <w:r>
        <w:rPr>
          <w:color w:val="1A3D6D"/>
          <w:sz w:val="22"/>
        </w:rPr>
        <w:t>14.5 Second defect: the registry does not record the shipped configuration</w:t>
      </w:r>
    </w:p>
    <w:p>
      <w:r>
        <w:t xml:space="preserve">Experiment #77's </w:t>
      </w:r>
      <w:r>
        <w:rPr>
          <w:rFonts w:ascii="Consolas" w:hAnsi="Consolas"/>
          <w:sz w:val="17"/>
        </w:rPr>
        <w:t>metrics</w:t>
      </w:r>
      <w:r>
        <w:t xml:space="preserve"> field stores </w:t>
      </w:r>
      <w:r>
        <w:rPr>
          <w:b/>
        </w:rPr>
        <w:t>RMSE 2.0915 / MAE 1.0433</w:t>
      </w:r>
      <w:r>
        <w:t xml:space="preserve"> — the w = 0.50 blend used for the </w:t>
      </w:r>
      <w:r>
        <w:rPr>
          <w:i/>
        </w:rPr>
        <w:t>acceptance test</w:t>
      </w:r>
      <w:r>
        <w:t>, where the weight was held fixed so that member B's feature set was the only variable. The configuration actually shipped is w = 0.60, whose figures (</w:t>
      </w:r>
      <w:r>
        <w:rPr>
          <w:b/>
        </w:rPr>
        <w:t>2.0929 / 1.0395</w:t>
      </w:r>
      <w:r>
        <w:t xml:space="preserve">) live in a different field, </w:t>
      </w:r>
      <w:r>
        <w:rPr>
          <w:rFonts w:ascii="Consolas" w:hAnsi="Consolas"/>
          <w:sz w:val="17"/>
        </w:rPr>
        <w:t>operating_point</w:t>
      </w:r>
      <w:r>
        <w:t>.</w:t>
      </w:r>
    </w:p>
    <w:p>
      <w:r>
        <w:t xml:space="preserve">Both numbers are correct for what they describe, and the distinction is documented in the experiment's own notes. But a reader — or a script — taking </w:t>
      </w:r>
      <w:r>
        <w:rPr>
          <w:rFonts w:ascii="Consolas" w:hAnsi="Consolas"/>
          <w:sz w:val="17"/>
        </w:rPr>
        <w:t>metrics</w:t>
      </w:r>
      <w:r>
        <w:t xml:space="preserve"> as 'the result of Experiment #77' would attribute the wrong figures to the deployed model. Our first automated audit pass did exactly that and flagged a mismatch, which is how this was found. A registry record should name its shipped configuration unambiguously.</w:t>
      </w:r>
    </w:p>
    <w:p>
      <w:pPr>
        <w:pStyle w:val="Heading2"/>
      </w:pPr>
      <w:r>
        <w:rPr>
          <w:color w:val="1A3D6D"/>
          <w:sz w:val="22"/>
        </w:rPr>
        <w:t>14.6 Verdict</w:t>
      </w:r>
    </w:p>
    <w:p>
      <w:r>
        <w:rPr>
          <w:b/>
        </w:rPr>
        <w:t>No target leakage detected in the shipped pipeline.</w:t>
      </w:r>
      <w:r>
        <w:t xml:space="preserve"> The leakage-safety is structural (origin-relative lag definitions, frozen feature construction) and empirically verified, not merely asserted.</w:t>
      </w:r>
    </w:p>
    <w:p>
      <w:pPr>
        <w:pStyle w:val="Heading1"/>
      </w:pPr>
      <w:r>
        <w:rPr>
          <w:color w:val="1A3D6D"/>
          <w:sz w:val="26"/>
        </w:rPr>
        <w:t>15. Discussion</w:t>
      </w:r>
    </w:p>
    <w:p>
      <w:pPr>
        <w:pStyle w:val="Heading2"/>
      </w:pPr>
      <w:r>
        <w:rPr>
          <w:color w:val="1A3D6D"/>
          <w:sz w:val="22"/>
        </w:rPr>
        <w:t>15.1 The one transferable finding</w:t>
      </w:r>
    </w:p>
    <w:p>
      <w:r>
        <w:t xml:space="preserve">The project's most reusable result is not the model but the attribution experiment. Ensembling had already been tried and rejected (Exp. #70, 2.1261 vs 2.1210) with six LightGBM variants whose residuals correlated 0.9897. The later experiment paired the same family with a </w:t>
      </w:r>
      <w:r>
        <w:rPr>
          <w:i/>
        </w:rPr>
        <w:t>structurally different</w:t>
      </w:r>
      <w:r>
        <w:t xml:space="preserve"> forecaster and added a negative control:</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Blend</w:t>
            </w:r>
          </w:p>
        </w:tc>
        <w:tc>
          <w:tcPr>
            <w:tcW w:type="dxa" w:w="3216"/>
          </w:tcPr>
          <w:p>
            <w:pPr>
              <w:spacing w:after="40"/>
            </w:pPr>
            <w:r>
              <w:rPr>
                <w:b/>
                <w:sz w:val="16"/>
              </w:rPr>
              <w:t>ΔRMSE</w:t>
            </w:r>
          </w:p>
        </w:tc>
        <w:tc>
          <w:tcPr>
            <w:tcW w:type="dxa" w:w="3216"/>
          </w:tcPr>
          <w:p>
            <w:pPr>
              <w:spacing w:after="40"/>
            </w:pPr>
            <w:r>
              <w:rPr>
                <w:b/>
                <w:sz w:val="16"/>
              </w:rPr>
              <w:t>Residual correlation</w:t>
            </w:r>
          </w:p>
        </w:tc>
      </w:tr>
      <w:tr>
        <w:tc>
          <w:tcPr>
            <w:tcW w:type="dxa" w:w="3216"/>
          </w:tcPr>
          <w:p>
            <w:pPr>
              <w:spacing w:after="40"/>
            </w:pPr>
            <w:r>
              <w:rPr>
                <w:sz w:val="16"/>
              </w:rPr>
              <w:t>champion + reseeded champion</w:t>
            </w:r>
          </w:p>
        </w:tc>
        <w:tc>
          <w:tcPr>
            <w:tcW w:type="dxa" w:w="3216"/>
          </w:tcPr>
          <w:p>
            <w:pPr>
              <w:spacing w:after="40"/>
            </w:pPr>
            <w:r>
              <w:rPr>
                <w:sz w:val="16"/>
              </w:rPr>
              <w:t>-0.0044</w:t>
            </w:r>
          </w:p>
        </w:tc>
        <w:tc>
          <w:tcPr>
            <w:tcW w:type="dxa" w:w="3216"/>
          </w:tcPr>
          <w:p>
            <w:pPr>
              <w:spacing w:after="40"/>
            </w:pPr>
            <w:r>
              <w:rPr>
                <w:sz w:val="16"/>
              </w:rPr>
              <w:t>0.9940</w:t>
            </w:r>
          </w:p>
        </w:tc>
      </w:tr>
      <w:tr>
        <w:tc>
          <w:tcPr>
            <w:tcW w:type="dxa" w:w="3216"/>
          </w:tcPr>
          <w:p>
            <w:pPr>
              <w:spacing w:after="40"/>
            </w:pPr>
            <w:r>
              <w:rPr>
                <w:sz w:val="16"/>
              </w:rPr>
              <w:t>champion + recursive model</w:t>
            </w:r>
          </w:p>
        </w:tc>
        <w:tc>
          <w:tcPr>
            <w:tcW w:type="dxa" w:w="3216"/>
          </w:tcPr>
          <w:p>
            <w:pPr>
              <w:spacing w:after="40"/>
            </w:pPr>
            <w:r>
              <w:rPr>
                <w:sz w:val="16"/>
              </w:rPr>
              <w:t>-0.0291</w:t>
            </w:r>
          </w:p>
        </w:tc>
        <w:tc>
          <w:tcPr>
            <w:tcW w:type="dxa" w:w="3216"/>
          </w:tcPr>
          <w:p>
            <w:pPr>
              <w:spacing w:after="40"/>
            </w:pPr>
            <w:r>
              <w:rPr>
                <w:sz w:val="16"/>
              </w:rPr>
              <w:t>0.9496</w:t>
            </w:r>
          </w:p>
        </w:tc>
      </w:tr>
      <w:tr>
        <w:tc>
          <w:tcPr>
            <w:tcW w:type="dxa" w:w="3216"/>
          </w:tcPr>
          <w:p>
            <w:pPr>
              <w:spacing w:after="40"/>
            </w:pPr>
            <w:r>
              <w:rPr>
                <w:b/>
                <w:sz w:val="16"/>
              </w:rPr>
              <w:t>attributable to architecture</w:t>
            </w:r>
          </w:p>
        </w:tc>
        <w:tc>
          <w:tcPr>
            <w:tcW w:type="dxa" w:w="3216"/>
          </w:tcPr>
          <w:p>
            <w:pPr>
              <w:spacing w:after="40"/>
            </w:pPr>
            <w:r>
              <w:rPr>
                <w:b/>
                <w:sz w:val="16"/>
              </w:rPr>
              <w:t>-0.0247</w:t>
            </w:r>
          </w:p>
        </w:tc>
        <w:tc>
          <w:tcPr>
            <w:tcW w:type="dxa" w:w="3216"/>
          </w:tcPr>
          <w:p>
            <w:pPr>
              <w:spacing w:after="40"/>
            </w:pPr>
          </w:p>
        </w:tc>
      </w:tr>
    </w:tbl>
    <w:p/>
    <w:p>
      <w:r>
        <w:t xml:space="preserve">Averaging buys almost nothing; architectural difference buys the rest. The governing identity is </w:t>
      </w:r>
      <w:r>
        <w:rPr>
          <w:rFonts w:ascii="Consolas" w:hAnsi="Consolas"/>
          <w:sz w:val="17"/>
        </w:rPr>
        <w:t>MSE_blend = (MSE_A + MSE_B + 2ρ√(MSE_A·MSE_B))/4</w:t>
      </w:r>
      <w:r>
        <w:t>, which predicted the observed blend RMSE to within 0.001 on every window we checked. A failed ensemble experiment is therefore not evidence that ensembling fails — it may be evidence that the members were too similar, and that is a measurable, correctable diagnosis.</w:t>
      </w:r>
    </w:p>
    <w:p>
      <w:pPr>
        <w:pStyle w:val="Heading2"/>
      </w:pPr>
      <w:r>
        <w:rPr>
          <w:color w:val="1A3D6D"/>
          <w:sz w:val="22"/>
        </w:rPr>
        <w:t>15.2 Effect sizes in context</w:t>
      </w:r>
    </w:p>
    <w:p>
      <w:r>
        <w:t xml:space="preserve">The total improvement from the project's first LightGBM (2.1467) to the shipped ensemble (2.0929) is -0.0538 RMSE, about 2.5%. The gain from the final two accepted changes is -0.0242. These are </w:t>
      </w:r>
      <w:r>
        <w:rPr>
          <w:b/>
        </w:rPr>
        <w:t>small</w:t>
      </w:r>
      <w:r>
        <w:t xml:space="preserve"> absolute movements on a noisy target, and the paper should not dress them up. What makes them credible is not their size but that each survived four temporally disjoint windows and multiple seeds under criteria fixed in advance.</w:t>
      </w:r>
    </w:p>
    <w:p>
      <w:pPr>
        <w:pStyle w:val="Heading2"/>
      </w:pPr>
      <w:r>
        <w:rPr>
          <w:color w:val="1A3D6D"/>
          <w:sz w:val="22"/>
        </w:rPr>
        <w:t>15.3 Was stopping the right call?</w:t>
      </w:r>
    </w:p>
    <w:p>
      <w:r>
        <w:t>The audit agrees with the project's own diminishing-returns conclusion. Every remaining direction has a measured oracle bound below 0.008, and oracle bounds are optimistic by construction because they are fitted with the answers visible. Continuing to search this space would more likely produce validation-set overfitting than genuine gain.</w:t>
      </w:r>
    </w:p>
    <w:p>
      <w:pPr>
        <w:pStyle w:val="Heading1"/>
      </w:pPr>
      <w:r>
        <w:rPr>
          <w:color w:val="1A3D6D"/>
          <w:sz w:val="26"/>
        </w:rPr>
        <w:t>16. Practical Applications and Interpretation</w:t>
      </w:r>
    </w:p>
    <w:p>
      <w:r>
        <w:rPr>
          <w:b/>
        </w:rPr>
        <w:t>What the numbers mean.</w:t>
      </w:r>
      <w:r>
        <w:t xml:space="preserve"> MAE 1.0395 says a typical forecast misses by about one unit per store-item-day. Against a mean actual of 1.44 units that sounds poor, but the distribution is the point: most series sell 0 or 1 units/day, where the model is accurate, while a small number of high-volume series carry both the volume and the error.</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Segment</w:t>
            </w:r>
          </w:p>
        </w:tc>
        <w:tc>
          <w:tcPr>
            <w:tcW w:type="dxa" w:w="3216"/>
          </w:tcPr>
          <w:p>
            <w:pPr>
              <w:spacing w:after="40"/>
            </w:pPr>
            <w:r>
              <w:rPr>
                <w:b/>
                <w:sz w:val="16"/>
              </w:rPr>
              <w:t>RMSE</w:t>
            </w:r>
          </w:p>
        </w:tc>
        <w:tc>
          <w:tcPr>
            <w:tcW w:type="dxa" w:w="3216"/>
          </w:tcPr>
          <w:p>
            <w:pPr>
              <w:spacing w:after="40"/>
            </w:pPr>
            <w:r>
              <w:rPr>
                <w:b/>
                <w:sz w:val="16"/>
              </w:rPr>
              <w:t>Behaviour</w:t>
            </w:r>
          </w:p>
        </w:tc>
      </w:tr>
      <w:tr>
        <w:tc>
          <w:tcPr>
            <w:tcW w:type="dxa" w:w="3216"/>
          </w:tcPr>
          <w:p>
            <w:pPr>
              <w:spacing w:after="40"/>
            </w:pPr>
            <w:r>
              <w:rPr>
                <w:sz w:val="16"/>
              </w:rPr>
              <w:t>Deciles 1–3 (sparsest)</w:t>
            </w:r>
          </w:p>
        </w:tc>
        <w:tc>
          <w:tcPr>
            <w:tcW w:type="dxa" w:w="3216"/>
          </w:tcPr>
          <w:p>
            <w:pPr>
              <w:spacing w:after="40"/>
            </w:pPr>
            <w:r>
              <w:rPr>
                <w:sz w:val="16"/>
              </w:rPr>
              <w:t>0.656</w:t>
            </w:r>
          </w:p>
        </w:tc>
        <w:tc>
          <w:tcPr>
            <w:tcW w:type="dxa" w:w="3216"/>
          </w:tcPr>
          <w:p>
            <w:pPr>
              <w:spacing w:after="40"/>
            </w:pPr>
            <w:r>
              <w:rPr>
                <w:sz w:val="16"/>
              </w:rPr>
              <w:t>Accurate; near-zero predictions are usually right</w:t>
            </w:r>
          </w:p>
        </w:tc>
      </w:tr>
      <w:tr>
        <w:tc>
          <w:tcPr>
            <w:tcW w:type="dxa" w:w="3216"/>
          </w:tcPr>
          <w:p>
            <w:pPr>
              <w:spacing w:after="40"/>
            </w:pPr>
            <w:r>
              <w:rPr>
                <w:sz w:val="16"/>
              </w:rPr>
              <w:t>Deciles 4–7</w:t>
            </w:r>
          </w:p>
        </w:tc>
        <w:tc>
          <w:tcPr>
            <w:tcW w:type="dxa" w:w="3216"/>
          </w:tcPr>
          <w:p>
            <w:pPr>
              <w:spacing w:after="40"/>
            </w:pPr>
            <w:r>
              <w:rPr>
                <w:sz w:val="16"/>
              </w:rPr>
              <w:t>1.127</w:t>
            </w:r>
          </w:p>
        </w:tc>
        <w:tc>
          <w:tcPr>
            <w:tcW w:type="dxa" w:w="3216"/>
          </w:tcPr>
          <w:p>
            <w:pPr>
              <w:spacing w:after="40"/>
            </w:pPr>
            <w:r>
              <w:rPr>
                <w:sz w:val="16"/>
              </w:rPr>
              <w:t>Reliable</w:t>
            </w:r>
          </w:p>
        </w:tc>
      </w:tr>
      <w:tr>
        <w:tc>
          <w:tcPr>
            <w:tcW w:type="dxa" w:w="3216"/>
          </w:tcPr>
          <w:p>
            <w:pPr>
              <w:spacing w:after="40"/>
            </w:pPr>
            <w:r>
              <w:rPr>
                <w:sz w:val="16"/>
              </w:rPr>
              <w:t>Decile 9</w:t>
            </w:r>
          </w:p>
        </w:tc>
        <w:tc>
          <w:tcPr>
            <w:tcW w:type="dxa" w:w="3216"/>
          </w:tcPr>
          <w:p>
            <w:pPr>
              <w:spacing w:after="40"/>
            </w:pPr>
            <w:r>
              <w:rPr>
                <w:sz w:val="16"/>
              </w:rPr>
              <w:t>2.316</w:t>
            </w:r>
          </w:p>
        </w:tc>
        <w:tc>
          <w:tcPr>
            <w:tcW w:type="dxa" w:w="3216"/>
          </w:tcPr>
          <w:p>
            <w:pPr>
              <w:spacing w:after="40"/>
            </w:pPr>
            <w:r>
              <w:rPr>
                <w:sz w:val="16"/>
              </w:rPr>
              <w:t>Degrading</w:t>
            </w:r>
          </w:p>
        </w:tc>
      </w:tr>
      <w:tr>
        <w:tc>
          <w:tcPr>
            <w:tcW w:type="dxa" w:w="3216"/>
          </w:tcPr>
          <w:p>
            <w:pPr>
              <w:spacing w:after="40"/>
            </w:pPr>
            <w:r>
              <w:rPr>
                <w:sz w:val="16"/>
              </w:rPr>
              <w:t>Decile 10</w:t>
            </w:r>
          </w:p>
        </w:tc>
        <w:tc>
          <w:tcPr>
            <w:tcW w:type="dxa" w:w="3216"/>
          </w:tcPr>
          <w:p>
            <w:pPr>
              <w:spacing w:after="40"/>
            </w:pPr>
            <w:r>
              <w:rPr>
                <w:sz w:val="16"/>
              </w:rPr>
              <w:t>5.376</w:t>
            </w:r>
          </w:p>
        </w:tc>
        <w:tc>
          <w:tcPr>
            <w:tcW w:type="dxa" w:w="3216"/>
          </w:tcPr>
          <w:p>
            <w:pPr>
              <w:spacing w:after="40"/>
            </w:pPr>
            <w:r>
              <w:rPr>
                <w:sz w:val="16"/>
              </w:rPr>
              <w:t>Dominates total error; under-forecasts by -0.19/day</w:t>
            </w:r>
          </w:p>
        </w:tc>
      </w:tr>
    </w:tbl>
    <w:p/>
    <w:p>
      <w:r>
        <w:rPr>
          <w:b/>
          <w:color w:val="555550"/>
          <w:sz w:val="17"/>
        </w:rPr>
        <w:t>Operationally:</w:t>
      </w:r>
    </w:p>
    <w:p>
      <w:pPr>
        <w:pStyle w:val="ListBullet"/>
      </w:pPr>
      <w:r>
        <w:rPr>
          <w:i/>
        </w:rPr>
        <w:t>Safe to automate:</w:t>
      </w:r>
      <w:r>
        <w:t xml:space="preserve"> replenishment for low- and mid-volume items, which are the majority of SKUs and where the model is well calibrated.</w:t>
      </w:r>
    </w:p>
    <w:p>
      <w:pPr>
        <w:pStyle w:val="ListBullet"/>
      </w:pPr>
      <w:r>
        <w:rPr>
          <w:i/>
        </w:rPr>
        <w:t>Needs a safety-stock buffer:</w:t>
      </w:r>
      <w:r>
        <w:t xml:space="preserve"> the top decile. The model's systematic under-forecast there (-0.19 units/day) is a known, quantified bias a planner can offset — and it matters most precisely because these are the high-turnover items where stockouts are expensive.</w:t>
      </w:r>
    </w:p>
    <w:p>
      <w:pPr>
        <w:pStyle w:val="ListBullet"/>
      </w:pPr>
      <w:r>
        <w:rPr>
          <w:i/>
        </w:rPr>
        <w:t>Do not expect spike anticipation:</w:t>
      </w:r>
      <w:r>
        <w:t xml:space="preserve"> without promotion or inventory feeds, the model cannot foresee a promotion-driven surge.</w:t>
      </w:r>
    </w:p>
    <w:p>
      <w:pPr>
        <w:pStyle w:val="ListBullet"/>
      </w:pPr>
      <w:r>
        <w:rPr>
          <w:i/>
        </w:rPr>
        <w:t>Forecast staleness is real:</w:t>
      </w:r>
      <w:r>
        <w:t xml:space="preserve"> at horizon 28 the freshest sales input is 27 days old. If the business can re-forecast weekly, it should — that is a larger improvement than anything in this report.</w:t>
      </w:r>
    </w:p>
    <w:p>
      <w:pPr>
        <w:pStyle w:val="Heading1"/>
      </w:pPr>
      <w:r>
        <w:rPr>
          <w:color w:val="1A3D6D"/>
          <w:sz w:val="26"/>
        </w:rPr>
        <w:t>17. Limitations</w:t>
      </w:r>
    </w:p>
    <w:p>
      <w:r>
        <w:rPr>
          <w:b/>
        </w:rPr>
        <w:t>Data.</w:t>
      </w:r>
      <w:r>
        <w:t xml:space="preserve"> No promotions, inventory, stockouts, footfall, weather or competitor data. Zeros are unidentifiable between no-demand and no-stock. Single retailer, three states, 2011–2016.</w:t>
      </w:r>
    </w:p>
    <w:p>
      <w:r>
        <w:rPr>
          <w:b/>
        </w:rPr>
        <w:t>Metric.</w:t>
      </w:r>
      <w:r>
        <w:t xml:space="preserve"> MAE regresses by +0.0186 relative to the direct model. This is a deliberate RMSE/MAE trade, disclosed in the project's own records, but it means the shipped model is </w:t>
      </w:r>
      <w:r>
        <w:rPr>
          <w:i/>
        </w:rPr>
        <w:t>worse</w:t>
      </w:r>
      <w:r>
        <w:t xml:space="preserve"> on typical-case error. An organisation optimising median service level rather than tail risk should select a different blend weight; the frontier below is the decision aid.</w:t>
      </w:r>
    </w:p>
    <w:p>
      <w:pPr>
        <w:jc w:val="center"/>
      </w:pPr>
      <w:r>
        <w:drawing>
          <wp:inline xmlns:a="http://schemas.openxmlformats.org/drawingml/2006/main" xmlns:pic="http://schemas.openxmlformats.org/drawingml/2006/picture">
            <wp:extent cx="5852160" cy="2855683"/>
            <wp:docPr id="8" name="Picture 8"/>
            <wp:cNvGraphicFramePr>
              <a:graphicFrameLocks noChangeAspect="1"/>
            </wp:cNvGraphicFramePr>
            <a:graphic>
              <a:graphicData uri="http://schemas.openxmlformats.org/drawingml/2006/picture">
                <pic:pic>
                  <pic:nvPicPr>
                    <pic:cNvPr id="0" name="fig5_weight_frontier.png"/>
                    <pic:cNvPicPr/>
                  </pic:nvPicPr>
                  <pic:blipFill>
                    <a:blip r:embed="rId16"/>
                    <a:stretch>
                      <a:fillRect/>
                    </a:stretch>
                  </pic:blipFill>
                  <pic:spPr>
                    <a:xfrm>
                      <a:off x="0" y="0"/>
                      <a:ext cx="5852160" cy="2855683"/>
                    </a:xfrm>
                    <a:prstGeom prst="rect"/>
                  </pic:spPr>
                </pic:pic>
              </a:graphicData>
            </a:graphic>
          </wp:inline>
        </w:drawing>
      </w:r>
    </w:p>
    <w:p>
      <w:r>
        <w:rPr>
          <w:b/>
        </w:rPr>
        <w:t>Validation.</w:t>
      </w:r>
      <w:r>
        <w:t xml:space="preserve"> No true test set exists. The primary window has been seen by 79 experiments' worth of decisions. Effect sizes for the last two accepted changes are close to the noise floor on individual windows.</w:t>
      </w:r>
    </w:p>
    <w:p>
      <w:r>
        <w:rPr>
          <w:b/>
        </w:rPr>
        <w:t>Concentration.</w:t>
      </w:r>
      <w:r>
        <w:t xml:space="preserve"> The Exp. #77 gain is carried by two of four windows; on one window the upgraded member was </w:t>
      </w:r>
      <w:r>
        <w:rPr>
          <w:i/>
        </w:rPr>
        <w:t>worse</w:t>
      </w:r>
      <w:r>
        <w:t xml:space="preserve"> than the one it replaced.</w:t>
      </w:r>
    </w:p>
    <w:p>
      <w:r>
        <w:rPr>
          <w:b/>
        </w:rPr>
        <w:t>Generalisation.</w:t>
      </w:r>
      <w:r>
        <w:t xml:space="preserve"> Everything is validated on 2015–2016 data from one retailer. The shape features assume stable weekly demand profiles; a series whose profile shifts would be mispredicted.</w:t>
      </w:r>
    </w:p>
    <w:p>
      <w:r>
        <w:rPr>
          <w:b/>
        </w:rPr>
        <w:t>Compute.</w:t>
      </w:r>
      <w:r>
        <w:t xml:space="preserve"> ~10 minutes and ~4.5 GB to retrain the ensemble; the recursive member cannot be parallelised across horizon days.</w:t>
      </w:r>
    </w:p>
    <w:p>
      <w:pPr>
        <w:pStyle w:val="Heading1"/>
      </w:pPr>
      <w:r>
        <w:rPr>
          <w:color w:val="1A3D6D"/>
          <w:sz w:val="26"/>
        </w:rPr>
        <w:t>18. Reproducibility</w:t>
      </w:r>
    </w:p>
    <w:p>
      <w:r>
        <w:rPr>
          <w:b/>
        </w:rPr>
        <w:t>Verdict: reproducible, with caveats.</w:t>
      </w:r>
      <w:r>
        <w:t xml:space="preserve"> The audit reproduced the shipped model's headline metric from raw CSVs in a single run.</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b/>
                <w:sz w:val="16"/>
              </w:rPr>
              <w:t>Factor</w:t>
            </w:r>
          </w:p>
        </w:tc>
        <w:tc>
          <w:tcPr>
            <w:tcW w:type="dxa" w:w="4824"/>
          </w:tcPr>
          <w:p>
            <w:pPr>
              <w:spacing w:after="40"/>
            </w:pPr>
            <w:r>
              <w:rPr>
                <w:b/>
                <w:sz w:val="16"/>
              </w:rPr>
              <w:t>Status</w:t>
            </w:r>
          </w:p>
        </w:tc>
      </w:tr>
      <w:tr>
        <w:tc>
          <w:tcPr>
            <w:tcW w:type="dxa" w:w="4824"/>
          </w:tcPr>
          <w:p>
            <w:pPr>
              <w:spacing w:after="40"/>
            </w:pPr>
            <w:r>
              <w:rPr>
                <w:sz w:val="16"/>
              </w:rPr>
              <w:t>Raw data present</w:t>
            </w:r>
          </w:p>
        </w:tc>
        <w:tc>
          <w:tcPr>
            <w:tcW w:type="dxa" w:w="4824"/>
          </w:tcPr>
          <w:p>
            <w:pPr>
              <w:spacing w:after="40"/>
            </w:pPr>
            <w:r>
              <w:rPr>
                <w:sz w:val="16"/>
              </w:rPr>
              <w:t>Yes — 5 CSVs, read-only, fingerprints verified</w:t>
            </w:r>
          </w:p>
        </w:tc>
      </w:tr>
      <w:tr>
        <w:tc>
          <w:tcPr>
            <w:tcW w:type="dxa" w:w="4824"/>
          </w:tcPr>
          <w:p>
            <w:pPr>
              <w:spacing w:after="40"/>
            </w:pPr>
            <w:r>
              <w:rPr>
                <w:sz w:val="16"/>
              </w:rPr>
              <w:t>Pipeline depends on derived parquet?</w:t>
            </w:r>
          </w:p>
        </w:tc>
        <w:tc>
          <w:tcPr>
            <w:tcW w:type="dxa" w:w="4824"/>
          </w:tcPr>
          <w:p>
            <w:pPr>
              <w:spacing w:after="40"/>
            </w:pPr>
            <w:r>
              <w:rPr>
                <w:b/>
                <w:sz w:val="16"/>
              </w:rPr>
              <w:t>No</w:t>
            </w:r>
            <w:r>
              <w:rPr>
                <w:sz w:val="16"/>
              </w:rPr>
              <w:t xml:space="preserve"> — reads raw CSVs directly</w:t>
            </w:r>
          </w:p>
        </w:tc>
      </w:tr>
      <w:tr>
        <w:tc>
          <w:tcPr>
            <w:tcW w:type="dxa" w:w="4824"/>
          </w:tcPr>
          <w:p>
            <w:pPr>
              <w:spacing w:after="40"/>
            </w:pPr>
            <w:r>
              <w:rPr>
                <w:sz w:val="16"/>
              </w:rPr>
              <w:t>Dependencies pinned</w:t>
            </w:r>
          </w:p>
        </w:tc>
        <w:tc>
          <w:tcPr>
            <w:tcW w:type="dxa" w:w="4824"/>
          </w:tcPr>
          <w:p>
            <w:pPr>
              <w:spacing w:after="40"/>
            </w:pPr>
            <w:r>
              <w:rPr>
                <w:sz w:val="16"/>
              </w:rPr>
              <w:t xml:space="preserve">Yes — </w:t>
            </w:r>
            <w:r>
              <w:rPr>
                <w:rFonts w:ascii="Consolas" w:hAnsi="Consolas"/>
                <w:sz w:val="16"/>
              </w:rPr>
              <w:t>requirements.txt</w:t>
            </w:r>
            <w:r>
              <w:rPr>
                <w:sz w:val="16"/>
              </w:rPr>
              <w:t xml:space="preserve"> with exact versions</w:t>
            </w:r>
          </w:p>
        </w:tc>
      </w:tr>
      <w:tr>
        <w:tc>
          <w:tcPr>
            <w:tcW w:type="dxa" w:w="4824"/>
          </w:tcPr>
          <w:p>
            <w:pPr>
              <w:spacing w:after="40"/>
            </w:pPr>
            <w:r>
              <w:rPr>
                <w:sz w:val="16"/>
              </w:rPr>
              <w:t>Seeds fixed</w:t>
            </w:r>
          </w:p>
        </w:tc>
        <w:tc>
          <w:tcPr>
            <w:tcW w:type="dxa" w:w="4824"/>
          </w:tcPr>
          <w:p>
            <w:pPr>
              <w:spacing w:after="40"/>
            </w:pPr>
            <w:r>
              <w:rPr>
                <w:sz w:val="16"/>
              </w:rPr>
              <w:t xml:space="preserve">Yes — </w:t>
            </w:r>
            <w:r>
              <w:rPr>
                <w:rFonts w:ascii="Consolas" w:hAnsi="Consolas"/>
                <w:sz w:val="16"/>
              </w:rPr>
              <w:t>seed</w:t>
            </w:r>
            <w:r>
              <w:rPr>
                <w:sz w:val="16"/>
              </w:rPr>
              <w:t xml:space="preserve">, </w:t>
            </w:r>
            <w:r>
              <w:rPr>
                <w:rFonts w:ascii="Consolas" w:hAnsi="Consolas"/>
                <w:sz w:val="16"/>
              </w:rPr>
              <w:t>bagging_seed</w:t>
            </w:r>
            <w:r>
              <w:rPr>
                <w:sz w:val="16"/>
              </w:rPr>
              <w:t xml:space="preserve">, </w:t>
            </w:r>
            <w:r>
              <w:rPr>
                <w:rFonts w:ascii="Consolas" w:hAnsi="Consolas"/>
                <w:sz w:val="16"/>
              </w:rPr>
              <w:t>feature_fraction_seed</w:t>
            </w:r>
            <w:r>
              <w:rPr>
                <w:sz w:val="16"/>
              </w:rPr>
              <w:t xml:space="preserve">; </w:t>
            </w:r>
            <w:r>
              <w:rPr>
                <w:rFonts w:ascii="Consolas" w:hAnsi="Consolas"/>
                <w:sz w:val="16"/>
              </w:rPr>
              <w:t>deterministic=True</w:t>
            </w:r>
          </w:p>
        </w:tc>
      </w:tr>
      <w:tr>
        <w:tc>
          <w:tcPr>
            <w:tcW w:type="dxa" w:w="4824"/>
          </w:tcPr>
          <w:p>
            <w:pPr>
              <w:spacing w:after="40"/>
            </w:pPr>
            <w:r>
              <w:rPr>
                <w:sz w:val="16"/>
              </w:rPr>
              <w:t>Headline result reproduced</w:t>
            </w:r>
          </w:p>
        </w:tc>
        <w:tc>
          <w:tcPr>
            <w:tcW w:type="dxa" w:w="4824"/>
          </w:tcPr>
          <w:p>
            <w:pPr>
              <w:spacing w:after="40"/>
            </w:pPr>
            <w:r>
              <w:rPr>
                <w:b/>
                <w:sz w:val="16"/>
              </w:rPr>
              <w:t>Yes</w:t>
            </w:r>
            <w:r>
              <w:rPr>
                <w:sz w:val="16"/>
              </w:rPr>
              <w:t xml:space="preserve"> — RMSE drift 3.9e-05</w:t>
            </w:r>
          </w:p>
        </w:tc>
      </w:tr>
      <w:tr>
        <w:tc>
          <w:tcPr>
            <w:tcW w:type="dxa" w:w="4824"/>
          </w:tcPr>
          <w:p>
            <w:pPr>
              <w:spacing w:after="40"/>
            </w:pPr>
            <w:r>
              <w:rPr>
                <w:sz w:val="16"/>
              </w:rPr>
              <w:t>Champion metrics reproduced</w:t>
            </w:r>
          </w:p>
        </w:tc>
        <w:tc>
          <w:tcPr>
            <w:tcW w:type="dxa" w:w="4824"/>
          </w:tcPr>
          <w:p>
            <w:pPr>
              <w:spacing w:after="40"/>
            </w:pPr>
            <w:r>
              <w:rPr>
                <w:sz w:val="16"/>
              </w:rPr>
              <w:t>Yes — bit-identical (drift 0.00e+00)</w:t>
            </w:r>
          </w:p>
        </w:tc>
      </w:tr>
      <w:tr>
        <w:tc>
          <w:tcPr>
            <w:tcW w:type="dxa" w:w="4824"/>
          </w:tcPr>
          <w:p>
            <w:pPr>
              <w:spacing w:after="40"/>
            </w:pPr>
            <w:r>
              <w:rPr>
                <w:sz w:val="16"/>
              </w:rPr>
              <w:t>Broken scripts found</w:t>
            </w:r>
          </w:p>
        </w:tc>
        <w:tc>
          <w:tcPr>
            <w:tcW w:type="dxa" w:w="4824"/>
          </w:tcPr>
          <w:p>
            <w:pPr>
              <w:spacing w:after="40"/>
            </w:pPr>
            <w:r>
              <w:rPr>
                <w:sz w:val="16"/>
              </w:rPr>
              <w:t>None</w:t>
            </w:r>
          </w:p>
        </w:tc>
      </w:tr>
      <w:tr>
        <w:tc>
          <w:tcPr>
            <w:tcW w:type="dxa" w:w="4824"/>
          </w:tcPr>
          <w:p>
            <w:pPr>
              <w:spacing w:after="40"/>
            </w:pPr>
            <w:r>
              <w:rPr>
                <w:sz w:val="16"/>
              </w:rPr>
              <w:t>Missing files</w:t>
            </w:r>
          </w:p>
        </w:tc>
        <w:tc>
          <w:tcPr>
            <w:tcW w:type="dxa" w:w="4824"/>
          </w:tcPr>
          <w:p>
            <w:pPr>
              <w:spacing w:after="40"/>
            </w:pPr>
            <w:r>
              <w:rPr>
                <w:sz w:val="16"/>
              </w:rPr>
              <w:t>None required by the modelling path</w:t>
            </w:r>
          </w:p>
        </w:tc>
      </w:tr>
    </w:tbl>
    <w:p/>
    <w:p>
      <w:r>
        <w:rPr>
          <w:b/>
          <w:color w:val="555550"/>
          <w:sz w:val="17"/>
        </w:rPr>
        <w:t>Caveats.</w:t>
      </w:r>
    </w:p>
    <w:p>
      <w:pPr>
        <w:pStyle w:val="ListNumber"/>
      </w:pPr>
      <w:r>
        <w:rPr>
          <w:b/>
        </w:rPr>
        <w:t>Seed-convention sensitivity.</w:t>
      </w:r>
      <w:r>
        <w:t xml:space="preserve"> Setting </w:t>
      </w:r>
      <w:r>
        <w:rPr>
          <w:rFonts w:ascii="Consolas" w:hAnsi="Consolas"/>
          <w:sz w:val="17"/>
        </w:rPr>
        <w:t>bagging_seed</w:t>
      </w:r>
      <w:r>
        <w:t>/</w:t>
      </w:r>
      <w:r>
        <w:rPr>
          <w:rFonts w:ascii="Consolas" w:hAnsi="Consolas"/>
          <w:sz w:val="17"/>
        </w:rPr>
        <w:t>feature_fraction_seed</w:t>
      </w:r>
      <w:r>
        <w:t xml:space="preserve"> explicitly versus letting LightGBM derive them from </w:t>
      </w:r>
      <w:r>
        <w:rPr>
          <w:rFonts w:ascii="Consolas" w:hAnsi="Consolas"/>
          <w:sz w:val="17"/>
        </w:rPr>
        <w:t>seed</w:t>
      </w:r>
      <w:r>
        <w:t xml:space="preserve"> changes results by up to 0.005 RMSE — larger than some accepted effects. Both conventions appear across the project's scripts. Anyone reproducing must match the convention, not just the seed value.</w:t>
      </w:r>
    </w:p>
    <w:p>
      <w:pPr>
        <w:pStyle w:val="ListNumber"/>
      </w:pPr>
      <w:r>
        <w:rPr>
          <w:b/>
        </w:rPr>
        <w:t>Hardcoded reference constants.</w:t>
      </w:r>
      <w:r>
        <w:t xml:space="preserve"> </w:t>
      </w:r>
      <w:r>
        <w:rPr>
          <w:rFonts w:ascii="Consolas" w:hAnsi="Consolas"/>
          <w:sz w:val="17"/>
        </w:rPr>
        <w:t>optimize.py</w:t>
      </w:r>
      <w:r>
        <w:t xml:space="preserve"> carries </w:t>
      </w:r>
      <w:r>
        <w:rPr>
          <w:rFonts w:ascii="Consolas" w:hAnsi="Consolas"/>
          <w:sz w:val="17"/>
        </w:rPr>
        <w:t>BEST_RMSE = 2.1210429411947650</w:t>
      </w:r>
      <w:r>
        <w:t xml:space="preserve"> for delta reporting. It is a reference, not a substitute for measurement, and it was independently reproduced — but it will silently go stale.</w:t>
      </w:r>
    </w:p>
    <w:p>
      <w:pPr>
        <w:pStyle w:val="ListNumber"/>
      </w:pPr>
      <w:r>
        <w:rPr>
          <w:b/>
        </w:rPr>
        <w:t>The shipped model had no saved predictions</w:t>
      </w:r>
      <w:r>
        <w:t xml:space="preserve"> before this audit regenerated them.</w:t>
      </w:r>
    </w:p>
    <w:p>
      <w:pPr>
        <w:pStyle w:val="ListNumber"/>
      </w:pPr>
      <w:r>
        <w:rPr>
          <w:b/>
        </w:rPr>
        <w:t>No environment lockfile or container</w:t>
      </w:r>
      <w:r>
        <w:t>; Python 3.13 on Windows.</w:t>
      </w:r>
    </w:p>
    <w:p>
      <w:pPr>
        <w:pStyle w:val="Heading1"/>
      </w:pPr>
      <w:r>
        <w:rPr>
          <w:color w:val="1A3D6D"/>
          <w:sz w:val="26"/>
        </w:rPr>
        <w:t>19. Conclusion</w:t>
      </w:r>
    </w:p>
    <w:p>
      <w:r>
        <w:t xml:space="preserve">The project delivers a leakage-safe frozen-origin 28-day forecaster scoring </w:t>
      </w:r>
      <w:r>
        <w:rPr>
          <w:b/>
        </w:rPr>
        <w:t>RMSE 2.0929 / MAE 1.0395</w:t>
      </w:r>
      <w:r>
        <w:t xml:space="preserve"> on 853,720 held-out predictions, improving mean RMSE by -0.0242 over its own direct member across four independent windows, at a disclosed MAE cost of +0.0186.</w:t>
      </w:r>
    </w:p>
    <w:p>
      <w:r>
        <w:t>The audit's substantive conclusions:</w:t>
      </w:r>
    </w:p>
    <w:p>
      <w:pPr>
        <w:pStyle w:val="ListNumber"/>
      </w:pPr>
      <w:r>
        <w:rPr>
          <w:b/>
        </w:rPr>
        <w:t>The methodology is sound.</w:t>
      </w:r>
      <w:r>
        <w:t xml:space="preserve"> Leakage safety is structural and independently verified. Validation discipline — pre-registered criteria, multiple windows, multiple seeds, inner-window selection — is above the norm for work of this scale.</w:t>
      </w:r>
    </w:p>
    <w:p>
      <w:pPr>
        <w:pStyle w:val="ListNumber"/>
      </w:pPr>
      <w:r>
        <w:rPr>
          <w:b/>
        </w:rPr>
        <w:t>The improvements are real but small.</w:t>
      </w:r>
      <w:r>
        <w:t xml:space="preserve"> Each survived tests capable of refuting it.</w:t>
      </w:r>
    </w:p>
    <w:p>
      <w:pPr>
        <w:pStyle w:val="ListNumber"/>
      </w:pPr>
      <w:r>
        <w:rPr>
          <w:b/>
        </w:rPr>
        <w:t>The external 2.0324 figure is not a benchmark.</w:t>
      </w:r>
      <w:r>
        <w:t xml:space="preserve"> It measures a different, easier task.</w:t>
      </w:r>
    </w:p>
    <w:p>
      <w:pPr>
        <w:pStyle w:val="ListNumber"/>
      </w:pPr>
      <w:r>
        <w:rPr>
          <w:b/>
        </w:rPr>
        <w:t>The project is near its information ceiling.</w:t>
      </w:r>
      <w:r>
        <w:t xml:space="preserve"> Remaining directions are bounded below 0.008 by oracle analysis.</w:t>
      </w:r>
    </w:p>
    <w:p>
      <w:pPr>
        <w:pStyle w:val="Heading1"/>
      </w:pPr>
      <w:r>
        <w:rPr>
          <w:color w:val="1A3D6D"/>
          <w:sz w:val="26"/>
        </w:rPr>
        <w:t>20. Future Work</w:t>
      </w:r>
    </w:p>
    <w:p>
      <w:r>
        <w:t>Ordered by expected value given the evidence:</w:t>
      </w:r>
    </w:p>
    <w:p>
      <w:pPr>
        <w:pStyle w:val="ListNumber"/>
      </w:pPr>
      <w:r>
        <w:rPr>
          <w:b/>
        </w:rPr>
        <w:t>Shorten the effective horizon.</w:t>
      </w:r>
      <w:r>
        <w:t xml:space="preserve"> Weekly re-forecasting would cut staleness at h &gt; 7, where most error lives. Larger than any modelling change considered here.</w:t>
      </w:r>
    </w:p>
    <w:p>
      <w:pPr>
        <w:pStyle w:val="ListNumber"/>
      </w:pPr>
      <w:r>
        <w:rPr>
          <w:b/>
        </w:rPr>
        <w:t>Acquire promotion and inventory data.</w:t>
      </w:r>
      <w:r>
        <w:t xml:space="preserve"> The error is spike-driven and spikes are promotion-driven. This addresses the actual cause.</w:t>
      </w:r>
    </w:p>
    <w:p>
      <w:pPr>
        <w:pStyle w:val="ListNumber"/>
      </w:pPr>
      <w:r>
        <w:rPr>
          <w:b/>
        </w:rPr>
        <w:t>A genuinely different third architecture.</w:t>
      </w:r>
      <w:r>
        <w:t xml:space="preserve"> The evidence supports architectural diversity but says near-duplicate members do not help — the 3-way blend of two recursive variants lost on 3 of 4 windows. A 7-day-block recursive model is the natural candidate; expected gain ≤ 0.006.</w:t>
      </w:r>
    </w:p>
    <w:p>
      <w:pPr>
        <w:pStyle w:val="ListNumber"/>
      </w:pPr>
      <w:r>
        <w:rPr>
          <w:b/>
        </w:rPr>
        <w:t>Regenerate the mislabelled prediction file</w:t>
      </w:r>
      <w:r>
        <w:t xml:space="preserve"> (§14.4) and persist predictions for every accepted model.</w:t>
      </w:r>
    </w:p>
    <w:p>
      <w:pPr>
        <w:pStyle w:val="ListNumber"/>
      </w:pPr>
      <w:r>
        <w:rPr>
          <w:b/>
        </w:rPr>
        <w:t>Probabilistic forecasts.</w:t>
      </w:r>
      <w:r>
        <w:t xml:space="preserve"> Replenishment needs service levels; quantile regression would serve the decision better than a point forecast.</w:t>
      </w:r>
    </w:p>
    <w:p>
      <w:pPr>
        <w:pStyle w:val="Heading1"/>
      </w:pPr>
      <w:r>
        <w:rPr>
          <w:color w:val="1A3D6D"/>
          <w:sz w:val="26"/>
        </w:rPr>
        <w:t>21. References</w:t>
      </w:r>
    </w:p>
    <w:p>
      <w:r>
        <w:t>Sources are limited to materials present in the project directory. No external literature is cited because none is contained in or referenced by the project.</w:t>
      </w:r>
    </w:p>
    <w:p>
      <w:pPr>
        <w:pStyle w:val="ListNumber"/>
      </w:pPr>
      <w:r>
        <w:t xml:space="preserve">M5 competition data files — </w:t>
      </w:r>
      <w:r>
        <w:rPr>
          <w:rFonts w:ascii="Consolas" w:hAnsi="Consolas"/>
          <w:sz w:val="17"/>
        </w:rPr>
        <w:t>data/raw/</w:t>
      </w:r>
      <w:r>
        <w:t xml:space="preserve"> (</w:t>
      </w:r>
      <w:r>
        <w:rPr>
          <w:rFonts w:ascii="Consolas" w:hAnsi="Consolas"/>
          <w:sz w:val="17"/>
        </w:rPr>
        <w:t>sales_train_evaluation.csv</w:t>
      </w:r>
      <w:r>
        <w:t xml:space="preserve">, </w:t>
      </w:r>
      <w:r>
        <w:rPr>
          <w:rFonts w:ascii="Consolas" w:hAnsi="Consolas"/>
          <w:sz w:val="17"/>
        </w:rPr>
        <w:t>sales_train_validation.csv</w:t>
      </w:r>
      <w:r>
        <w:t xml:space="preserve">, </w:t>
      </w:r>
      <w:r>
        <w:rPr>
          <w:rFonts w:ascii="Consolas" w:hAnsi="Consolas"/>
          <w:sz w:val="17"/>
        </w:rPr>
        <w:t>calendar.csv</w:t>
      </w:r>
      <w:r>
        <w:t xml:space="preserve">, </w:t>
      </w:r>
      <w:r>
        <w:rPr>
          <w:rFonts w:ascii="Consolas" w:hAnsi="Consolas"/>
          <w:sz w:val="17"/>
        </w:rPr>
        <w:t>sell_prices.csv</w:t>
      </w:r>
      <w:r>
        <w:t xml:space="preserve">, </w:t>
      </w:r>
      <w:r>
        <w:rPr>
          <w:rFonts w:ascii="Consolas" w:hAnsi="Consolas"/>
          <w:sz w:val="17"/>
        </w:rPr>
        <w:t>sample_submission.csv</w:t>
      </w:r>
      <w:r>
        <w:t>).</w:t>
      </w:r>
    </w:p>
    <w:p>
      <w:pPr>
        <w:pStyle w:val="ListNumber"/>
      </w:pPr>
      <w:r>
        <w:t xml:space="preserve">Experiment registry — </w:t>
      </w:r>
      <w:r>
        <w:rPr>
          <w:rFonts w:ascii="Consolas" w:hAnsi="Consolas"/>
          <w:sz w:val="17"/>
        </w:rPr>
        <w:t>experiments/registry/</w:t>
      </w:r>
      <w:r>
        <w:t xml:space="preserve"> (79 JSON records).</w:t>
      </w:r>
    </w:p>
    <w:p>
      <w:pPr>
        <w:pStyle w:val="ListNumber"/>
      </w:pPr>
      <w:r>
        <w:t xml:space="preserve">Experiment ledger — </w:t>
      </w:r>
      <w:r>
        <w:rPr>
          <w:rFonts w:ascii="Consolas" w:hAnsi="Consolas"/>
          <w:sz w:val="17"/>
        </w:rPr>
        <w:t>experiments/EXPERIMENT_LEDGER.md</w:t>
      </w:r>
      <w:r>
        <w:t>.</w:t>
      </w:r>
    </w:p>
    <w:p>
      <w:pPr>
        <w:pStyle w:val="ListNumber"/>
      </w:pPr>
      <w:r>
        <w:t xml:space="preserve">Error autopsy — </w:t>
      </w:r>
      <w:r>
        <w:rPr>
          <w:rFonts w:ascii="Consolas" w:hAnsi="Consolas"/>
          <w:sz w:val="17"/>
        </w:rPr>
        <w:t>experiments/artifacts/error_autopsy.json</w:t>
      </w:r>
      <w:r>
        <w:t>.</w:t>
      </w:r>
    </w:p>
    <w:p>
      <w:pPr>
        <w:pStyle w:val="ListNumber"/>
      </w:pPr>
      <w:r>
        <w:t xml:space="preserve">Segmentation and headroom diagnostics — </w:t>
      </w:r>
      <w:r>
        <w:rPr>
          <w:rFonts w:ascii="Consolas" w:hAnsi="Consolas"/>
          <w:sz w:val="17"/>
        </w:rPr>
        <w:t>segmentation_diagnostic.json</w:t>
      </w:r>
      <w:r>
        <w:t xml:space="preserve">, </w:t>
      </w:r>
      <w:r>
        <w:rPr>
          <w:rFonts w:ascii="Consolas" w:hAnsi="Consolas"/>
          <w:sz w:val="17"/>
        </w:rPr>
        <w:t>exp76_headroom_diagnostic.json</w:t>
      </w:r>
      <w:r>
        <w:t>.</w:t>
      </w:r>
    </w:p>
    <w:p>
      <w:pPr>
        <w:pStyle w:val="ListNumber"/>
      </w:pPr>
      <w:r>
        <w:t xml:space="preserve">External approach document — </w:t>
      </w:r>
      <w:r>
        <w:rPr>
          <w:rFonts w:ascii="Consolas" w:hAnsi="Consolas"/>
          <w:sz w:val="17"/>
        </w:rPr>
        <w:t>docs/01_problem_statement/TEAM_end_to_end_approach.md</w:t>
      </w:r>
      <w:r>
        <w:t xml:space="preserve">; leakage analysis in </w:t>
      </w:r>
      <w:r>
        <w:rPr>
          <w:rFonts w:ascii="Consolas" w:hAnsi="Consolas"/>
          <w:sz w:val="17"/>
        </w:rPr>
        <w:t>experiments/artifacts/team_doc_analysis.json</w:t>
      </w:r>
      <w:r>
        <w:t>.</w:t>
      </w:r>
    </w:p>
    <w:p>
      <w:pPr>
        <w:pStyle w:val="ListNumber"/>
      </w:pPr>
      <w:r>
        <w:t xml:space="preserve">Pipeline source — </w:t>
      </w:r>
      <w:r>
        <w:rPr>
          <w:rFonts w:ascii="Consolas" w:hAnsi="Consolas"/>
          <w:sz w:val="17"/>
        </w:rPr>
        <w:t>pipeline/</w:t>
      </w:r>
      <w:r>
        <w:t xml:space="preserve"> (feature builders, backtester, validation checks, recursive member).</w:t>
      </w:r>
    </w:p>
    <w:p>
      <w:pPr>
        <w:pStyle w:val="ListNumber"/>
      </w:pPr>
      <w:r>
        <w:t xml:space="preserve">LightGBM 4.7.0; NumPy 2.5.1; pandas 3.0.5 — </w:t>
      </w:r>
      <w:r>
        <w:rPr>
          <w:rFonts w:ascii="Consolas" w:hAnsi="Consolas"/>
          <w:sz w:val="17"/>
        </w:rPr>
        <w:t>requirements.txt</w:t>
      </w:r>
      <w:r>
        <w:t>.</w:t>
      </w:r>
    </w:p>
    <w:p>
      <w:pPr>
        <w:pStyle w:val="Heading1"/>
      </w:pPr>
      <w:r>
        <w:rPr>
          <w:color w:val="1A3D6D"/>
          <w:sz w:val="26"/>
        </w:rPr>
        <w:t>22. Independent Technical Assessment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6"/>
              </w:rPr>
              <w:t>Dimension</w:t>
            </w:r>
          </w:p>
        </w:tc>
        <w:tc>
          <w:tcPr>
            <w:tcW w:type="dxa" w:w="3216"/>
          </w:tcPr>
          <w:p>
            <w:pPr>
              <w:spacing w:after="40"/>
            </w:pPr>
            <w:r>
              <w:rPr>
                <w:b/>
                <w:sz w:val="16"/>
              </w:rPr>
              <w:t>Rating</w:t>
            </w:r>
          </w:p>
        </w:tc>
        <w:tc>
          <w:tcPr>
            <w:tcW w:type="dxa" w:w="3216"/>
          </w:tcPr>
          <w:p>
            <w:pPr>
              <w:spacing w:after="40"/>
            </w:pPr>
            <w:r>
              <w:rPr>
                <w:b/>
                <w:sz w:val="16"/>
              </w:rPr>
              <w:t>Evidence</w:t>
            </w:r>
          </w:p>
        </w:tc>
      </w:tr>
      <w:tr>
        <w:tc>
          <w:tcPr>
            <w:tcW w:type="dxa" w:w="3216"/>
          </w:tcPr>
          <w:p>
            <w:pPr>
              <w:spacing w:after="40"/>
            </w:pPr>
            <w:r>
              <w:rPr>
                <w:b/>
                <w:sz w:val="16"/>
              </w:rPr>
              <w:t>Overall model quality</w:t>
            </w:r>
          </w:p>
        </w:tc>
        <w:tc>
          <w:tcPr>
            <w:tcW w:type="dxa" w:w="3216"/>
          </w:tcPr>
          <w:p>
            <w:pPr>
              <w:spacing w:after="40"/>
            </w:pPr>
            <w:r>
              <w:rPr>
                <w:b/>
                <w:sz w:val="16"/>
              </w:rPr>
              <w:t>Moderate</w:t>
            </w:r>
          </w:p>
        </w:tc>
        <w:tc>
          <w:tcPr>
            <w:tcW w:type="dxa" w:w="3216"/>
          </w:tcPr>
          <w:p>
            <w:pPr>
              <w:spacing w:after="40"/>
            </w:pPr>
            <w:r>
              <w:rPr>
                <w:sz w:val="16"/>
              </w:rPr>
              <w:t>Real, replicated gains over strong baselines, but absolute movements are small on a noisy target and MAE regresses.</w:t>
            </w:r>
          </w:p>
        </w:tc>
      </w:tr>
      <w:tr>
        <w:tc>
          <w:tcPr>
            <w:tcW w:type="dxa" w:w="3216"/>
          </w:tcPr>
          <w:p>
            <w:pPr>
              <w:spacing w:after="40"/>
            </w:pPr>
            <w:r>
              <w:rPr>
                <w:b/>
                <w:sz w:val="16"/>
              </w:rPr>
              <w:t>Validation quality</w:t>
            </w:r>
          </w:p>
        </w:tc>
        <w:tc>
          <w:tcPr>
            <w:tcW w:type="dxa" w:w="3216"/>
          </w:tcPr>
          <w:p>
            <w:pPr>
              <w:spacing w:after="40"/>
            </w:pPr>
            <w:r>
              <w:rPr>
                <w:b/>
                <w:sz w:val="16"/>
              </w:rPr>
              <w:t>Good</w:t>
            </w:r>
          </w:p>
        </w:tc>
        <w:tc>
          <w:tcPr>
            <w:tcW w:type="dxa" w:w="3216"/>
          </w:tcPr>
          <w:p>
            <w:pPr>
              <w:spacing w:after="40"/>
            </w:pPr>
            <w:r>
              <w:rPr>
                <w:sz w:val="16"/>
              </w:rPr>
              <w:t>4 disjoint windows, multi-seed, pre-registered criteria, inner-window selection, negative control. No true test set exists, and the primary window informed many decisions.</w:t>
            </w:r>
          </w:p>
        </w:tc>
      </w:tr>
      <w:tr>
        <w:tc>
          <w:tcPr>
            <w:tcW w:type="dxa" w:w="3216"/>
          </w:tcPr>
          <w:p>
            <w:pPr>
              <w:spacing w:after="40"/>
            </w:pPr>
            <w:r>
              <w:rPr>
                <w:b/>
                <w:sz w:val="16"/>
              </w:rPr>
              <w:t>Leakage status</w:t>
            </w:r>
          </w:p>
        </w:tc>
        <w:tc>
          <w:tcPr>
            <w:tcW w:type="dxa" w:w="3216"/>
          </w:tcPr>
          <w:p>
            <w:pPr>
              <w:spacing w:after="40"/>
            </w:pPr>
            <w:r>
              <w:rPr>
                <w:b/>
                <w:sz w:val="16"/>
              </w:rPr>
              <w:t>Clean (verified)</w:t>
            </w:r>
          </w:p>
        </w:tc>
        <w:tc>
          <w:tcPr>
            <w:tcW w:type="dxa" w:w="3216"/>
          </w:tcPr>
          <w:p>
            <w:pPr>
              <w:spacing w:after="40"/>
            </w:pPr>
            <w:r>
              <w:rPr>
                <w:sz w:val="16"/>
              </w:rPr>
              <w:t>0/38 features change under future-sales corruption; mirror test passes; recursive rollout structurally safe; no target encoding or global normalisation.</w:t>
            </w:r>
          </w:p>
        </w:tc>
      </w:tr>
      <w:tr>
        <w:tc>
          <w:tcPr>
            <w:tcW w:type="dxa" w:w="3216"/>
          </w:tcPr>
          <w:p>
            <w:pPr>
              <w:spacing w:after="40"/>
            </w:pPr>
            <w:r>
              <w:rPr>
                <w:b/>
                <w:sz w:val="16"/>
              </w:rPr>
              <w:t>Reproducibility</w:t>
            </w:r>
          </w:p>
        </w:tc>
        <w:tc>
          <w:tcPr>
            <w:tcW w:type="dxa" w:w="3216"/>
          </w:tcPr>
          <w:p>
            <w:pPr>
              <w:spacing w:after="40"/>
            </w:pPr>
            <w:r>
              <w:rPr>
                <w:b/>
                <w:sz w:val="16"/>
              </w:rPr>
              <w:t>Good</w:t>
            </w:r>
          </w:p>
        </w:tc>
        <w:tc>
          <w:tcPr>
            <w:tcW w:type="dxa" w:w="3216"/>
          </w:tcPr>
          <w:p>
            <w:pPr>
              <w:spacing w:after="40"/>
            </w:pPr>
            <w:r>
              <w:rPr>
                <w:sz w:val="16"/>
              </w:rPr>
              <w:t>Headline reproduced from raw data this audit; pinned deps; fixed seeds. Docked for seed-convention sensitivity and the mislabelled artifact.</w:t>
            </w:r>
          </w:p>
        </w:tc>
      </w:tr>
    </w:tbl>
    <w:p/>
    <w:p>
      <w:r>
        <w:rPr>
          <w:b/>
        </w:rPr>
        <w:t>Strongest technical contribution.</w:t>
      </w:r>
      <w:r>
        <w:t xml:space="preserve"> The negative-control attribution of ensemble gain. Isolating architecture (-0.0247) from averaging (-0.0044) turned a previously rejected direction into an accepted one and explains </w:t>
      </w:r>
      <w:r>
        <w:rPr>
          <w:i/>
        </w:rPr>
        <w:t>why</w:t>
      </w:r>
      <w:r>
        <w:t xml:space="preserve"> the earlier attempt failed. That is a genuine, transferable methodological result.</w:t>
      </w:r>
    </w:p>
    <w:p>
      <w:r>
        <w:rPr>
          <w:b/>
        </w:rPr>
        <w:t>Biggest technical weakness.</w:t>
      </w:r>
      <w:r>
        <w:t xml:space="preserve"> The MAE regression (+0.0186) is a real cost to typical-case accuracy that a single headline RMSE hides, and the operating point (w = 0.60) was chosen to optimise RMSE without an explicit statement of the business loss function that justifies that trade. Close behind: the concentration of the final accepted gain in two of four windows.</w:t>
      </w:r>
    </w:p>
    <w:p>
      <w:r>
        <w:rPr>
          <w:b/>
        </w:rPr>
        <w:t>Most important supporting evidence.</w:t>
      </w:r>
      <w:r>
        <w:t xml:space="preserve"> The independent reproduction — retraining both members from raw CSVs reproduced RMSE 2.0929 against the recorded 2.0929 — combined with the corruption test showing 0 of 38 features move when the future is destroyed.</w:t>
      </w:r>
    </w:p>
    <w:p>
      <w:r>
        <w:rPr>
          <w:b/>
        </w:rPr>
        <w:t>What should be improved next.</w:t>
      </w:r>
      <w:r>
        <w:t xml:space="preserve"> (i) State the loss function and re-select the blend weight against it rather than against RMSE by default; (ii) persist predictions for every accepted model and fix the mislabelled file; (iii) standardise the seed convention; (iv) if the business can re-forecast weekly, do that before any further modelling.</w:t>
      </w:r>
    </w:p>
    <w:p>
      <w:r>
        <w:rPr>
          <w:i/>
          <w:color w:val="555550"/>
          <w:sz w:val="17"/>
        </w:rPr>
        <w:t>Report generated from project artifacts by `MY_RESEARCH_PAPER/build_paper.py`. Every quantitative claim is read from a stored artifact at build time. Audit reproduction: `audit_reproduce.py`; metric table: `build_comparison.py`.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