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Система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автоматизации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индивидуальных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планов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. Каждый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курс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имеет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требования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 кредиты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и относится к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направлению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.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Студенты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могут выбирать себе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курсы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. Для получения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специализации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нужно прослушать определенный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набор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базовых курсов по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направлениям специализации и несколько дополнительных на общую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сумму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кредитов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Все курсы платные, студент может расходовать свой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бюджет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кредитов на разные курсы. Поэтому должен выбирать на какие курсы ходить, чтобы получить специализацию.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Деканат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может составлять типовые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программы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.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Профессора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могут ставить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оценки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, студенты отслеживать свою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успеваемость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, деканат получать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отчеты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об успеваемости по направлениям и специализациям.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Система автоматизации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планы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курс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кредиты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направление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студенты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специализация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набор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сумма кредитов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бюджет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деканат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профессора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оценки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успеваемость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отчет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курс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кредиты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направление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студент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специализация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набор курсов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бюджет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деканат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профессора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оценки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успеваемость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отчет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курс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кредиты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направление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студент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специализация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набор курсов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бюджет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деканат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профессора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оценки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успеваемость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отчет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  <w:t xml:space="preserve">xlty ntctn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