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s6hokyupxj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Astate 전반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kyoxvvgkr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Asthate Asset Management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323850</wp:posOffset>
            </wp:positionV>
            <wp:extent cx="1547813" cy="1547813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1547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아스타테 자산 운용사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wnalq3uri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Pre-Launch Operating Framework &amp; Risk Policy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(Internal Master Document — v0.9 Draft)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http://asthate.com/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Purpose (목적)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Astate AM의 운영 구조, 포트폴리오 할당 논리, 리스크 관리 규칙, 보고 기준 및 유틸리티 계층으로서의 ASTH 토큰의 역할을 정의합니다. 외부 자본을 수용하기 전의 모호성을 줄이고 변화하는 시장 상황에서 일관된 의사 결정을 보장하도록 설계되었습니다.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spuscxugu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Mission and Scope</w:t>
      </w:r>
    </w:p>
    <w:p w:rsidR="00000000" w:rsidDel="00000000" w:rsidP="00000000" w:rsidRDefault="00000000" w:rsidRPr="00000000" w14:paraId="0000000B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Mission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  <w:rtl w:val="0"/>
        </w:rPr>
        <w:t xml:space="preserve">Astate AM은 체계적인 포트폴리오 구성과 체계적인 실행을 통해 위험관리형 암호화폐 수익률을 제공하는 것을 목표로 합니다: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Yield Strategies (이자농사 / 수익형)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Automated Trading Systems (자동매매 / 규칙 기반 운용)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Strategic Investing (전략투자 / 특정 토큰 중장기 포지션)</w:t>
        <w:br w:type="textWrapping"/>
      </w:r>
    </w:p>
    <w:p w:rsidR="00000000" w:rsidDel="00000000" w:rsidP="00000000" w:rsidRDefault="00000000" w:rsidRPr="00000000" w14:paraId="00000010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Scope and Non-Scope</w:t>
      </w:r>
    </w:p>
    <w:p w:rsidR="00000000" w:rsidDel="00000000" w:rsidP="00000000" w:rsidRDefault="00000000" w:rsidRPr="00000000" w14:paraId="00000011">
      <w:pPr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 Scope (초기 운용 범위에 포함)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안정적인 수익 창출을 목표로 하는 이자 농사 및 보수적인 DeFi 수익 전략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엄격한 최대 손실 한도(Drawdown Control)를 적용한 규칙 기반 자동매매 전략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사전에 정의된 투자 논리(Thesis)와 위험 한도(Risk Caps)에 따른 전략적 투자</w:t>
        <w:br w:type="textWrapping"/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Out of Scope (초기 단계에서는 제외)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거래소 간 차익거래 (Cross-exchange Arbitrage)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고레버리지를 사용하는 재량적 트레이딩 (High-leverage Discretionary Trading)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ind w:left="720" w:hanging="360"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유동성이 낮은 소형 코인, 검증되지 않은 컨트랙트, 또는 감사되지 않은 프로토콜</w:t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huhur3a9so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자금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wgyetvqot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Capital Structure &amp; Wallet Segregation (자금 분리 원칙)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ujec5igek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Capital Segments (자금 구분)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Astate AM 은 자금구조가 섞이지 않게 확실한 분리체계로 자금을 관리합니다다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 Capital (운용자금 / 외부 자금)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투자자 자금 (운용 목적)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절대 운영비/개인비용/실험비용과 혼합 금지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Treasury / Operations Capital (운영자금)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서버비, 개발비, 법무/회계, 도메인/툴 구독 등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운용 손실 보전용으로 전용하지 않음 (명시적 정책)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Experimental / R&amp;D Capital (실험자금)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전략 실험, LP 테스트, 툴 검증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성과/손실은 “운용 성과”에 포함시키지 않음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Token Ecosystem Capital (ASTH 관련 자금)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likely 개인자금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ASTH 유동성(DEX LP), 리워드 프로그램 예산 등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Capital과 분리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r3e1qjztr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Wallet Policy (지갑 정책)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Segment별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지갑 주소를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하고, 문서로 고정한다.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멀티시그(Multisig)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최소 2단계 승인 구조를 점진적으로 도입한다.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송금/이동은 Astate 의 내부 시스템을 통해  “목적”과 “승인자”를 로그로 남긴다.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sfclxgf03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Portfolio Strategy Framework (전략 프레임워크)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4egn56zkl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Core Strategy Buckets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Astate AM’s initial portfolio is organized into three engines: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eknvoyxse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A) Yield Engine (이자농사/수익형)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안정적 수익(수익률의 변동성 최소화)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대형/검증된 lending/borrowing 시장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과도한 인센티브 기반 농사(토큰 뿌리기)보다는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지속 가능한 이자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Constraints: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스마트컨트랙트 리스크/탈중앙 프로토콜 리스크를 고려해 상한 설정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익스포저와 프로토콜 집중도 제한(단일 프로토콜 쏠림 금지)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2wznuyfa2m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B) Systematic Trading Engine (자동매매)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Asthate 내부의 고도화된 전략적 규칙 기반 매매로 “감정 제거” + 손실 제한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Method: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명시적 진입/청산 규칙, 최대 손실 한도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레버리지/마진은 초기 단계에서는 매우 보수적으로(또는 미사용)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Constraints: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전략별, 일별, 주별 손실 제한(섹션 5)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“한 번에 크게”보다 “작게 여러 번”을 기본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gmhldniozm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C) Strategic Investing Engine (전략투자)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특정 토큰의 구조적 성장/내러티브/실사용에 기반한 중장기 포지션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Principles: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명시된 투자 논리(Thesis)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기반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포지션 사이징과 손절/리밸런싱 규칙을 사전에 고정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Constraints: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단일 토큰 집중도 제한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언락/토큰 공급 스케줄/VC 물량/팀 물량 리스크 반영</w:t>
        <w:br w:type="textWrapping"/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k8p7phhzlu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포트폴리오 / 자금 조달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ih8expmo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Allocation Policy (자금 배분 정책)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0mleyo1al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Capital funding (자본 조달)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Total Capital Target: USD 100,000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운용 배분</w:t>
      </w:r>
    </w:p>
    <w:tbl>
      <w:tblPr>
        <w:tblStyle w:val="Table1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2120"/>
        <w:gridCol w:w="1490"/>
        <w:tblGridChange w:id="0">
          <w:tblGrid>
            <w:gridCol w:w="4145"/>
            <w:gridCol w:w="2120"/>
            <w:gridCol w:w="14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Allocation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Yield Strategies (Stable / DeFi Yield)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$54,000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54%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Automated Trading Strategies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$27,000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27%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Strategic Investing (Token-based)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$9,000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Liquidity Reserve / Risk Buffer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Operational Float / Fees Buffer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ASTH 크립토는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관리 자금과 100% 분리됨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tnd2319gj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Base Allocation (초기 기본 배분)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초기(Pre-Launch~초기 운용) 기본 배분의 예시는 아래와 같다.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(향후 시장환경/검증 수준에 따라 조정 가능하나, 변경은 문서화 후 적용)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Yield Engine:</w:t>
      </w:r>
      <w:r w:rsidDel="00000000" w:rsidR="00000000" w:rsidRPr="00000000">
        <w:rPr>
          <w:rtl w:val="0"/>
        </w:rPr>
        <w:t xml:space="preserve"> 60%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Systematic Trading Engine:</w:t>
      </w:r>
      <w:r w:rsidDel="00000000" w:rsidR="00000000" w:rsidRPr="00000000">
        <w:rPr>
          <w:rtl w:val="0"/>
        </w:rPr>
        <w:t xml:space="preserve"> 30%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Investing Engine:</w:t>
      </w:r>
      <w:r w:rsidDel="00000000" w:rsidR="00000000" w:rsidRPr="00000000">
        <w:rPr>
          <w:rtl w:val="0"/>
        </w:rPr>
        <w:t xml:space="preserve"> 10%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jyq5inaac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Dynamic Allocation Rules (동적 조정 규칙)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조건에서만 소규모의 비중 조정을 허용한다: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Volatility Regime(변동성 체제) 변화: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변동성 급증 시 → Trading 비중 축소, Yield 비중 증가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Drawdown Trigger(손실 트리거):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특정 엔진이 손실 한도를 넘으면 → 해당 엔진 자동 축소/중단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Opportunity Windows(기회 구간):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전략투자에서 “명시적 이벤트”가 있을 때(예: 네트워크 업그레이드, 실사용 증가, 온체인 지표 개선)</w:t>
        <w:br w:type="textWrapping"/>
        <w:t xml:space="preserve"> 단,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사전 정의된 명확한 조건 충족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있어야 함</w:t>
      </w:r>
    </w:p>
    <w:p w:rsidR="00000000" w:rsidDel="00000000" w:rsidP="00000000" w:rsidRDefault="00000000" w:rsidRPr="00000000" w14:paraId="0000006C">
      <w:pPr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ai8r249h81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자동매매 봇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Bitcoin dominance 추종 봇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봇의 로직 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“결국 90프로의 코인은 사라지거나 약화된다” 의 로직 사용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비트코인 도미넌스는 장기적으로 우상향 추세, 단, 펀딩비 등의 여러가지 이슈로 인해 비트코인 도미넌스 선물 자체 홀딩에는 부담감이 있음 → 더욱 고도화된 비트코인 도미넌스 자동매매봇을 만들자 “장기적으로 돈을 벌 수 밖에 없는”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로직은 추후 업데이트 예정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  <w:sectPr>
          <w:head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1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wqfkywzsp9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리스크관리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b6wyg7w4g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Risk Management Policy (리스크 관리: 가장 중요)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hcugeq85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Global Risk Limits (전체 한도)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Max Portfolio Drawdown (전체 최대 손실 한도):</w:t>
      </w:r>
      <w:r w:rsidDel="00000000" w:rsidR="00000000" w:rsidRPr="00000000">
        <w:rPr>
          <w:rtl w:val="0"/>
        </w:rPr>
        <w:t xml:space="preserve"> 20%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Weekly Loss Limit (주간 손실 한도):</w:t>
      </w:r>
      <w:r w:rsidDel="00000000" w:rsidR="00000000" w:rsidRPr="00000000">
        <w:rPr>
          <w:rtl w:val="0"/>
        </w:rPr>
        <w:t xml:space="preserve"> 5%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Daily Loss Limit (일간 손실 한도):</w:t>
      </w:r>
      <w:r w:rsidDel="00000000" w:rsidR="00000000" w:rsidRPr="00000000">
        <w:rPr>
          <w:rtl w:val="0"/>
        </w:rPr>
        <w:t xml:space="preserve"> 2%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Asthate 는 리스크를 중요시하는 만큼 ‘복구능력’ 또한 명시적으로 지닐것이며, 투자자들의 신뢰를 위한 복구능력과 담보에 대한 개념을 확실시한다.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kb2t35ytg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Engine-Level Risk Limits (전략별 한도)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엔진은 별도의 손실 제한을 가진다: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Yield: 스마트컨트랙트/디페그/청산 리스크 고려 → 프로토콜 집중도 제한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전략별 max loss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연속 손실 횟수 제한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이상 시 자동 중단(kill switch)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Investing: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단일 토큰 비중 상한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손절/리밸런싱 규칙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언락/공급 증가 이벤트 전후 리스크 축소 규칙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vstl1tiqo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5.3 Protocol &amp; Counterparty Risk (프로토콜/상대방 리스크)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Yield 참여 시 아래 체크리스트 필수: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감사(Audit) 여부 및 신뢰도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TVL/사용기간/해킹 이력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키/업그레이드 권한 구조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담보자산의 디페그 가능성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출금 대기시간, 청산 리스크, 슬리피지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l73ej06prt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5.4 “Stop Conditions” (중단 조건)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상황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즉시 전략 중단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포지션 축소: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예상치 못한 대규모 가격 괴리/디페그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프로토콜 취약점/해킹/중대한 버그 공지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거래소/브로커 출금 제한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알고리즘/봇의 비정상 체결, 반복 오류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손실 한도 초과</w:t>
        <w:br w:type="textWrapping"/>
      </w:r>
    </w:p>
    <w:p w:rsidR="00000000" w:rsidDel="00000000" w:rsidP="00000000" w:rsidRDefault="00000000" w:rsidRPr="00000000" w14:paraId="0000009A">
      <w:pPr>
        <w:rPr/>
        <w:sectPr>
          <w:head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2u2okme8mo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성과 목표와 커뮤니케이션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6.1 회사의 철칙</w:t>
      </w:r>
    </w:p>
    <w:p w:rsidR="00000000" w:rsidDel="00000000" w:rsidP="00000000" w:rsidRDefault="00000000" w:rsidRPr="00000000" w14:paraId="0000009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성과는 투자 기간 및 감수한 위험 수준에 따라 달라지며, ASTHATE는 어떠한 경우에도 일정한 IRR을 보장하지 않는다.</w:t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ASTHATE는 단기 성과보다 리스크 관리와 자본 보존을 최우선 가치로 둔다.</w:t>
      </w:r>
    </w:p>
    <w:p w:rsidR="00000000" w:rsidDel="00000000" w:rsidP="00000000" w:rsidRDefault="00000000" w:rsidRPr="00000000" w14:paraId="0000009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ASTHATE의 토큰 관련 자본과 자산 관리(AUM) 자본은 법적·재무적·운용적으로 완전히 독립된 구조로 관리된다.</w:t>
      </w:r>
    </w:p>
    <w:p w:rsidR="00000000" w:rsidDel="00000000" w:rsidP="00000000" w:rsidRDefault="00000000" w:rsidRPr="00000000" w14:paraId="000000A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운용 전략과 다른 방향성의 전략을 채택할 경우, ASTHATE는 이를 사전에 또는 적시에 투자자에게 고지한다.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ASTHATE는 투자자를 대상으로, 리스크, 운용 원칙, 주요 구조에 대해 합리적인 수준의 투명성을 유지하는 것을 목표로 한다.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hb2ocq315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Reporting &amp; Transparency (리포팅 체계)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4tib9iesd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Reporting Frequency (주기)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Snapshot: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수익률, 주요 이벤트, 리스크 지표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Report: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전략별 기여도, drawdown, 포지션 요약, 다음 달 전략 방향</w:t>
      </w:r>
    </w:p>
    <w:p w:rsidR="00000000" w:rsidDel="00000000" w:rsidP="00000000" w:rsidRDefault="00000000" w:rsidRPr="00000000" w14:paraId="000000A7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단, 세부적인 전략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조건은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접근이 제한될 수 있음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yzvfuk38ao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Minimum Reporting Fields (최소 포함 항목)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기간 수익률(weekly/monthly)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엔진별 기여도(Yield/Trading/Strategic)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 손실 구간(MDD)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 이벤트(디페그/해킹/시장 급변 등) (있다면)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변경 사항(있다면)</w:t>
      </w:r>
    </w:p>
    <w:p w:rsidR="00000000" w:rsidDel="00000000" w:rsidP="00000000" w:rsidRDefault="00000000" w:rsidRPr="00000000" w14:paraId="000000AE">
      <w:pPr>
        <w:rPr/>
        <w:sectPr>
          <w:head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9kywwn3qrx9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ASTH 토큰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3nyumvtxzsfp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8) ASTH Token Role (ASTH 유틸리티 토큰 역할)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3569025</wp:posOffset>
            </wp:positionH>
            <wp:positionV relativeFrom="paragraph">
              <wp:posOffset>114300</wp:posOffset>
            </wp:positionV>
            <wp:extent cx="2157413" cy="2153829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2153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rydlpbe16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What ASTH is / is not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ASTH is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사람들이 Asthate 의 생태계에 참여하고, 관리하고, 혜택을 얻기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유틸리티 토큰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ASTH is not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 equity token (지분 토큰 아님)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profit-sharing token by default (자동 수익배분 토큰 아님)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NAV/IRR-tracking token (수익추종/펀드 지분 토큰 아님)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/>
      </w:pPr>
      <w:bookmarkStart w:colFirst="0" w:colLast="0" w:name="_x8isv61o7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ASTH Utility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Utility Option A — Access (접근권)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ASTH 보유/락 조건 충족 시: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전략 리서치 리포트 열람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프라이빗 업데이트 채널 혹은 VIP 사이트 접근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기능 베타 접근</w:t>
      </w:r>
    </w:p>
    <w:p w:rsidR="00000000" w:rsidDel="00000000" w:rsidP="00000000" w:rsidRDefault="00000000" w:rsidRPr="00000000" w14:paraId="000000BE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공격적인 포트폴리오 열람</w:t>
      </w:r>
    </w:p>
    <w:p w:rsidR="00000000" w:rsidDel="00000000" w:rsidP="00000000" w:rsidRDefault="00000000" w:rsidRPr="00000000" w14:paraId="000000BF">
      <w:pPr>
        <w:numPr>
          <w:ilvl w:val="2"/>
          <w:numId w:val="2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VC, crypto 확장시 얼리엑세스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Utility Option B — Fee Benefits (수수료 / 배당 혜택)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ASTH 홀딩/락 티어에 따라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 수수료 할인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서비스 이용 수수료 할인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Utility Option C — Participation (참여 자격)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설문/비구속적 투표(roadmap 우선순위 등)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기여 프로그램 참여 자격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 의 자금조달 / 자금관리 방향성 일정기여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5gtjnx53du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8.3 Token Program Governance (토큰 프로그램 운영 원칙)</w:t>
      </w:r>
    </w:p>
    <w:p w:rsidR="00000000" w:rsidDel="00000000" w:rsidP="00000000" w:rsidRDefault="00000000" w:rsidRPr="00000000" w14:paraId="000000C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ASTH 관련 정책(혜택/티어/조건)은 문서로 고정하고, 변경 시 공지한다.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유동성/시장 안정화 목적의 조치는 투자자 자금과는 완전히 분리된 Token Capital로만 한다.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5u77aw7nx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루트 A: “구조형 토큰” (가장 현실적)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체인은 빌리고, 구조는 새로 만든다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기반: Ethereum / L2 / BNB 계열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토큰은 단순하지만: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🔹 수익 분배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🔹 리스크 흡수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🔹 자동 리밸런싱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🔹 특정 조건 트리거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토큰이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금융 엔진의 핵심 부품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이건 네가 이미 관심 있는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자동매매 / 자산운용 / 구조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랑 직결됨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sxp15sz7z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루트 B: “준-체인 느낌” (브랜딩 + 구조)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실제로는 앱체인 / 모듈형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입장에선:</w:t>
        <w:br w:type="textWrapping"/>
        <w:br w:type="textWrapping"/>
        <w:br w:type="textWrapping"/>
        <w:t xml:space="preserve"> “이거 그냥 하나의 독립 네트워크 아님?”</w:t>
        <w:br w:type="textWrapping"/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실제론: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검증/보안은 메이저 체인 위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기능은 네가 설계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기술 리스크 ↓</w:t>
        <w:br w:type="textWrapping"/>
        <w:t xml:space="preserve"> 👉 인식은 “체인급 프로젝트”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7aj8m9ey5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루트 C: “체인 안 만들고도 체인처럼 보이게”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(이게 요즘 제일 많이 쓰는 전략)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Explorer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utility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fee 개념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Validator 흉내 구조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“느낌은 L1, 현실은 dApp”</w:t>
      </w:r>
    </w:p>
    <w:p w:rsidR="00000000" w:rsidDel="00000000" w:rsidP="00000000" w:rsidRDefault="00000000" w:rsidRPr="00000000" w14:paraId="000000E8">
      <w:pPr>
        <w:spacing w:after="240" w:before="240" w:lineRule="auto"/>
        <w:rPr/>
        <w:sectPr>
          <w:head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47nd09ltdw2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미래 로드맵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6f3wnjuhpe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10) Launch Phases (운용 단계별 로드맵)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3nkbw0qj4a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0 — Pre-Launch (지금)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규칙 고정 + 기록 시스템 구축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소액 실전 운용/검증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4주간 10K 의 개인 실험자금으로 운용 및 검증 예정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ASTH 토큰 정보 정리 및 UX &amp; UI 안정화</w:t>
        <w:br w:type="textWrapping"/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kqqtozc5vc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1 — Private Capital (초기 투자자)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보수적 운용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 규칙 엄격 적용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보고 체계 고정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자본확대!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xr3ikhomx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Scale-Up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전략 다변화(검증된 범위 내)</w:t>
      </w:r>
    </w:p>
    <w:p w:rsidR="00000000" w:rsidDel="00000000" w:rsidP="00000000" w:rsidRDefault="00000000" w:rsidRPr="00000000" w14:paraId="000000F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Crypto VC (벤처케피탈)</w:t>
      </w:r>
    </w:p>
    <w:p w:rsidR="00000000" w:rsidDel="00000000" w:rsidP="00000000" w:rsidRDefault="00000000" w:rsidRPr="00000000" w14:paraId="000000F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ASTH strategies</w:t>
      </w:r>
    </w:p>
    <w:p w:rsidR="00000000" w:rsidDel="00000000" w:rsidP="00000000" w:rsidRDefault="00000000" w:rsidRPr="00000000" w14:paraId="000000F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외에 여러 크립토 관련 사업 확장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인프라 강화(멀티시그, 모니터링, 자동 중단)</w:t>
      </w:r>
    </w:p>
    <w:p w:rsidR="00000000" w:rsidDel="00000000" w:rsidP="00000000" w:rsidRDefault="00000000" w:rsidRPr="00000000" w14:paraId="000000F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자동매매봇 로직 강화</w:t>
      </w:r>
    </w:p>
    <w:p w:rsidR="00000000" w:rsidDel="00000000" w:rsidP="00000000" w:rsidRDefault="00000000" w:rsidRPr="00000000" w14:paraId="000000F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웹사이트와 데이터베이스 기능확장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커뮤니케이션/리포팅 고도화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headerReference r:id="rId24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Microsoft Yahe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rPr/>
    </w:pPr>
    <w:r w:rsidDel="00000000" w:rsidR="00000000" w:rsidRPr="00000000">
      <w:rPr/>
      <w:pict>
        <v:shape id="PowerPlusWaterMarkObject4" style="position:absolute;width:524.0886686388895pt;height:114.11139188651858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nfidential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/>
      <w:pict>
        <v:shape id="PowerPlusWaterMarkObject8" style="position:absolute;width:524.0886686388895pt;height:114.11139188651858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nfidential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/>
      <w:pict>
        <v:shape id="PowerPlusWaterMarkObject1" style="position:absolute;width:524.0886686388895pt;height:114.11139188651858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nfidential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/>
      <w:pict>
        <v:shape id="PowerPlusWaterMarkObject7" style="position:absolute;width:524.0886686388895pt;height:114.11139188651858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nfidential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rPr/>
    </w:pPr>
    <w:r w:rsidDel="00000000" w:rsidR="00000000" w:rsidRPr="00000000">
      <w:rPr/>
      <w:pict>
        <v:shape id="PowerPlusWaterMarkObject2" style="position:absolute;width:524.0886686388895pt;height:114.11139188651858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nfidential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rPr/>
    </w:pPr>
    <w:r w:rsidDel="00000000" w:rsidR="00000000" w:rsidRPr="00000000">
      <w:rPr/>
      <w:pict>
        <v:shape id="PowerPlusWaterMarkObject6" style="position:absolute;width:524.0886686388895pt;height:114.11139188651858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nfidential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/>
    </w:pPr>
    <w:r w:rsidDel="00000000" w:rsidR="00000000" w:rsidRPr="00000000">
      <w:rPr/>
      <w:pict>
        <v:shape id="PowerPlusWaterMarkObject3" style="position:absolute;width:524.0886686388895pt;height:114.11139188651858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nfidential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/>
    </w:pPr>
    <w:r w:rsidDel="00000000" w:rsidR="00000000" w:rsidRPr="00000000">
      <w:rPr/>
      <w:pict>
        <v:shape id="PowerPlusWaterMarkObject5" style="position:absolute;width:524.0886686388895pt;height:114.11139188651858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nfidential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2.xml"/><Relationship Id="rId11" Type="http://schemas.openxmlformats.org/officeDocument/2006/relationships/header" Target="header4.xml"/><Relationship Id="rId22" Type="http://schemas.openxmlformats.org/officeDocument/2006/relationships/header" Target="header13.xml"/><Relationship Id="rId10" Type="http://schemas.openxmlformats.org/officeDocument/2006/relationships/header" Target="header3.xml"/><Relationship Id="rId21" Type="http://schemas.openxmlformats.org/officeDocument/2006/relationships/image" Target="media/image2.png"/><Relationship Id="rId13" Type="http://schemas.openxmlformats.org/officeDocument/2006/relationships/header" Target="header6.xml"/><Relationship Id="rId24" Type="http://schemas.openxmlformats.org/officeDocument/2006/relationships/header" Target="header15.xml"/><Relationship Id="rId12" Type="http://schemas.openxmlformats.org/officeDocument/2006/relationships/header" Target="header5.xml"/><Relationship Id="rId23" Type="http://schemas.openxmlformats.org/officeDocument/2006/relationships/header" Target="header1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eader" Target="header7.xml"/><Relationship Id="rId14" Type="http://schemas.openxmlformats.org/officeDocument/2006/relationships/image" Target="media/image1.png"/><Relationship Id="rId17" Type="http://schemas.openxmlformats.org/officeDocument/2006/relationships/header" Target="header9.xml"/><Relationship Id="rId16" Type="http://schemas.openxmlformats.org/officeDocument/2006/relationships/header" Target="header8.xml"/><Relationship Id="rId5" Type="http://schemas.openxmlformats.org/officeDocument/2006/relationships/styles" Target="styles.xml"/><Relationship Id="rId19" Type="http://schemas.openxmlformats.org/officeDocument/2006/relationships/header" Target="header11.xml"/><Relationship Id="rId6" Type="http://schemas.openxmlformats.org/officeDocument/2006/relationships/image" Target="media/image3.png"/><Relationship Id="rId18" Type="http://schemas.openxmlformats.org/officeDocument/2006/relationships/header" Target="header10.xml"/><Relationship Id="rId7" Type="http://schemas.openxmlformats.org/officeDocument/2006/relationships/hyperlink" Target="http://asthate.com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