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b/>
          <w:bCs/>
          <w:color w:val="2A9D8F"/>
          <w:spacing w:val="80"/>
          <w:sz w:val="24"/>
          <w:szCs w:val="24"/>
        </w:rPr>
        <w:t xml:space="preserve">MARKET &amp; STRATEGY REPORT</w:t>
      </w:r>
    </w:p>
    <w:p>
      <w:pPr>
        <w:spacing w:after="120" w:before="120"/>
      </w:pPr>
      <w:r>
        <w:rPr>
          <w:b/>
          <w:bCs/>
          <w:color w:val="1F3A5F"/>
          <w:sz w:val="64"/>
          <w:szCs w:val="64"/>
        </w:rPr>
        <w:t xml:space="preserve">Nickel Bronze Alloys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Nickel-Aluminium Bronze &amp; C99500 family: composition, demand, pricing (LME, INR), competition and recommendations for Bajaj Alloys</w:t>
      </w:r>
    </w:p>
    <w:p>
      <w:pPr>
        <w:pBdr>
          <w:top w:val="single" w:color="2A9D8F" w:sz="12" w:space="8"/>
        </w:pBdr>
        <w:spacing w:before="600"/>
      </w:pPr>
      <w:r>
        <w:rPr>
          <w:b/>
          <w:bCs/>
          <w:sz w:val="22"/>
          <w:szCs w:val="22"/>
        </w:rPr>
        <w:t xml:space="preserve">Prepared for: Bajaj Alloys</w:t>
      </w:r>
    </w:p>
    <w:p>
      <w:pPr>
        <w:spacing w:after="100" w:line="264"/>
      </w:pPr>
      <w:r>
        <w:rPr>
          <w:sz w:val="21"/>
          <w:szCs w:val="21"/>
        </w:rPr>
        <w:t xml:space="preserve">Date: 4 October 2026</w:t>
      </w:r>
    </w:p>
    <w:p>
      <w:pPr>
        <w:spacing w:after="100" w:line="264"/>
      </w:pPr>
      <w:r>
        <w:rPr>
          <w:color w:val="5A6472"/>
          <w:sz w:val="21"/>
          <w:szCs w:val="21"/>
        </w:rPr>
        <w:t xml:space="preserve">Price basis: LME 3-month Cu US$14,258/t, Ni US$15,626/t; USD/INR 96.3</w:t>
      </w:r>
    </w:p>
    <w:p>
      <w:pPr>
        <w:spacing w:before="1800"/>
      </w:pPr>
      <w:r>
        <w:rPr>
          <w:i/>
          <w:iCs/>
          <w:color w:val="5A6472"/>
          <w:sz w:val="17"/>
          <w:szCs w:val="17"/>
        </w:rPr>
        <w:t xml:space="preserve">Note: Market sizes, growth rates, competitor scores and conversion premiums are indicative analyst estimates for planning, not audited data. Compositions are nominal and should be verified against the applicable ASTM/customer specification before commercial use.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1. Executive Summary</w:t>
      </w:r>
    </w:p>
    <w:p>
      <w:pPr>
        <w:spacing w:after="100" w:line="264"/>
      </w:pPr>
      <w:r>
        <w:rPr>
          <w:sz w:val="21"/>
          <w:szCs w:val="21"/>
        </w:rPr>
        <w:t xml:space="preserve">Nickel bronzes are copper-based casting alloys in which nickel (with aluminium, iron and manganese) delivers high strength, outstanding seawater and cavitation resistance and good wear behaviour. The family spans nickel-aluminium bronzes (NAB: C95400, C95500, C95510, C95800), the lower-aluminium nickel-iron bronzes C99400 / C99500 and the copper-nickel C96400. C99500 is the focus alloy for this study.</w:t>
      </w:r>
    </w:p>
    <w:p>
      <w:pPr>
        <w:spacing w:after="80"/>
      </w:pP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₹1,442–1,736</w:t>
            </w:r>
          </w:p>
          <w:p>
            <w:pPr>
              <w:jc w:val="center"/>
            </w:pPr>
            <w:r>
              <w:rPr>
                <w:color w:val="5A6472"/>
                <w:sz w:val="16"/>
                <w:szCs w:val="16"/>
              </w:rPr>
              <w:t xml:space="preserve">Indicative alloy price per kg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~5.8%</w:t>
            </w:r>
          </w:p>
          <w:p>
            <w:pPr>
              <w:jc w:val="center"/>
            </w:pPr>
            <w:r>
              <w:rPr>
                <w:color w:val="5A6472"/>
                <w:sz w:val="16"/>
                <w:szCs w:val="16"/>
              </w:rPr>
              <w:t xml:space="preserve">Indicative demand CAGR 2025–32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~32%</w:t>
            </w:r>
          </w:p>
          <w:p>
            <w:pPr>
              <w:jc w:val="center"/>
            </w:pPr>
            <w:r>
              <w:rPr>
                <w:color w:val="5A6472"/>
                <w:sz w:val="16"/>
                <w:szCs w:val="16"/>
              </w:rPr>
              <w:t xml:space="preserve">Share of demand from marine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~₹1,505</w:t>
            </w:r>
          </w:p>
          <w:p>
            <w:pPr>
              <w:jc w:val="center"/>
            </w:pPr>
            <w:r>
              <w:rPr>
                <w:color w:val="5A6472"/>
                <w:sz w:val="16"/>
                <w:szCs w:val="16"/>
              </w:rPr>
              <w:t xml:space="preserve">Nickel at LME, per kg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~₹1,373</w:t>
            </w:r>
          </w:p>
          <w:p>
            <w:pPr>
              <w:jc w:val="center"/>
            </w:pPr>
            <w:r>
              <w:rPr>
                <w:color w:val="5A6472"/>
                <w:sz w:val="16"/>
                <w:szCs w:val="16"/>
              </w:rPr>
              <w:t xml:space="preserve">Copper at LME, per kg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Raw-material led pricing:</w:t>
      </w:r>
      <w:r>
        <w:rPr>
          <w:sz w:val="21"/>
          <w:szCs w:val="21"/>
        </w:rPr>
        <w:t xml:space="preserve"> Copper and nickel together make up roughly 85–95% of metal value in every alloy here, so alloy prices track LME closely. Each 10% move in LME nickel shifts C99500 by about ₹7/kg and C96400 by about ₹45/kg.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Demand is anchored in marine, offshore and flow control,</w:t>
      </w:r>
      <w:r>
        <w:rPr>
          <w:sz w:val="21"/>
          <w:szCs w:val="21"/>
        </w:rPr>
        <w:t xml:space="preserve"> with defence indigenisation, port expansion (Sagarmala) and hydro/power the fastest-growing Indian pockets.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C99500 sits in a defensible middle niche:</w:t>
      </w:r>
      <w:r>
        <w:rPr>
          <w:sz w:val="21"/>
          <w:szCs w:val="21"/>
        </w:rPr>
        <w:t xml:space="preserve"> higher nickel/iron strength than C99400, cheaper than NAB heat-treated grades and easy to cast, which suits pump, valve and bushing castings for Indian OEMs.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Recommendation:</w:t>
      </w:r>
      <w:r>
        <w:rPr>
          <w:sz w:val="21"/>
          <w:szCs w:val="21"/>
        </w:rPr>
        <w:t xml:space="preserve"> launch a focused C99500 + C95800 + C95500 portfolio, lock in metal-price-linked contracts, invest in spectrometer and heat-treatment capability and target marine, defence and pump OEM customers (Section 9).</w:t>
      </w:r>
    </w:p>
    <w:p>
      <w:pPr>
        <w:spacing w:after="80"/>
      </w:pP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2. Alloy family &amp; composition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3. Market demand &amp; growth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4. Applications by sector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5. Pricing – LME-linked, in INR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6. Competitive landscape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7. Comparative analysis of the family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8. SWOT, PESTLE &amp; Porter's Five Forces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9. Recommendations for Bajaj Alloys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2. Alloy Family &amp; Composition</w:t>
      </w:r>
    </w:p>
    <w:p>
      <w:pPr>
        <w:spacing w:after="100" w:line="264"/>
      </w:pPr>
      <w:r>
        <w:rPr>
          <w:sz w:val="21"/>
          <w:szCs w:val="21"/>
        </w:rPr>
        <w:t xml:space="preserve">The table lists the principal nickel bronze grades (UNS designations) with nominal composition. Copper is shown as the balance. Values are indicative mid-range figures rather than specification limits.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48"/>
        <w:gridCol w:w="848"/>
        <w:gridCol w:w="848"/>
        <w:gridCol w:w="848"/>
        <w:gridCol w:w="848"/>
        <w:gridCol w:w="848"/>
        <w:gridCol w:w="848"/>
        <w:gridCol w:w="2400"/>
      </w:tblGrid>
      <w:tr>
        <w:trPr>
          <w:tblHeader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UNS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Mn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Zn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/ note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C95400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84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NAB, general-purpose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C95500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79.9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4.3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10.8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NAB, heat-treatable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C95510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80.2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NAB, high-Ni, low-Si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C95800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81.2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NAB, marine standard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C99400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92.8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Ni-Fe bronze, low 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C99500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88.3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4.5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1.2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Ni-Fe-Al-Si bronze (focus)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C96400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68.1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0.9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8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Cu-30Ni, seawater</w:t>
            </w:r>
          </w:p>
        </w:tc>
      </w:tr>
    </w:tbl>
    <w:p>
      <w:pPr>
        <w:spacing w:after="80"/>
      </w:pPr>
    </w:p>
    <w:p>
      <w:pPr>
        <w:spacing w:after="20" w:before="6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c1.png" descr="Figure 1: Nominal composition of nickel bronze grades (wt%)" title="Figure 1: Nominal composition of nickel bronze grades (wt%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1: Nominal composition of nickel bronze grades (wt%)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c2.png" descr="Figure 2: Nickel and aluminium content by grade" title="Figure 2: Nickel and aluminium content by 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2: Nickel and aluminium content by grade</w:t>
      </w:r>
    </w:p>
    <w:p>
      <w:pPr>
        <w:spacing w:after="100" w:line="264"/>
      </w:pPr>
      <w:r>
        <w:rPr>
          <w:sz w:val="21"/>
          <w:szCs w:val="21"/>
        </w:rPr>
        <w:t xml:space="preserve">Reading the chart: the NAB grades carry 9–11% aluminium that forms a hard kappa phase, the source of high strength and cavitation resistance. C99400/C99500 trade much of that aluminium for nickel, iron and silicon, giving moderate strength with simpler melting and casting. C96400 is a different route: 30% nickel gives superior seawater corrosion resistance at a higher metal cost.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3. Market Demand &amp; Growth</w:t>
      </w:r>
    </w:p>
    <w:p>
      <w:pPr>
        <w:spacing w:after="100" w:line="264"/>
      </w:pPr>
      <w:r>
        <w:rPr>
          <w:sz w:val="21"/>
          <w:szCs w:val="21"/>
        </w:rPr>
        <w:t xml:space="preserve">Demand for copper-nickel and nickel-aluminium bronze castings is tied to capital-goods cycles: shipbuilding and ship repair, offshore oil &amp; gas, desalination, power and defence. Indicative planning assumptions are shown below.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c5.png" descr="Figure 3: Indicative global demand index (2024 = 1.00)" title="Figure 3: Indicative global demand index (2024 = 1.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3: Indicative global demand index (2024 = 1.00)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c7.png" descr="Figure 4: Indicative India demand growth by end-use sector" title="Figure 4: Indicative India demand growth by end-use 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4: Indicative India demand growth by end-use sector</w:t>
      </w: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Demand drivers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Shipbuilding &amp; naval programmes:</w:t>
      </w:r>
      <w:r>
        <w:rPr>
          <w:sz w:val="21"/>
          <w:szCs w:val="21"/>
        </w:rPr>
        <w:t xml:space="preserve"> Indian shipbuilding incentives, indigenous warship builds and the National Maritime vision drive propellers, shafts bearings and seawater pumps.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Energy infrastructure:</w:t>
      </w:r>
      <w:r>
        <w:rPr>
          <w:sz w:val="21"/>
          <w:szCs w:val="21"/>
        </w:rPr>
        <w:t xml:space="preserve"> offshore platforms, hydro turbines and desalination plants specify NAB for erosion and cavitation resistance.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Import substitution:</w:t>
      </w:r>
      <w:r>
        <w:rPr>
          <w:sz w:val="21"/>
          <w:szCs w:val="21"/>
        </w:rPr>
        <w:t xml:space="preserve"> OEMs seek local sources for castings now imported at long lead times.</w:t>
      </w: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Price volatility</w:t>
      </w:r>
      <w:r>
        <w:rPr>
          <w:sz w:val="21"/>
          <w:szCs w:val="21"/>
        </w:rPr>
        <w:t xml:space="preserve"> of LME copper and nickel; lengthy qualification cycles (classification societies, defence approvals); competition from stainless/duplex steels and polymer bearings in cost-driven uses.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4. Applications by Sector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c6.png" descr="Figure 5: Indicative end-use split of nickel bronze demand" title="Figure 5: Indicative end-use split of nickel bronze de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5: Indicative end-use split of nickel bronze demand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3238"/>
      </w:tblGrid>
      <w:tr>
        <w:trPr>
          <w:tblHeader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components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Preferred grades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Marine &amp; shipbuilding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Propellers, hubs, rudder fittings, seawater pump casings, bearings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C95800, C95500, C95400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Oil, gas &amp; offshore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Valve bodies, wear rings, subsea connectors, fire-water pumps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C95500, C95800, C95510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Pumps, valves &amp; flow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Impellers, volutes, gate/ball valve parts, bushes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C95400, C95800, C99500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Defence &amp; naval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Submarine/ship fittings, non-magnetic parts, gears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C95800, C95510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Power &amp; hydro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Turbine runners, guide-vane bushings, heat-exchanger parts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C95500, C95400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Mining &amp; heavy engineering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Wear plates, gear blanks, slide bearings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C95400, C99400, C99500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Desalination &amp; water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Pump parts, tubesheets, condenser components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C96400, C95800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Aerospace &amp; tooling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Landing-gear bushes, forming dies</w:t>
            </w:r>
          </w:p>
        </w:tc>
        <w:tc>
          <w:tcPr>
            <w:tcW w:type="dxa" w:w="3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C95510, C95500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A9D8F" w:sz="24"/>
              <w:bottom w:val="none"/>
              <w:right w:val="none"/>
            </w:tcBorders>
            <w:shd w:fill="E8F5F3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3A5F"/>
                <w:sz w:val="20"/>
                <w:szCs w:val="20"/>
              </w:rPr>
              <w:t xml:space="preserve">Insight: marine and offshore together account for roughly half of demand, so classification-society approvals (IRClass, DNV, LR, ABS) are the gate to the largest segment.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5. Pricing – LME-Linked, in INR</w:t>
      </w:r>
    </w:p>
    <w:p>
      <w:pPr>
        <w:spacing w:after="100" w:line="264"/>
      </w:pPr>
      <w:r>
        <w:rPr>
          <w:sz w:val="21"/>
          <w:szCs w:val="21"/>
        </w:rPr>
        <w:t xml:space="preserve">Method: alloy price = Σ (element weight % × LME price) × (1 + conversion premium) × USD/INR. Premiums (18–25%) cover melting loss, alloying, casting yield, testing and margin and are assumptions. Aluminium, iron, manganese, silicon and zinc are priced at assumed reference levels.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metal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LME / reference (US$/t)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₹ per kg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Copper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14,258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1,373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LME 3M close, 4 Oct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Nickel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15,626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1,505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LME 3M close, 4 Oct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Aluminium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2,900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279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Assumed reference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Iron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700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67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Assumed reference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Manganese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193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Assumed reference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Zinc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3,000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289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Assumed reference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Silicon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2,500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241</w:t>
            </w:r>
          </w:p>
        </w:tc>
        <w:tc>
          <w:tcPr>
            <w:tcW w:type="dxa" w:w="3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Assumed reference</w:t>
            </w:r>
          </w:p>
        </w:tc>
      </w:tr>
    </w:tbl>
    <w:p>
      <w:pPr>
        <w:spacing w:after="80"/>
      </w:pPr>
    </w:p>
    <w:p>
      <w:pPr>
        <w:spacing w:after="20" w:before="60"/>
        <w:jc w:val="center"/>
      </w:pPr>
      <w:r>
        <w:drawing>
          <wp:inline distT="0" distB="0" distL="0" distR="0">
            <wp:extent cx="5334000" cy="2562225"/>
            <wp:effectExtent t="0" r="0" b="0" l="0"/>
            <wp:docPr id="1" name="c3.png" descr="Figure 6: Indicative ingot / casting-alloy price (₹/kg) – metal value plus conversion premium" title="Figure 6: Indicative ingot / casting-alloy price (₹/kg) – metal value plus conversion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6: Indicative ingot / casting-alloy price (₹/kg) – metal value plus conversion premium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700"/>
        <w:gridCol w:w="2200"/>
        <w:gridCol w:w="2238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UNS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Metal value ₹/kg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Indicative price ₹/kg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₹ lakh / tonne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C95400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1,201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₹1,442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C95500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1,197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₹1,460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14.60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C95510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1,210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₹1,500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15.00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C95800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1,213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22%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₹1,480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14.80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C99400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1,314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₹1,551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15.51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C99500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1,292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₹1,524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15.24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C96400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1,389</w:t>
            </w:r>
          </w:p>
        </w:tc>
        <w:tc>
          <w:tcPr>
            <w:tcW w:type="dxa" w:w="1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₹1,736</w:t>
            </w:r>
          </w:p>
        </w:tc>
        <w:tc>
          <w:tcPr>
            <w:tcW w:type="dxa" w:w="2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17.36</w:t>
            </w:r>
          </w:p>
        </w:tc>
      </w:tr>
    </w:tbl>
    <w:p>
      <w:r>
        <w:br w:type="page"/>
      </w:r>
    </w:p>
    <w:p>
      <w:pPr>
        <w:spacing w:after="20" w:before="6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c4.png" descr="Figure 7: Sensitivity of alloy price to ±20% change in LME nickel" title="Figure 7: Sensitivity of alloy price to ±20% change in LME nick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7: Sensitivity of alloy price to ±20% change in LME nickel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c12.png" descr="Figure 8: Raw-material cost split – C95800 vs C99500" title="Figure 8: Raw-material cost split – C95800 vs C99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8: Raw-material cost split – C95800 vs C99500</w:t>
      </w:r>
    </w:p>
    <w:p>
      <w:pPr>
        <w:spacing w:after="100" w:line="264"/>
      </w:pPr>
      <w:r>
        <w:rPr>
          <w:sz w:val="21"/>
          <w:szCs w:val="21"/>
        </w:rPr>
        <w:t xml:space="preserve">Observation: copper carries the majority of cost in C99500, whereas C95800 benefits from low-cost aluminium and iron. C96400, with 30% nickel, is the most nickel-sensitive. Bajaj should quote with a published LME-linked formula (metal + fixed conversion) and hedge or back-to-back its metal purchase to protect margins.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A9D8F" w:sz="24"/>
              <w:bottom w:val="none"/>
              <w:right w:val="none"/>
            </w:tcBorders>
            <w:shd w:fill="E8F5F3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3A5F"/>
                <w:sz w:val="20"/>
                <w:szCs w:val="20"/>
              </w:rPr>
              <w:t xml:space="preserve">Sources: LME 3-month closing prices (Cu US$14,258.50/t; Ni US$15,626/t) and USD/INR ~96.3 as reported on 4 Oct 2026 from lme.com, tradingeconomics.com and market data aggregators. Prices exclude GST, freight and premiums over LME.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6. Competitive Landscape</w:t>
      </w:r>
    </w:p>
    <w:p>
      <w:pPr>
        <w:spacing w:after="100" w:line="264"/>
      </w:pPr>
      <w:r>
        <w:rPr>
          <w:sz w:val="21"/>
          <w:szCs w:val="21"/>
        </w:rPr>
        <w:t xml:space="preserve">The market is a mix of global specialists with certified, broad ranges and a fragmented set of regional Indian foundries competing on price and delivery. Scores below (1–5) are a qualitative author assessment to frame positioning, not measured data.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c10.png" descr="Figure 9: Competitor positioning heat-map (qualitative)" title="Figure 9: Competitor positioning heat-map (qualita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9: Competitor positioning heat-map (qualitative)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4038"/>
      </w:tblGrid>
      <w:tr>
        <w:trPr>
          <w:tblHeader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Player type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Competitive stance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Global specialists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Wieland, Diehl Metall, Aurubis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Broad range, strong R&amp;D, premium pricing, global approvals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Casting specialists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Concast Metal Products, Ampco Metal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Deep foundry know-how, large NAB propeller / heavy-section capability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Indian foundries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Regional and unorganised foundries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 price, short lead times, inconsistent chemistry / certification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Importers / traders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Stockists of imported ingot and castings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Fill gaps; exposed to FX and long lead times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Substitutes</w:t>
            </w:r>
          </w:p>
        </w:tc>
        <w:tc>
          <w:tcPr>
            <w:tcW w:type="dxa" w:w="3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Duplex &amp; super-duplex steel, titanium, polymer bearings</w:t>
            </w:r>
          </w:p>
        </w:tc>
        <w:tc>
          <w:tcPr>
            <w:tcW w:type="dxa" w:w="40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Win on cost or weight in specific applications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sz w:val="21"/>
          <w:szCs w:val="21"/>
        </w:rPr>
        <w:t xml:space="preserve">Bajaj Alloys’ edge: scrap-based copper-alloy sourcing know-how, domestic cost base and agility. Gaps to close: international certifications, NAB heat-treatment capability and brand recognition with marine and defence buyers.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7. Comparative Analysis of the Alloy Family</w:t>
      </w:r>
    </w:p>
    <w:p>
      <w:pPr>
        <w:spacing w:after="20" w:before="60"/>
        <w:jc w:val="center"/>
      </w:pPr>
      <w:r>
        <w:drawing>
          <wp:inline distT="0" distB="0" distL="0" distR="0">
            <wp:extent cx="3810000" cy="2705100"/>
            <wp:effectExtent t="0" r="0" b="0" l="0"/>
            <wp:docPr id="1" name="c8.png" descr="Figure 10: Relative performance profile (5 = best; indicative)" title="Figure 10: Relative performance profile (5 = best; indica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10: Relative performance profile (5 = best; indicative)</w:t>
      </w:r>
    </w:p>
    <w:p>
      <w:pPr>
        <w:spacing w:after="20" w:before="60"/>
        <w:jc w:val="center"/>
      </w:pPr>
      <w:r>
        <w:drawing>
          <wp:inline distT="0" distB="0" distL="0" distR="0">
            <wp:extent cx="4572000" cy="1952625"/>
            <wp:effectExtent t="0" r="0" b="0" l="0"/>
            <wp:docPr id="1" name="c9.png" descr="Figure 11: Typical as-cast tensile and yield strength (MPa, approximate)" title="Figure 11: Typical as-cast tensile and yield strength (MPa, approxim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11: Typical as-cast tensile and yield strength (MPa, approximate)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300"/>
        <w:gridCol w:w="2100"/>
        <w:gridCol w:w="3638"/>
      </w:tblGrid>
      <w:tr>
        <w:trPr>
          <w:tblHeader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UNS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Tensile / yield (MPa)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 ₹/kg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Strengths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Limitations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C95400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586 / 241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1,442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Good strength, wear and corrosion; economical NAB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Lower strength than C95500; limited weldability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C95500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620 / 275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1,460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Highest strength NAB, heat-treatable to ~760 MPa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Harder to weld and machine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C95510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690 / 380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1,500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 strength with better corrosion resistance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Higher cost; fewer suppliers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C95800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585 / 241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1,480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Marine benchmark; weldable; cavitation resistant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Needs tight Fe/Mn/Al control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C99400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450 / 210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1,551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Easy casting, good conductivity/corrosion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Modest strength; limited approvals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C99500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450 / 210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1,524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Value grade, good castability &amp; wear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Lower strength than NAB; seawater duty moderate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C96400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495 / 255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1,736</w:t>
            </w:r>
          </w:p>
        </w:tc>
        <w:tc>
          <w:tcPr>
            <w:tcW w:type="dxa" w:w="2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Best seawater corrosion &amp; biofouling resistance</w:t>
            </w:r>
          </w:p>
        </w:tc>
        <w:tc>
          <w:tcPr>
            <w:tcW w:type="dxa" w:w="3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Highest cost; nickel-sensitive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sz w:val="21"/>
          <w:szCs w:val="21"/>
        </w:rPr>
        <w:t xml:space="preserve">Bottom line: C95500 delivers the highest strength (and responds to heat treatment) at a modest price premium over C95400; C95800 is the benchmark for seawater duty and weldability; C99500 is the best-value, easily cast entry grade and a logical volume product for Bajaj.</w:t>
      </w:r>
    </w:p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8. SWOT, PESTLE and Porter’s Five Forces</w:t>
      </w: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SWOT – Bajaj Alloys in nickel bronzes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3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Strengths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Copper-alloy melting and scrap sourcing expertise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Domestic cost base and fast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Flexibility on batch sizes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C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Weaknesses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Limited certifications for marine/defence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Metal-price exposure on working capital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Brand recognition vs global players</w:t>
            </w:r>
          </w:p>
        </w:tc>
      </w:tr>
      <w:t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Opportunities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Import substitution in pumps, valves, naval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Port, shipbuilding and hydro capex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Value-added machined / heat-treated castings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Threats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LME volatility and INR depreciation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Low-cost unorganised foundries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Substitutes: duplex steels, polymers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PESTLE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on nickel bronze business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Political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Make-in-India, defence indigenisation and shipbuilding incentives support domestic castings.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Economic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INR near 96/USD raises landed metal cost; copper and nickel cycles drive working capital.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Social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Skilled foundry labour shortage; workplace safety expectations rising.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Spectrometry, simulation-led casting design, heat-treatment control improve yield and quality.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Legal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BIS/ASTM standards, classification-society approvals, scrap import rules and GST on metals.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Environmental</w:t>
            </w:r>
          </w:p>
        </w:tc>
        <w:tc>
          <w:tcPr>
            <w:tcW w:type="dxa" w:w="8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Emission norms for foundries, recycling and low-carbon copper are becoming tender criteria.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Porter’s Five Forces</w:t>
      </w:r>
    </w:p>
    <w:p>
      <w:pPr>
        <w:spacing w:after="20" w:before="60"/>
        <w:jc w:val="center"/>
      </w:pPr>
      <w:r>
        <w:drawing>
          <wp:inline distT="0" distB="0" distL="0" distR="0">
            <wp:extent cx="4762500" cy="1771650"/>
            <wp:effectExtent t="0" r="0" b="0" l="0"/>
            <wp:docPr id="1" name="c11.png" descr="Figure 12: Industry force intensity (qualitative assessment)" title="Figure 12: Industry force intensity (qualitative assess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A6472"/>
          <w:sz w:val="17"/>
          <w:szCs w:val="17"/>
        </w:rPr>
        <w:t xml:space="preserve">Figure 12: Industry force intensity (qualitative assessment)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Force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Threat of new entrants (Low–Mod.)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Capital, approvals and metallurgical know-how are barriers; small foundries can still enter low-spec segments.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Supplier power (High)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Copper and nickel are LME-priced; scrap availability and quality vary; limited ability to negotiate.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Buyer power (Mod.–High)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OEMs and shipyards are concentrated and demand certification and price-formula contracts.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Threat of substitutes (Moderate)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Duplex steel, titanium and polymers in selected uses; nickel bronze keeps cavitation/wear advantage.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Rivalry (Mod.–High)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Global specialists on quality, Indian foundries on price.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2"/>
        </w:pBdr>
        <w:spacing w:after="140" w:before="0"/>
      </w:pPr>
      <w:r>
        <w:rPr>
          <w:b/>
          <w:bCs/>
          <w:color w:val="1F3A5F"/>
          <w:sz w:val="32"/>
          <w:szCs w:val="32"/>
        </w:rPr>
        <w:t xml:space="preserve">9. Recommendations for Bajaj Alloys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A9D8F" w:sz="24"/>
              <w:bottom w:val="none"/>
              <w:right w:val="none"/>
            </w:tcBorders>
            <w:shd w:fill="E8F5F3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3A5F"/>
                <w:sz w:val="20"/>
                <w:szCs w:val="20"/>
              </w:rPr>
              <w:t xml:space="preserve">Strategy in one line: become India’s dependable, certified, LME-linked supplier of C99500 and the core NAB grades (C95500 / C95800) to marine, defence and pump OEMs.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rPr>
          <w:tblHeader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Focused portfolio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Lead with C99500 (volume, value-for-money); add C95800 and C95500 for marine/offshore; pilot C95510 and C99400 on demand.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Metal-linked pricing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Quote LME Cu/Ni + fixed conversion; hedge or back-to-back metal purchases; review INR/USD weekly.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Quality &amp; certification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Invest in optical emission spectrometer, mechanical lab and heat treatment; pursue IRClass/DNV/LR approvals and ISO 9001.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 customers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Pump and valve OEMs, shipyards and ship-repair, naval/defence PSUs, hydro/power OEMs, desalination EPCs.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Sourcing &amp; recycling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Secure clean copper-nickel scrap streams; segregate and certify scrap to reduce cost versus primary metal.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Value addition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1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Offer machined and heat-treated castings and stock programmes to shorten OEM lead times.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6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Diversify nickel suppliers, maintain inventory policy, track substitutes and customer concentration.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rPr>
          <w:b/>
          <w:bCs/>
          <w:color w:val="2A9D8F"/>
          <w:sz w:val="24"/>
          <w:szCs w:val="24"/>
        </w:rPr>
        <w:t xml:space="preserve">90-day / 12-month roadmap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0–90 days:</w:t>
      </w:r>
      <w:r>
        <w:rPr>
          <w:sz w:val="21"/>
          <w:szCs w:val="21"/>
        </w:rPr>
        <w:t xml:space="preserve"> finalise grade specs and price formula, sample C99500 / C95800 heats, start certification process, identify 15–20 target OEMs.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3–12 months:</w:t>
      </w:r>
      <w:r>
        <w:rPr>
          <w:sz w:val="21"/>
          <w:szCs w:val="21"/>
        </w:rPr>
        <w:t xml:space="preserve"> commission lab and heat-treatment upgrades, secure first marine / defence approvals, sign 3–5 formula-priced supply contracts.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b/>
          <w:bCs/>
          <w:sz w:val="21"/>
          <w:szCs w:val="21"/>
        </w:rPr>
        <w:t xml:space="preserve">12+ months:</w:t>
      </w:r>
      <w:r>
        <w:rPr>
          <w:sz w:val="21"/>
          <w:szCs w:val="21"/>
        </w:rPr>
        <w:t xml:space="preserve"> scale NAB range, enter export enquiries from Gulf and South-East Asia shipyards.</w:t>
      </w:r>
    </w:p>
    <w:p>
      <w:pPr>
        <w:spacing w:after="80"/>
      </w:pPr>
    </w:p>
    <w:p>
      <w:pPr>
        <w:spacing w:after="100" w:line="264"/>
      </w:pPr>
      <w:r>
        <w:rPr>
          <w:i/>
          <w:iCs/>
          <w:color w:val="5A6472"/>
          <w:sz w:val="17"/>
          <w:szCs w:val="17"/>
        </w:rPr>
        <w:t xml:space="preserve">Disclaimer: Prices, market sizing, growth rates and competitor scores are indicative and prepared for strategic discussion. Validate compositions and properties against ASTM B148 / B584 and customer drawings; refresh LME and FX inputs before quoting.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Nickel Bronze Alloys – Report for Bajaj Alloys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42c510ec7bbf4e74c3f59e1ed76b27a8d6c2f8.png"/><Relationship Id="rId9" Type="http://schemas.openxmlformats.org/officeDocument/2006/relationships/image" Target="media/85f3f223fe120b5207b794e88b06de58b5035187.png"/><Relationship Id="rId10" Type="http://schemas.openxmlformats.org/officeDocument/2006/relationships/image" Target="media/3386bd9d14925f27a78e7d2379ffa2485c4ee8e6.png"/><Relationship Id="rId11" Type="http://schemas.openxmlformats.org/officeDocument/2006/relationships/image" Target="media/512d09a8eff32e6244c262d5722b4b58e99e893c.png"/><Relationship Id="rId12" Type="http://schemas.openxmlformats.org/officeDocument/2006/relationships/image" Target="media/e18a5c803eb9afb2671403a725665d7a797c302b.png"/><Relationship Id="rId13" Type="http://schemas.openxmlformats.org/officeDocument/2006/relationships/image" Target="media/26176b72da379c815711d00dbe69fadc2979978e.png"/><Relationship Id="rId14" Type="http://schemas.openxmlformats.org/officeDocument/2006/relationships/image" Target="media/0bbc76aa7b14f5fcf171f2913ac083e1ad9a0e5e.png"/><Relationship Id="rId15" Type="http://schemas.openxmlformats.org/officeDocument/2006/relationships/image" Target="media/c5a672c1b914f31a7eb3ebf4056ed3b09126017a.png"/><Relationship Id="rId16" Type="http://schemas.openxmlformats.org/officeDocument/2006/relationships/image" Target="media/b7b451727ae43f36121da9c3780097af0fb95604.png"/><Relationship Id="rId17" Type="http://schemas.openxmlformats.org/officeDocument/2006/relationships/image" Target="media/36927d9582e17ecb8bad3e440a69e33d4df691dc.png"/><Relationship Id="rId18" Type="http://schemas.openxmlformats.org/officeDocument/2006/relationships/image" Target="media/3756bc90a49fa969e5f47d80dd2dc6ae897e9e55.png"/><Relationship Id="rId19" Type="http://schemas.openxmlformats.org/officeDocument/2006/relationships/image" Target="media/67830e548e0b7b6f55de5253c491133169a4e4f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2026-10-04T13:44:16.742Z</dcterms:created>
  <dcterms:modified xsi:type="dcterms:W3CDTF">2026-10-04T13:44:16.742Z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