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B8860B"/>
          <w:sz w:val="32"/>
        </w:rPr>
        <w:t>BAJAJ ALLOYS, BHIWANI</w:t>
      </w:r>
    </w:p>
    <w:p>
      <w:pPr>
        <w:jc w:val="center"/>
      </w:pPr>
      <w:r>
        <w:rPr>
          <w:b/>
          <w:color w:val="1F2A44"/>
          <w:sz w:val="60"/>
        </w:rPr>
        <w:t>BUSHES</w:t>
      </w:r>
    </w:p>
    <w:p>
      <w:pPr>
        <w:jc w:val="center"/>
      </w:pPr>
      <w:r>
        <w:rPr>
          <w:i/>
          <w:sz w:val="28"/>
        </w:rPr>
        <w:t>Complete Industry &amp; Product Report: Product, Types, Manufacturing, Market, B2B / B2C</w:t>
      </w:r>
    </w:p>
    <w:p/>
    <w:p/>
    <w:p/>
    <w:p>
      <w:pPr>
        <w:jc w:val="center"/>
      </w:pPr>
      <w:r>
        <w:rPr>
          <w:sz w:val="22"/>
        </w:rPr>
        <w:t>Prepared by: Intern, Business Research</w:t>
        <w:br/>
        <w:t>Date: October 2026</w:t>
        <w:br/>
        <w:t>Status: Draft for management review</w:t>
      </w:r>
    </w:p>
    <w:p>
      <w:r>
        <w:br w:type="page"/>
      </w:r>
    </w:p>
    <w:p>
      <w:pPr>
        <w:pStyle w:val="Heading1"/>
      </w:pPr>
      <w:r>
        <w:rPr>
          <w:color w:val="1F2A44"/>
        </w:rPr>
        <w:t>Contents</w:t>
      </w:r>
    </w:p>
    <w:p>
      <w:pPr>
        <w:pStyle w:val="ListBullet"/>
      </w:pPr>
      <w:r>
        <w:t>1. Executive summary</w:t>
      </w:r>
    </w:p>
    <w:p>
      <w:pPr>
        <w:pStyle w:val="ListBullet"/>
      </w:pPr>
      <w:r>
        <w:t>2. What is a bush?</w:t>
      </w:r>
    </w:p>
    <w:p>
      <w:pPr>
        <w:pStyle w:val="ListBullet"/>
      </w:pPr>
      <w:r>
        <w:t>3. Types of bushes</w:t>
      </w:r>
    </w:p>
    <w:p>
      <w:pPr>
        <w:pStyle w:val="ListBullet"/>
      </w:pPr>
      <w:r>
        <w:t>4. Materials</w:t>
      </w:r>
    </w:p>
    <w:p>
      <w:pPr>
        <w:pStyle w:val="ListBullet"/>
      </w:pPr>
      <w:r>
        <w:t>5. Manufacturing process</w:t>
      </w:r>
    </w:p>
    <w:p>
      <w:pPr>
        <w:pStyle w:val="ListBullet"/>
      </w:pPr>
      <w:r>
        <w:t>6. Quality and standards</w:t>
      </w:r>
    </w:p>
    <w:p>
      <w:pPr>
        <w:pStyle w:val="ListBullet"/>
      </w:pPr>
      <w:r>
        <w:t>7. Market size &amp; growth</w:t>
      </w:r>
    </w:p>
    <w:p>
      <w:pPr>
        <w:pStyle w:val="ListBullet"/>
      </w:pPr>
      <w:r>
        <w:t>8. B2B and B2C market</w:t>
      </w:r>
    </w:p>
    <w:p>
      <w:pPr>
        <w:pStyle w:val="ListBullet"/>
      </w:pPr>
      <w:r>
        <w:t>9. Competition</w:t>
      </w:r>
    </w:p>
    <w:p>
      <w:pPr>
        <w:pStyle w:val="ListBullet"/>
      </w:pPr>
      <w:r>
        <w:t>10. Opportunity &amp; recommendations for Bajaj Alloys</w:t>
      </w:r>
    </w:p>
    <w:p>
      <w:pPr>
        <w:pStyle w:val="ListBullet"/>
      </w:pPr>
      <w:r>
        <w:t>11. Data notes &amp; sources</w:t>
      </w:r>
    </w:p>
    <w:p>
      <w:r>
        <w:br w:type="page"/>
      </w:r>
    </w:p>
    <w:p>
      <w:pPr>
        <w:pStyle w:val="Heading1"/>
      </w:pPr>
      <w:r>
        <w:rPr>
          <w:color w:val="1F2A44"/>
        </w:rPr>
        <w:t>1. Executive summary</w:t>
      </w:r>
    </w:p>
    <w:p>
      <w:pPr>
        <w:spacing w:after="120"/>
      </w:pPr>
      <w:r>
        <w:t>A bush (also called bushing or sleeve bearing) is a cylindrical sleeve placed between a rotating or sliding shaft and its housing. It reduces friction and wear, absorbs vibration and is cheaper to replace than the shaft or housing. Bronze, gunmetal, phosphor bronze and brass bushes are classic products of a copper-alloy foundry.</w:t>
      </w:r>
    </w:p>
    <w:p>
      <w:pPr>
        <w:pStyle w:val="ListBullet"/>
      </w:pPr>
      <w:r>
        <w:rPr>
          <w:b/>
        </w:rPr>
        <w:t xml:space="preserve">Market proxy: </w:t>
      </w:r>
      <w:r>
        <w:t>No source gives a clean India figure for bronze bushes. Proxies: India automotive bearings about USD 503 million in 2024 growing 4.15% a year to about USD 726 million by 2033 (IMARC). Global automotive bushing market USD 172 billion (2025) to USD 218 billion (2030), CAGR 4.83% (Mordor Intelligence).</w:t>
      </w:r>
    </w:p>
    <w:p>
      <w:pPr>
        <w:pStyle w:val="ListBullet"/>
      </w:pPr>
      <w:r>
        <w:rPr>
          <w:b/>
        </w:rPr>
        <w:t xml:space="preserve">Demand: </w:t>
      </w:r>
      <w:r>
        <w:t>Automobiles, tractors, pumps, motors, compressors, steel plants, earth-moving machinery, railways, textile and sugar machinery.</w:t>
      </w:r>
    </w:p>
    <w:p>
      <w:pPr>
        <w:pStyle w:val="ListBullet"/>
      </w:pPr>
      <w:r>
        <w:rPr>
          <w:b/>
        </w:rPr>
        <w:t xml:space="preserve">Strength of aftermarket: </w:t>
      </w:r>
      <w:r>
        <w:t>Bushes wear out and are replaced, so replacement demand is steady. One report puts India bearing aftermarket growth near 14.7% a year.</w:t>
      </w:r>
    </w:p>
    <w:p>
      <w:pPr>
        <w:pStyle w:val="ListBullet"/>
      </w:pPr>
      <w:r>
        <w:rPr>
          <w:b/>
        </w:rPr>
        <w:t xml:space="preserve">Recommendation: </w:t>
      </w:r>
      <w:r>
        <w:t>Focus on centrifugally cast and machined bronze/gunmetal bushes for pumps, motors, tractors and heavy machines; sell to OEMs and through industrial distributors; add standard-size catalogue for retail.</w:t>
      </w:r>
    </w:p>
    <w:p>
      <w:pPr>
        <w:jc w:val="center"/>
      </w:pPr>
      <w:r>
        <w:drawing>
          <wp:inline xmlns:a="http://schemas.openxmlformats.org/drawingml/2006/main" xmlns:pic="http://schemas.openxmlformats.org/drawingml/2006/picture">
            <wp:extent cx="3840480" cy="1997612"/>
            <wp:docPr id="1" name="Picture 1"/>
            <wp:cNvGraphicFramePr>
              <a:graphicFrameLocks noChangeAspect="1"/>
            </wp:cNvGraphicFramePr>
            <a:graphic>
              <a:graphicData uri="http://schemas.openxmlformats.org/drawingml/2006/picture">
                <pic:pic>
                  <pic:nvPicPr>
                    <pic:cNvPr id="0" name="b_section.png"/>
                    <pic:cNvPicPr/>
                  </pic:nvPicPr>
                  <pic:blipFill>
                    <a:blip r:embed="rId9"/>
                    <a:stretch>
                      <a:fillRect/>
                    </a:stretch>
                  </pic:blipFill>
                  <pic:spPr>
                    <a:xfrm>
                      <a:off x="0" y="0"/>
                      <a:ext cx="3840480" cy="1997612"/>
                    </a:xfrm>
                    <a:prstGeom prst="rect"/>
                  </pic:spPr>
                </pic:pic>
              </a:graphicData>
            </a:graphic>
          </wp:inline>
        </w:drawing>
      </w:r>
    </w:p>
    <w:p>
      <w:pPr>
        <w:jc w:val="center"/>
      </w:pPr>
      <w:r>
        <w:rPr>
          <w:i/>
          <w:sz w:val="18"/>
        </w:rPr>
        <w:t>Figure 1: Half-section of a flanged bush</w:t>
      </w:r>
    </w:p>
    <w:p>
      <w:pPr>
        <w:pStyle w:val="Heading1"/>
      </w:pPr>
      <w:r>
        <w:rPr>
          <w:color w:val="1F2A44"/>
        </w:rPr>
        <w:t>2. What is a bush?</w:t>
      </w:r>
    </w:p>
    <w:p>
      <w:pPr>
        <w:spacing w:after="120"/>
      </w:pPr>
      <w:r>
        <w:t>A bush is a hollow cylinder, plain or flanged, press-fitted in a housing so the shaft turns inside it. The softer bush metal wears instead of the costly shaft, and a film of oil or grease keeps surfaces apart.</w:t>
      </w:r>
    </w:p>
    <w:p>
      <w:pPr>
        <w:pStyle w:val="Heading2"/>
      </w:pPr>
      <w:r>
        <w:rPr>
          <w:color w:val="B8860B"/>
        </w:rPr>
        <w:t>Functions</w:t>
      </w:r>
    </w:p>
    <w:p>
      <w:pPr>
        <w:pStyle w:val="ListBullet"/>
      </w:pPr>
      <w:r>
        <w:t>Reduce friction between moving parts.</w:t>
      </w:r>
    </w:p>
    <w:p>
      <w:pPr>
        <w:pStyle w:val="ListBullet"/>
      </w:pPr>
      <w:r>
        <w:t>Carry radial (and with flange, axial) loads.</w:t>
      </w:r>
    </w:p>
    <w:p>
      <w:pPr>
        <w:pStyle w:val="ListBullet"/>
      </w:pPr>
      <w:r>
        <w:t>Dampen noise and vibration (rubber and polymer bushes).</w:t>
      </w:r>
    </w:p>
    <w:p>
      <w:pPr>
        <w:pStyle w:val="ListBullet"/>
      </w:pPr>
      <w:r>
        <w:t>Act as replaceable wear parts.</w:t>
      </w:r>
    </w:p>
    <w:p>
      <w:pPr>
        <w:pStyle w:val="ListBullet"/>
      </w:pPr>
      <w:r>
        <w:t>Guide and align shafts, pins and pivots.</w:t>
      </w:r>
    </w:p>
    <w:p>
      <w:r>
        <w:rPr>
          <w:b/>
          <w:sz w:val="18"/>
        </w:rPr>
        <w:t>Table 1: Basic terminology</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2A44"/>
          </w:tcPr>
          <w:p>
            <w:r/>
            <w:r>
              <w:rPr>
                <w:b/>
                <w:color w:val="FFFFFF"/>
                <w:sz w:val="18"/>
              </w:rPr>
              <w:t>Term</w:t>
            </w:r>
          </w:p>
        </w:tc>
        <w:tc>
          <w:tcPr>
            <w:tcW w:type="dxa" w:w="4824"/>
            <w:shd w:val="clear" w:color="auto" w:fill="1F2A44"/>
          </w:tcPr>
          <w:p>
            <w:r/>
            <w:r>
              <w:rPr>
                <w:b/>
                <w:color w:val="FFFFFF"/>
                <w:sz w:val="18"/>
              </w:rPr>
              <w:t>Meaning</w:t>
            </w:r>
          </w:p>
        </w:tc>
      </w:tr>
      <w:tr>
        <w:tc>
          <w:tcPr>
            <w:tcW w:type="dxa" w:w="4824"/>
          </w:tcPr>
          <w:p>
            <w:r/>
            <w:r>
              <w:rPr>
                <w:sz w:val="18"/>
              </w:rPr>
              <w:t>Bush / bushing</w:t>
            </w:r>
          </w:p>
        </w:tc>
        <w:tc>
          <w:tcPr>
            <w:tcW w:type="dxa" w:w="4824"/>
          </w:tcPr>
          <w:p>
            <w:r/>
            <w:r>
              <w:rPr>
                <w:sz w:val="18"/>
              </w:rPr>
              <w:t>Sleeve-type bearing, no rolling elements</w:t>
            </w:r>
          </w:p>
        </w:tc>
      </w:tr>
      <w:tr>
        <w:tc>
          <w:tcPr>
            <w:tcW w:type="dxa" w:w="4824"/>
            <w:shd w:val="clear" w:color="auto" w:fill="F3EEDC"/>
          </w:tcPr>
          <w:p>
            <w:r/>
            <w:r>
              <w:rPr>
                <w:sz w:val="18"/>
              </w:rPr>
              <w:t>ID / OD / length</w:t>
            </w:r>
          </w:p>
        </w:tc>
        <w:tc>
          <w:tcPr>
            <w:tcW w:type="dxa" w:w="4824"/>
            <w:shd w:val="clear" w:color="auto" w:fill="F3EEDC"/>
          </w:tcPr>
          <w:p>
            <w:r/>
            <w:r>
              <w:rPr>
                <w:sz w:val="18"/>
              </w:rPr>
              <w:t>Inner diameter, outer diameter, length</w:t>
            </w:r>
          </w:p>
        </w:tc>
      </w:tr>
      <w:tr>
        <w:tc>
          <w:tcPr>
            <w:tcW w:type="dxa" w:w="4824"/>
          </w:tcPr>
          <w:p>
            <w:r/>
            <w:r>
              <w:rPr>
                <w:sz w:val="18"/>
              </w:rPr>
              <w:t>Interference fit</w:t>
            </w:r>
          </w:p>
        </w:tc>
        <w:tc>
          <w:tcPr>
            <w:tcW w:type="dxa" w:w="4824"/>
          </w:tcPr>
          <w:p>
            <w:r/>
            <w:r>
              <w:rPr>
                <w:sz w:val="18"/>
              </w:rPr>
              <w:t>OD slightly bigger than housing so it is pressed in</w:t>
            </w:r>
          </w:p>
        </w:tc>
      </w:tr>
      <w:tr>
        <w:tc>
          <w:tcPr>
            <w:tcW w:type="dxa" w:w="4824"/>
            <w:shd w:val="clear" w:color="auto" w:fill="F3EEDC"/>
          </w:tcPr>
          <w:p>
            <w:r/>
            <w:r>
              <w:rPr>
                <w:sz w:val="18"/>
              </w:rPr>
              <w:t>Running clearance</w:t>
            </w:r>
          </w:p>
        </w:tc>
        <w:tc>
          <w:tcPr>
            <w:tcW w:type="dxa" w:w="4824"/>
            <w:shd w:val="clear" w:color="auto" w:fill="F3EEDC"/>
          </w:tcPr>
          <w:p>
            <w:r/>
            <w:r>
              <w:rPr>
                <w:sz w:val="18"/>
              </w:rPr>
              <w:t>Gap between shaft and bush bore, filled with lubricant</w:t>
            </w:r>
          </w:p>
        </w:tc>
      </w:tr>
      <w:tr>
        <w:tc>
          <w:tcPr>
            <w:tcW w:type="dxa" w:w="4824"/>
          </w:tcPr>
          <w:p>
            <w:r/>
            <w:r>
              <w:rPr>
                <w:sz w:val="18"/>
              </w:rPr>
              <w:t>PV value</w:t>
            </w:r>
          </w:p>
        </w:tc>
        <w:tc>
          <w:tcPr>
            <w:tcW w:type="dxa" w:w="4824"/>
          </w:tcPr>
          <w:p>
            <w:r/>
            <w:r>
              <w:rPr>
                <w:sz w:val="18"/>
              </w:rPr>
              <w:t>Pressure x velocity limit of the bush material</w:t>
            </w:r>
          </w:p>
        </w:tc>
      </w:tr>
    </w:tbl>
    <w:p/>
    <w:p>
      <w:pPr>
        <w:pStyle w:val="Heading2"/>
      </w:pPr>
      <w:r>
        <w:rPr>
          <w:color w:val="B8860B"/>
        </w:rPr>
        <w:t>Bush vs ball bearing</w:t>
      </w:r>
    </w:p>
    <w:p>
      <w:r>
        <w:rPr>
          <w:b/>
          <w:sz w:val="18"/>
        </w:rPr>
        <w:t>Table 2: Comparison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2A44"/>
          </w:tcPr>
          <w:p>
            <w:r/>
            <w:r>
              <w:rPr>
                <w:b/>
                <w:color w:val="FFFFFF"/>
                <w:sz w:val="18"/>
              </w:rPr>
              <w:t>Feature</w:t>
            </w:r>
          </w:p>
        </w:tc>
        <w:tc>
          <w:tcPr>
            <w:tcW w:type="dxa" w:w="3216"/>
            <w:shd w:val="clear" w:color="auto" w:fill="1F2A44"/>
          </w:tcPr>
          <w:p>
            <w:r/>
            <w:r>
              <w:rPr>
                <w:b/>
                <w:color w:val="FFFFFF"/>
                <w:sz w:val="18"/>
              </w:rPr>
              <w:t>Bush (plain bearing)</w:t>
            </w:r>
          </w:p>
        </w:tc>
        <w:tc>
          <w:tcPr>
            <w:tcW w:type="dxa" w:w="3216"/>
            <w:shd w:val="clear" w:color="auto" w:fill="1F2A44"/>
          </w:tcPr>
          <w:p>
            <w:r/>
            <w:r>
              <w:rPr>
                <w:b/>
                <w:color w:val="FFFFFF"/>
                <w:sz w:val="18"/>
              </w:rPr>
              <w:t>Ball/roller bearing</w:t>
            </w:r>
          </w:p>
        </w:tc>
      </w:tr>
      <w:tr>
        <w:tc>
          <w:tcPr>
            <w:tcW w:type="dxa" w:w="3216"/>
          </w:tcPr>
          <w:p>
            <w:r/>
            <w:r>
              <w:rPr>
                <w:sz w:val="18"/>
              </w:rPr>
              <w:t>Friction</w:t>
            </w:r>
          </w:p>
        </w:tc>
        <w:tc>
          <w:tcPr>
            <w:tcW w:type="dxa" w:w="3216"/>
          </w:tcPr>
          <w:p>
            <w:r/>
            <w:r>
              <w:rPr>
                <w:sz w:val="18"/>
              </w:rPr>
              <w:t>Higher; needs lubrication</w:t>
            </w:r>
          </w:p>
        </w:tc>
        <w:tc>
          <w:tcPr>
            <w:tcW w:type="dxa" w:w="3216"/>
          </w:tcPr>
          <w:p>
            <w:r/>
            <w:r>
              <w:rPr>
                <w:sz w:val="18"/>
              </w:rPr>
              <w:t>Low</w:t>
            </w:r>
          </w:p>
        </w:tc>
      </w:tr>
      <w:tr>
        <w:tc>
          <w:tcPr>
            <w:tcW w:type="dxa" w:w="3216"/>
            <w:shd w:val="clear" w:color="auto" w:fill="F3EEDC"/>
          </w:tcPr>
          <w:p>
            <w:r/>
            <w:r>
              <w:rPr>
                <w:sz w:val="18"/>
              </w:rPr>
              <w:t>Load</w:t>
            </w:r>
          </w:p>
        </w:tc>
        <w:tc>
          <w:tcPr>
            <w:tcW w:type="dxa" w:w="3216"/>
            <w:shd w:val="clear" w:color="auto" w:fill="F3EEDC"/>
          </w:tcPr>
          <w:p>
            <w:r/>
            <w:r>
              <w:rPr>
                <w:sz w:val="18"/>
              </w:rPr>
              <w:t>High shock and heavy load</w:t>
            </w:r>
          </w:p>
        </w:tc>
        <w:tc>
          <w:tcPr>
            <w:tcW w:type="dxa" w:w="3216"/>
            <w:shd w:val="clear" w:color="auto" w:fill="F3EEDC"/>
          </w:tcPr>
          <w:p>
            <w:r/>
            <w:r>
              <w:rPr>
                <w:sz w:val="18"/>
              </w:rPr>
              <w:t>Moderate, precision</w:t>
            </w:r>
          </w:p>
        </w:tc>
      </w:tr>
      <w:tr>
        <w:tc>
          <w:tcPr>
            <w:tcW w:type="dxa" w:w="3216"/>
          </w:tcPr>
          <w:p>
            <w:r/>
            <w:r>
              <w:rPr>
                <w:sz w:val="18"/>
              </w:rPr>
              <w:t>Cost</w:t>
            </w:r>
          </w:p>
        </w:tc>
        <w:tc>
          <w:tcPr>
            <w:tcW w:type="dxa" w:w="3216"/>
          </w:tcPr>
          <w:p>
            <w:r/>
            <w:r>
              <w:rPr>
                <w:sz w:val="18"/>
              </w:rPr>
              <w:t>Low</w:t>
            </w:r>
          </w:p>
        </w:tc>
        <w:tc>
          <w:tcPr>
            <w:tcW w:type="dxa" w:w="3216"/>
          </w:tcPr>
          <w:p>
            <w:r/>
            <w:r>
              <w:rPr>
                <w:sz w:val="18"/>
              </w:rPr>
              <w:t>Higher</w:t>
            </w:r>
          </w:p>
        </w:tc>
      </w:tr>
      <w:tr>
        <w:tc>
          <w:tcPr>
            <w:tcW w:type="dxa" w:w="3216"/>
            <w:shd w:val="clear" w:color="auto" w:fill="F3EEDC"/>
          </w:tcPr>
          <w:p>
            <w:r/>
            <w:r>
              <w:rPr>
                <w:sz w:val="18"/>
              </w:rPr>
              <w:t>Space</w:t>
            </w:r>
          </w:p>
        </w:tc>
        <w:tc>
          <w:tcPr>
            <w:tcW w:type="dxa" w:w="3216"/>
            <w:shd w:val="clear" w:color="auto" w:fill="F3EEDC"/>
          </w:tcPr>
          <w:p>
            <w:r/>
            <w:r>
              <w:rPr>
                <w:sz w:val="18"/>
              </w:rPr>
              <w:t>Compact</w:t>
            </w:r>
          </w:p>
        </w:tc>
        <w:tc>
          <w:tcPr>
            <w:tcW w:type="dxa" w:w="3216"/>
            <w:shd w:val="clear" w:color="auto" w:fill="F3EEDC"/>
          </w:tcPr>
          <w:p>
            <w:r/>
            <w:r>
              <w:rPr>
                <w:sz w:val="18"/>
              </w:rPr>
              <w:t>Larger</w:t>
            </w:r>
          </w:p>
        </w:tc>
      </w:tr>
      <w:tr>
        <w:tc>
          <w:tcPr>
            <w:tcW w:type="dxa" w:w="3216"/>
          </w:tcPr>
          <w:p>
            <w:r/>
            <w:r>
              <w:rPr>
                <w:sz w:val="18"/>
              </w:rPr>
              <w:t>Noise</w:t>
            </w:r>
          </w:p>
        </w:tc>
        <w:tc>
          <w:tcPr>
            <w:tcW w:type="dxa" w:w="3216"/>
          </w:tcPr>
          <w:p>
            <w:r/>
            <w:r>
              <w:rPr>
                <w:sz w:val="18"/>
              </w:rPr>
              <w:t>Quiet</w:t>
            </w:r>
          </w:p>
        </w:tc>
        <w:tc>
          <w:tcPr>
            <w:tcW w:type="dxa" w:w="3216"/>
          </w:tcPr>
          <w:p>
            <w:r/>
            <w:r>
              <w:rPr>
                <w:sz w:val="18"/>
              </w:rPr>
              <w:t>Can be noisy</w:t>
            </w:r>
          </w:p>
        </w:tc>
      </w:tr>
      <w:tr>
        <w:tc>
          <w:tcPr>
            <w:tcW w:type="dxa" w:w="3216"/>
            <w:shd w:val="clear" w:color="auto" w:fill="F3EEDC"/>
          </w:tcPr>
          <w:p>
            <w:r/>
            <w:r>
              <w:rPr>
                <w:sz w:val="18"/>
              </w:rPr>
              <w:t>Life/replacement</w:t>
            </w:r>
          </w:p>
        </w:tc>
        <w:tc>
          <w:tcPr>
            <w:tcW w:type="dxa" w:w="3216"/>
            <w:shd w:val="clear" w:color="auto" w:fill="F3EEDC"/>
          </w:tcPr>
          <w:p>
            <w:r/>
            <w:r>
              <w:rPr>
                <w:sz w:val="18"/>
              </w:rPr>
              <w:t>Easy and cheap</w:t>
            </w:r>
          </w:p>
        </w:tc>
        <w:tc>
          <w:tcPr>
            <w:tcW w:type="dxa" w:w="3216"/>
            <w:shd w:val="clear" w:color="auto" w:fill="F3EEDC"/>
          </w:tcPr>
          <w:p>
            <w:r/>
            <w:r>
              <w:rPr>
                <w:sz w:val="18"/>
              </w:rPr>
              <w:t>Costlier</w:t>
            </w:r>
          </w:p>
        </w:tc>
      </w:tr>
    </w:tbl>
    <w:p/>
    <w:p>
      <w:pPr>
        <w:pStyle w:val="Heading1"/>
      </w:pPr>
      <w:r>
        <w:rPr>
          <w:color w:val="1F2A44"/>
        </w:rPr>
        <w:t>3. Types of bushes</w:t>
      </w:r>
    </w:p>
    <w:p>
      <w:pPr>
        <w:jc w:val="center"/>
      </w:pPr>
      <w:r>
        <w:drawing>
          <wp:inline xmlns:a="http://schemas.openxmlformats.org/drawingml/2006/main" xmlns:pic="http://schemas.openxmlformats.org/drawingml/2006/picture">
            <wp:extent cx="5486400" cy="4280098"/>
            <wp:docPr id="2" name="Picture 2"/>
            <wp:cNvGraphicFramePr>
              <a:graphicFrameLocks noChangeAspect="1"/>
            </wp:cNvGraphicFramePr>
            <a:graphic>
              <a:graphicData uri="http://schemas.openxmlformats.org/drawingml/2006/picture">
                <pic:pic>
                  <pic:nvPicPr>
                    <pic:cNvPr id="0" name="b_types.png"/>
                    <pic:cNvPicPr/>
                  </pic:nvPicPr>
                  <pic:blipFill>
                    <a:blip r:embed="rId10"/>
                    <a:stretch>
                      <a:fillRect/>
                    </a:stretch>
                  </pic:blipFill>
                  <pic:spPr>
                    <a:xfrm>
                      <a:off x="0" y="0"/>
                      <a:ext cx="5486400" cy="4280098"/>
                    </a:xfrm>
                    <a:prstGeom prst="rect"/>
                  </pic:spPr>
                </pic:pic>
              </a:graphicData>
            </a:graphic>
          </wp:inline>
        </w:drawing>
      </w:r>
    </w:p>
    <w:p>
      <w:pPr>
        <w:jc w:val="center"/>
      </w:pPr>
      <w:r>
        <w:rPr>
          <w:i/>
          <w:sz w:val="18"/>
        </w:rPr>
        <w:t>Figure 2: Front views of six common bush types</w:t>
      </w:r>
    </w:p>
    <w:p>
      <w:r>
        <w:rPr>
          <w:b/>
          <w:sz w:val="18"/>
        </w:rPr>
        <w:t>Table 3: Bush types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2A44"/>
          </w:tcPr>
          <w:p>
            <w:r/>
            <w:r>
              <w:rPr>
                <w:b/>
                <w:color w:val="FFFFFF"/>
                <w:sz w:val="18"/>
              </w:rPr>
              <w:t>Type</w:t>
            </w:r>
          </w:p>
        </w:tc>
        <w:tc>
          <w:tcPr>
            <w:tcW w:type="dxa" w:w="3216"/>
            <w:shd w:val="clear" w:color="auto" w:fill="1F2A44"/>
          </w:tcPr>
          <w:p>
            <w:r/>
            <w:r>
              <w:rPr>
                <w:b/>
                <w:color w:val="FFFFFF"/>
                <w:sz w:val="18"/>
              </w:rPr>
              <w:t>Description</w:t>
            </w:r>
          </w:p>
        </w:tc>
        <w:tc>
          <w:tcPr>
            <w:tcW w:type="dxa" w:w="3216"/>
            <w:shd w:val="clear" w:color="auto" w:fill="1F2A44"/>
          </w:tcPr>
          <w:p>
            <w:r/>
            <w:r>
              <w:rPr>
                <w:b/>
                <w:color w:val="FFFFFF"/>
                <w:sz w:val="18"/>
              </w:rPr>
              <w:t>Used in</w:t>
            </w:r>
          </w:p>
        </w:tc>
      </w:tr>
      <w:tr>
        <w:tc>
          <w:tcPr>
            <w:tcW w:type="dxa" w:w="3216"/>
          </w:tcPr>
          <w:p>
            <w:r/>
            <w:r>
              <w:rPr>
                <w:sz w:val="18"/>
              </w:rPr>
              <w:t>Plain cylindrical</w:t>
            </w:r>
          </w:p>
        </w:tc>
        <w:tc>
          <w:tcPr>
            <w:tcW w:type="dxa" w:w="3216"/>
          </w:tcPr>
          <w:p>
            <w:r/>
            <w:r>
              <w:rPr>
                <w:sz w:val="18"/>
              </w:rPr>
              <w:t>Simple sleeve</w:t>
            </w:r>
          </w:p>
        </w:tc>
        <w:tc>
          <w:tcPr>
            <w:tcW w:type="dxa" w:w="3216"/>
          </w:tcPr>
          <w:p>
            <w:r/>
            <w:r>
              <w:rPr>
                <w:sz w:val="18"/>
              </w:rPr>
              <w:t>Pumps, gearboxes, hinges</w:t>
            </w:r>
          </w:p>
        </w:tc>
      </w:tr>
      <w:tr>
        <w:tc>
          <w:tcPr>
            <w:tcW w:type="dxa" w:w="3216"/>
            <w:shd w:val="clear" w:color="auto" w:fill="F3EEDC"/>
          </w:tcPr>
          <w:p>
            <w:r/>
            <w:r>
              <w:rPr>
                <w:sz w:val="18"/>
              </w:rPr>
              <w:t>Flanged</w:t>
            </w:r>
          </w:p>
        </w:tc>
        <w:tc>
          <w:tcPr>
            <w:tcW w:type="dxa" w:w="3216"/>
            <w:shd w:val="clear" w:color="auto" w:fill="F3EEDC"/>
          </w:tcPr>
          <w:p>
            <w:r/>
            <w:r>
              <w:rPr>
                <w:sz w:val="18"/>
              </w:rPr>
              <w:t>Collar takes axial load</w:t>
            </w:r>
          </w:p>
        </w:tc>
        <w:tc>
          <w:tcPr>
            <w:tcW w:type="dxa" w:w="3216"/>
            <w:shd w:val="clear" w:color="auto" w:fill="F3EEDC"/>
          </w:tcPr>
          <w:p>
            <w:r/>
            <w:r>
              <w:rPr>
                <w:sz w:val="18"/>
              </w:rPr>
              <w:t>Automotive, machine tools</w:t>
            </w:r>
          </w:p>
        </w:tc>
      </w:tr>
      <w:tr>
        <w:tc>
          <w:tcPr>
            <w:tcW w:type="dxa" w:w="3216"/>
          </w:tcPr>
          <w:p>
            <w:r/>
            <w:r>
              <w:rPr>
                <w:sz w:val="18"/>
              </w:rPr>
              <w:t>Split / clench</w:t>
            </w:r>
          </w:p>
        </w:tc>
        <w:tc>
          <w:tcPr>
            <w:tcW w:type="dxa" w:w="3216"/>
          </w:tcPr>
          <w:p>
            <w:r/>
            <w:r>
              <w:rPr>
                <w:sz w:val="18"/>
              </w:rPr>
              <w:t>Rolled strip bush with seam</w:t>
            </w:r>
          </w:p>
        </w:tc>
        <w:tc>
          <w:tcPr>
            <w:tcW w:type="dxa" w:w="3216"/>
          </w:tcPr>
          <w:p>
            <w:r/>
            <w:r>
              <w:rPr>
                <w:sz w:val="18"/>
              </w:rPr>
              <w:t>Engines, compact assemblies</w:t>
            </w:r>
          </w:p>
        </w:tc>
      </w:tr>
      <w:tr>
        <w:tc>
          <w:tcPr>
            <w:tcW w:type="dxa" w:w="3216"/>
            <w:shd w:val="clear" w:color="auto" w:fill="F3EEDC"/>
          </w:tcPr>
          <w:p>
            <w:r/>
            <w:r>
              <w:rPr>
                <w:sz w:val="18"/>
              </w:rPr>
              <w:t>Thrust washer</w:t>
            </w:r>
          </w:p>
        </w:tc>
        <w:tc>
          <w:tcPr>
            <w:tcW w:type="dxa" w:w="3216"/>
            <w:shd w:val="clear" w:color="auto" w:fill="F3EEDC"/>
          </w:tcPr>
          <w:p>
            <w:r/>
            <w:r>
              <w:rPr>
                <w:sz w:val="18"/>
              </w:rPr>
              <w:t>Flat ring for axial load</w:t>
            </w:r>
          </w:p>
        </w:tc>
        <w:tc>
          <w:tcPr>
            <w:tcW w:type="dxa" w:w="3216"/>
            <w:shd w:val="clear" w:color="auto" w:fill="F3EEDC"/>
          </w:tcPr>
          <w:p>
            <w:r/>
            <w:r>
              <w:rPr>
                <w:sz w:val="18"/>
              </w:rPr>
              <w:t>Gearboxes, transmissions</w:t>
            </w:r>
          </w:p>
        </w:tc>
      </w:tr>
      <w:tr>
        <w:tc>
          <w:tcPr>
            <w:tcW w:type="dxa" w:w="3216"/>
          </w:tcPr>
          <w:p>
            <w:r/>
            <w:r>
              <w:rPr>
                <w:sz w:val="18"/>
              </w:rPr>
              <w:t>Spherical / self-aligning</w:t>
            </w:r>
          </w:p>
        </w:tc>
        <w:tc>
          <w:tcPr>
            <w:tcW w:type="dxa" w:w="3216"/>
          </w:tcPr>
          <w:p>
            <w:r/>
            <w:r>
              <w:rPr>
                <w:sz w:val="18"/>
              </w:rPr>
              <w:t>Ball-shaped seat allows misalignment</w:t>
            </w:r>
          </w:p>
        </w:tc>
        <w:tc>
          <w:tcPr>
            <w:tcW w:type="dxa" w:w="3216"/>
          </w:tcPr>
          <w:p>
            <w:r/>
            <w:r>
              <w:rPr>
                <w:sz w:val="18"/>
              </w:rPr>
              <w:t>Linkages, suspension</w:t>
            </w:r>
          </w:p>
        </w:tc>
      </w:tr>
      <w:tr>
        <w:tc>
          <w:tcPr>
            <w:tcW w:type="dxa" w:w="3216"/>
            <w:shd w:val="clear" w:color="auto" w:fill="F3EEDC"/>
          </w:tcPr>
          <w:p>
            <w:r/>
            <w:r>
              <w:rPr>
                <w:sz w:val="18"/>
              </w:rPr>
              <w:t>Sintered (oil-impregnated)</w:t>
            </w:r>
          </w:p>
        </w:tc>
        <w:tc>
          <w:tcPr>
            <w:tcW w:type="dxa" w:w="3216"/>
            <w:shd w:val="clear" w:color="auto" w:fill="F3EEDC"/>
          </w:tcPr>
          <w:p>
            <w:r/>
            <w:r>
              <w:rPr>
                <w:sz w:val="18"/>
              </w:rPr>
              <w:t>Porous metal holds oil; maintenance free</w:t>
            </w:r>
          </w:p>
        </w:tc>
        <w:tc>
          <w:tcPr>
            <w:tcW w:type="dxa" w:w="3216"/>
            <w:shd w:val="clear" w:color="auto" w:fill="F3EEDC"/>
          </w:tcPr>
          <w:p>
            <w:r/>
            <w:r>
              <w:rPr>
                <w:sz w:val="18"/>
              </w:rPr>
              <w:t>Fans, appliances, small motors</w:t>
            </w:r>
          </w:p>
        </w:tc>
      </w:tr>
      <w:tr>
        <w:tc>
          <w:tcPr>
            <w:tcW w:type="dxa" w:w="3216"/>
          </w:tcPr>
          <w:p>
            <w:r/>
            <w:r>
              <w:rPr>
                <w:sz w:val="18"/>
              </w:rPr>
              <w:t>Bi-metal / composite</w:t>
            </w:r>
          </w:p>
        </w:tc>
        <w:tc>
          <w:tcPr>
            <w:tcW w:type="dxa" w:w="3216"/>
          </w:tcPr>
          <w:p>
            <w:r/>
            <w:r>
              <w:rPr>
                <w:sz w:val="18"/>
              </w:rPr>
              <w:t>Steel back with bronze or polymer lining</w:t>
            </w:r>
          </w:p>
        </w:tc>
        <w:tc>
          <w:tcPr>
            <w:tcW w:type="dxa" w:w="3216"/>
          </w:tcPr>
          <w:p>
            <w:r/>
            <w:r>
              <w:rPr>
                <w:sz w:val="18"/>
              </w:rPr>
              <w:t>Heavy machinery, hydraulics</w:t>
            </w:r>
          </w:p>
        </w:tc>
      </w:tr>
      <w:tr>
        <w:tc>
          <w:tcPr>
            <w:tcW w:type="dxa" w:w="3216"/>
            <w:shd w:val="clear" w:color="auto" w:fill="F3EEDC"/>
          </w:tcPr>
          <w:p>
            <w:r/>
            <w:r>
              <w:rPr>
                <w:sz w:val="18"/>
              </w:rPr>
              <w:t>Rubber / polyurethane</w:t>
            </w:r>
          </w:p>
        </w:tc>
        <w:tc>
          <w:tcPr>
            <w:tcW w:type="dxa" w:w="3216"/>
            <w:shd w:val="clear" w:color="auto" w:fill="F3EEDC"/>
          </w:tcPr>
          <w:p>
            <w:r/>
            <w:r>
              <w:rPr>
                <w:sz w:val="18"/>
              </w:rPr>
              <w:t>Elastomer bush for vibration</w:t>
            </w:r>
          </w:p>
        </w:tc>
        <w:tc>
          <w:tcPr>
            <w:tcW w:type="dxa" w:w="3216"/>
            <w:shd w:val="clear" w:color="auto" w:fill="F3EEDC"/>
          </w:tcPr>
          <w:p>
            <w:r/>
            <w:r>
              <w:rPr>
                <w:sz w:val="18"/>
              </w:rPr>
              <w:t>Suspension, stabiliser bars</w:t>
            </w:r>
          </w:p>
        </w:tc>
      </w:tr>
      <w:tr>
        <w:tc>
          <w:tcPr>
            <w:tcW w:type="dxa" w:w="3216"/>
          </w:tcPr>
          <w:p>
            <w:r/>
            <w:r>
              <w:rPr>
                <w:sz w:val="18"/>
              </w:rPr>
              <w:t>Graphite plugged bronze</w:t>
            </w:r>
          </w:p>
        </w:tc>
        <w:tc>
          <w:tcPr>
            <w:tcW w:type="dxa" w:w="3216"/>
          </w:tcPr>
          <w:p>
            <w:r/>
            <w:r>
              <w:rPr>
                <w:sz w:val="18"/>
              </w:rPr>
              <w:t>Solid lubricant plugs in bronze</w:t>
            </w:r>
          </w:p>
        </w:tc>
        <w:tc>
          <w:tcPr>
            <w:tcW w:type="dxa" w:w="3216"/>
          </w:tcPr>
          <w:p>
            <w:r/>
            <w:r>
              <w:rPr>
                <w:sz w:val="18"/>
              </w:rPr>
              <w:t>High temp, slow heavy loads, steel plants</w:t>
            </w:r>
          </w:p>
        </w:tc>
      </w:tr>
    </w:tbl>
    <w:p/>
    <w:p>
      <w:pPr>
        <w:pStyle w:val="Heading2"/>
      </w:pPr>
      <w:r>
        <w:rPr>
          <w:color w:val="B8860B"/>
        </w:rPr>
        <w:t>By material</w:t>
      </w:r>
    </w:p>
    <w:p>
      <w:pPr>
        <w:jc w:val="center"/>
      </w:pPr>
      <w:r>
        <w:drawing>
          <wp:inline xmlns:a="http://schemas.openxmlformats.org/drawingml/2006/main" xmlns:pic="http://schemas.openxmlformats.org/drawingml/2006/picture">
            <wp:extent cx="4572000" cy="2600627"/>
            <wp:docPr id="3" name="Picture 3"/>
            <wp:cNvGraphicFramePr>
              <a:graphicFrameLocks noChangeAspect="1"/>
            </wp:cNvGraphicFramePr>
            <a:graphic>
              <a:graphicData uri="http://schemas.openxmlformats.org/drawingml/2006/picture">
                <pic:pic>
                  <pic:nvPicPr>
                    <pic:cNvPr id="0" name="b_mat.png"/>
                    <pic:cNvPicPr/>
                  </pic:nvPicPr>
                  <pic:blipFill>
                    <a:blip r:embed="rId11"/>
                    <a:stretch>
                      <a:fillRect/>
                    </a:stretch>
                  </pic:blipFill>
                  <pic:spPr>
                    <a:xfrm>
                      <a:off x="0" y="0"/>
                      <a:ext cx="4572000" cy="2600627"/>
                    </a:xfrm>
                    <a:prstGeom prst="rect"/>
                  </pic:spPr>
                </pic:pic>
              </a:graphicData>
            </a:graphic>
          </wp:inline>
        </w:drawing>
      </w:r>
    </w:p>
    <w:p>
      <w:pPr>
        <w:jc w:val="center"/>
      </w:pPr>
      <w:r>
        <w:rPr>
          <w:i/>
          <w:sz w:val="18"/>
        </w:rPr>
        <w:t>Figure 3: Indicative material split (intern estimate)</w:t>
      </w:r>
    </w:p>
    <w:p>
      <w:pPr>
        <w:pStyle w:val="Heading2"/>
      </w:pPr>
      <w:r>
        <w:rPr>
          <w:color w:val="B8860B"/>
        </w:rPr>
        <w:t>By application</w:t>
      </w:r>
    </w:p>
    <w:p>
      <w:pPr>
        <w:pStyle w:val="ListBullet"/>
      </w:pPr>
      <w:r>
        <w:rPr>
          <w:b/>
        </w:rPr>
        <w:t xml:space="preserve">Automotive: </w:t>
      </w:r>
      <w:r>
        <w:t>suspension, engine, steering, gearbox</w:t>
      </w:r>
    </w:p>
    <w:p>
      <w:pPr>
        <w:pStyle w:val="ListBullet"/>
      </w:pPr>
      <w:r>
        <w:rPr>
          <w:b/>
        </w:rPr>
        <w:t xml:space="preserve">Agriculture: </w:t>
      </w:r>
      <w:r>
        <w:t>tractors, harvesters, pumps</w:t>
      </w:r>
    </w:p>
    <w:p>
      <w:pPr>
        <w:pStyle w:val="ListBullet"/>
      </w:pPr>
      <w:r>
        <w:rPr>
          <w:b/>
        </w:rPr>
        <w:t xml:space="preserve">Industrial: </w:t>
      </w:r>
      <w:r>
        <w:t>pumps, compressors, motors, gearboxes, presses</w:t>
      </w:r>
    </w:p>
    <w:p>
      <w:pPr>
        <w:pStyle w:val="ListBullet"/>
      </w:pPr>
      <w:r>
        <w:rPr>
          <w:b/>
        </w:rPr>
        <w:t xml:space="preserve">Heavy equipment: </w:t>
      </w:r>
      <w:r>
        <w:t>excavators, cranes, mining</w:t>
      </w:r>
    </w:p>
    <w:p>
      <w:pPr>
        <w:pStyle w:val="ListBullet"/>
      </w:pPr>
      <w:r>
        <w:rPr>
          <w:b/>
        </w:rPr>
        <w:t xml:space="preserve">Railways: </w:t>
      </w:r>
      <w:r>
        <w:t>wagons, locomotives, axle boxes</w:t>
      </w:r>
    </w:p>
    <w:p>
      <w:pPr>
        <w:pStyle w:val="ListBullet"/>
      </w:pPr>
      <w:r>
        <w:rPr>
          <w:b/>
        </w:rPr>
        <w:t xml:space="preserve">Electrical: </w:t>
      </w:r>
      <w:r>
        <w:t>fans, appliances, small motors</w:t>
      </w:r>
    </w:p>
    <w:p>
      <w:pPr>
        <w:pStyle w:val="Heading1"/>
      </w:pPr>
      <w:r>
        <w:rPr>
          <w:color w:val="1F2A44"/>
        </w:rPr>
        <w:t>4. Materials</w:t>
      </w:r>
    </w:p>
    <w:p>
      <w:r>
        <w:rPr>
          <w:b/>
          <w:sz w:val="18"/>
        </w:rPr>
        <w:t>Table 4: Copper alloys for bushes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2A44"/>
          </w:tcPr>
          <w:p>
            <w:r/>
            <w:r>
              <w:rPr>
                <w:b/>
                <w:color w:val="FFFFFF"/>
                <w:sz w:val="18"/>
              </w:rPr>
              <w:t>Alloy</w:t>
            </w:r>
          </w:p>
        </w:tc>
        <w:tc>
          <w:tcPr>
            <w:tcW w:type="dxa" w:w="2412"/>
            <w:shd w:val="clear" w:color="auto" w:fill="1F2A44"/>
          </w:tcPr>
          <w:p>
            <w:r/>
            <w:r>
              <w:rPr>
                <w:b/>
                <w:color w:val="FFFFFF"/>
                <w:sz w:val="18"/>
              </w:rPr>
              <w:t>Typical composition</w:t>
            </w:r>
          </w:p>
        </w:tc>
        <w:tc>
          <w:tcPr>
            <w:tcW w:type="dxa" w:w="2412"/>
            <w:shd w:val="clear" w:color="auto" w:fill="1F2A44"/>
          </w:tcPr>
          <w:p>
            <w:r/>
            <w:r>
              <w:rPr>
                <w:b/>
                <w:color w:val="FFFFFF"/>
                <w:sz w:val="18"/>
              </w:rPr>
              <w:t>Properties</w:t>
            </w:r>
          </w:p>
        </w:tc>
        <w:tc>
          <w:tcPr>
            <w:tcW w:type="dxa" w:w="2412"/>
            <w:shd w:val="clear" w:color="auto" w:fill="1F2A44"/>
          </w:tcPr>
          <w:p>
            <w:r/>
            <w:r>
              <w:rPr>
                <w:b/>
                <w:color w:val="FFFFFF"/>
                <w:sz w:val="18"/>
              </w:rPr>
              <w:t>Typical use</w:t>
            </w:r>
          </w:p>
        </w:tc>
      </w:tr>
      <w:tr>
        <w:tc>
          <w:tcPr>
            <w:tcW w:type="dxa" w:w="2412"/>
          </w:tcPr>
          <w:p>
            <w:r/>
            <w:r>
              <w:rPr>
                <w:sz w:val="18"/>
              </w:rPr>
              <w:t>Leaded gunmetal (LG2 / LTB2)</w:t>
            </w:r>
          </w:p>
        </w:tc>
        <w:tc>
          <w:tcPr>
            <w:tcW w:type="dxa" w:w="2412"/>
          </w:tcPr>
          <w:p>
            <w:r/>
            <w:r>
              <w:rPr>
                <w:sz w:val="18"/>
              </w:rPr>
              <w:t>Cu 85, Sn 5, Pb 5, Zn 5</w:t>
            </w:r>
          </w:p>
        </w:tc>
        <w:tc>
          <w:tcPr>
            <w:tcW w:type="dxa" w:w="2412"/>
          </w:tcPr>
          <w:p>
            <w:r/>
            <w:r>
              <w:rPr>
                <w:sz w:val="18"/>
              </w:rPr>
              <w:t>Good wear, pressure-tight</w:t>
            </w:r>
          </w:p>
        </w:tc>
        <w:tc>
          <w:tcPr>
            <w:tcW w:type="dxa" w:w="2412"/>
          </w:tcPr>
          <w:p>
            <w:r/>
            <w:r>
              <w:rPr>
                <w:sz w:val="18"/>
              </w:rPr>
              <w:t>Pump and valve bushes</w:t>
            </w:r>
          </w:p>
        </w:tc>
      </w:tr>
      <w:tr>
        <w:tc>
          <w:tcPr>
            <w:tcW w:type="dxa" w:w="2412"/>
            <w:shd w:val="clear" w:color="auto" w:fill="F3EEDC"/>
          </w:tcPr>
          <w:p>
            <w:r/>
            <w:r>
              <w:rPr>
                <w:sz w:val="18"/>
              </w:rPr>
              <w:t>Phosphor bronze (PB1 / PB2)</w:t>
            </w:r>
          </w:p>
        </w:tc>
        <w:tc>
          <w:tcPr>
            <w:tcW w:type="dxa" w:w="2412"/>
            <w:shd w:val="clear" w:color="auto" w:fill="F3EEDC"/>
          </w:tcPr>
          <w:p>
            <w:r/>
            <w:r>
              <w:rPr>
                <w:sz w:val="18"/>
              </w:rPr>
              <w:t>Cu 88 to 90, Sn 10 to 12, P 0.2</w:t>
            </w:r>
          </w:p>
        </w:tc>
        <w:tc>
          <w:tcPr>
            <w:tcW w:type="dxa" w:w="2412"/>
            <w:shd w:val="clear" w:color="auto" w:fill="F3EEDC"/>
          </w:tcPr>
          <w:p>
            <w:r/>
            <w:r>
              <w:rPr>
                <w:sz w:val="18"/>
              </w:rPr>
              <w:t>Hard, fatigue-resistant</w:t>
            </w:r>
          </w:p>
        </w:tc>
        <w:tc>
          <w:tcPr>
            <w:tcW w:type="dxa" w:w="2412"/>
            <w:shd w:val="clear" w:color="auto" w:fill="F3EEDC"/>
          </w:tcPr>
          <w:p>
            <w:r/>
            <w:r>
              <w:rPr>
                <w:sz w:val="18"/>
              </w:rPr>
              <w:t>Gears, worm wheels, heavy loads</w:t>
            </w:r>
          </w:p>
        </w:tc>
      </w:tr>
      <w:tr>
        <w:tc>
          <w:tcPr>
            <w:tcW w:type="dxa" w:w="2412"/>
          </w:tcPr>
          <w:p>
            <w:r/>
            <w:r>
              <w:rPr>
                <w:sz w:val="18"/>
              </w:rPr>
              <w:t>Leaded tin bronze (LB 5)</w:t>
            </w:r>
          </w:p>
        </w:tc>
        <w:tc>
          <w:tcPr>
            <w:tcW w:type="dxa" w:w="2412"/>
          </w:tcPr>
          <w:p>
            <w:r/>
            <w:r>
              <w:rPr>
                <w:sz w:val="18"/>
              </w:rPr>
              <w:t>Cu 80, Sn 10, Pb 10</w:t>
            </w:r>
          </w:p>
        </w:tc>
        <w:tc>
          <w:tcPr>
            <w:tcW w:type="dxa" w:w="2412"/>
          </w:tcPr>
          <w:p>
            <w:r/>
            <w:r>
              <w:rPr>
                <w:sz w:val="18"/>
              </w:rPr>
              <w:t>Excellent for high speed, low friction</w:t>
            </w:r>
          </w:p>
        </w:tc>
        <w:tc>
          <w:tcPr>
            <w:tcW w:type="dxa" w:w="2412"/>
          </w:tcPr>
          <w:p>
            <w:r/>
            <w:r>
              <w:rPr>
                <w:sz w:val="18"/>
              </w:rPr>
              <w:t>Engine and motor bearings</w:t>
            </w:r>
          </w:p>
        </w:tc>
      </w:tr>
      <w:tr>
        <w:tc>
          <w:tcPr>
            <w:tcW w:type="dxa" w:w="2412"/>
            <w:shd w:val="clear" w:color="auto" w:fill="F3EEDC"/>
          </w:tcPr>
          <w:p>
            <w:r/>
            <w:r>
              <w:rPr>
                <w:sz w:val="18"/>
              </w:rPr>
              <w:t>Aluminium bronze</w:t>
            </w:r>
          </w:p>
        </w:tc>
        <w:tc>
          <w:tcPr>
            <w:tcW w:type="dxa" w:w="2412"/>
            <w:shd w:val="clear" w:color="auto" w:fill="F3EEDC"/>
          </w:tcPr>
          <w:p>
            <w:r/>
            <w:r>
              <w:rPr>
                <w:sz w:val="18"/>
              </w:rPr>
              <w:t>Cu 80 to 88, Al 8 to 11, Fe, Ni</w:t>
            </w:r>
          </w:p>
        </w:tc>
        <w:tc>
          <w:tcPr>
            <w:tcW w:type="dxa" w:w="2412"/>
            <w:shd w:val="clear" w:color="auto" w:fill="F3EEDC"/>
          </w:tcPr>
          <w:p>
            <w:r/>
            <w:r>
              <w:rPr>
                <w:sz w:val="18"/>
              </w:rPr>
              <w:t>Very strong, corrosion resistant</w:t>
            </w:r>
          </w:p>
        </w:tc>
        <w:tc>
          <w:tcPr>
            <w:tcW w:type="dxa" w:w="2412"/>
            <w:shd w:val="clear" w:color="auto" w:fill="F3EEDC"/>
          </w:tcPr>
          <w:p>
            <w:r/>
            <w:r>
              <w:rPr>
                <w:sz w:val="18"/>
              </w:rPr>
              <w:t>Heavy load, marine</w:t>
            </w:r>
          </w:p>
        </w:tc>
      </w:tr>
      <w:tr>
        <w:tc>
          <w:tcPr>
            <w:tcW w:type="dxa" w:w="2412"/>
          </w:tcPr>
          <w:p>
            <w:r/>
            <w:r>
              <w:rPr>
                <w:sz w:val="18"/>
              </w:rPr>
              <w:t>Brass (HB/SB)</w:t>
            </w:r>
          </w:p>
        </w:tc>
        <w:tc>
          <w:tcPr>
            <w:tcW w:type="dxa" w:w="2412"/>
          </w:tcPr>
          <w:p>
            <w:r/>
            <w:r>
              <w:rPr>
                <w:sz w:val="18"/>
              </w:rPr>
              <w:t>Cu 60, Zn 40</w:t>
            </w:r>
          </w:p>
        </w:tc>
        <w:tc>
          <w:tcPr>
            <w:tcW w:type="dxa" w:w="2412"/>
          </w:tcPr>
          <w:p>
            <w:r/>
            <w:r>
              <w:rPr>
                <w:sz w:val="18"/>
              </w:rPr>
              <w:t>Economical, medium load</w:t>
            </w:r>
          </w:p>
        </w:tc>
        <w:tc>
          <w:tcPr>
            <w:tcW w:type="dxa" w:w="2412"/>
          </w:tcPr>
          <w:p>
            <w:r/>
            <w:r>
              <w:rPr>
                <w:sz w:val="18"/>
              </w:rPr>
              <w:t>Light duty bushes</w:t>
            </w:r>
          </w:p>
        </w:tc>
      </w:tr>
      <w:tr>
        <w:tc>
          <w:tcPr>
            <w:tcW w:type="dxa" w:w="2412"/>
            <w:shd w:val="clear" w:color="auto" w:fill="F3EEDC"/>
          </w:tcPr>
          <w:p>
            <w:r/>
            <w:r>
              <w:rPr>
                <w:sz w:val="18"/>
              </w:rPr>
              <w:t>SAE 660 bearing bronze</w:t>
            </w:r>
          </w:p>
        </w:tc>
        <w:tc>
          <w:tcPr>
            <w:tcW w:type="dxa" w:w="2412"/>
            <w:shd w:val="clear" w:color="auto" w:fill="F3EEDC"/>
          </w:tcPr>
          <w:p>
            <w:r/>
            <w:r>
              <w:rPr>
                <w:sz w:val="18"/>
              </w:rPr>
              <w:t>Cu 83, Sn 7, Pb 7, Zn 3</w:t>
            </w:r>
          </w:p>
        </w:tc>
        <w:tc>
          <w:tcPr>
            <w:tcW w:type="dxa" w:w="2412"/>
            <w:shd w:val="clear" w:color="auto" w:fill="F3EEDC"/>
          </w:tcPr>
          <w:p>
            <w:r/>
            <w:r>
              <w:rPr>
                <w:sz w:val="18"/>
              </w:rPr>
              <w:t>Standard continuous-cast bronze</w:t>
            </w:r>
          </w:p>
        </w:tc>
        <w:tc>
          <w:tcPr>
            <w:tcW w:type="dxa" w:w="2412"/>
            <w:shd w:val="clear" w:color="auto" w:fill="F3EEDC"/>
          </w:tcPr>
          <w:p>
            <w:r/>
            <w:r>
              <w:rPr>
                <w:sz w:val="18"/>
              </w:rPr>
              <w:t>General industrial</w:t>
            </w:r>
          </w:p>
        </w:tc>
      </w:tr>
    </w:tbl>
    <w:p/>
    <w:p>
      <w:pPr>
        <w:jc w:val="center"/>
      </w:pPr>
      <w:r>
        <w:drawing>
          <wp:inline xmlns:a="http://schemas.openxmlformats.org/drawingml/2006/main" xmlns:pic="http://schemas.openxmlformats.org/drawingml/2006/picture">
            <wp:extent cx="4937760" cy="2375715"/>
            <wp:docPr id="4" name="Picture 4"/>
            <wp:cNvGraphicFramePr>
              <a:graphicFrameLocks noChangeAspect="1"/>
            </wp:cNvGraphicFramePr>
            <a:graphic>
              <a:graphicData uri="http://schemas.openxmlformats.org/drawingml/2006/picture">
                <pic:pic>
                  <pic:nvPicPr>
                    <pic:cNvPr id="0" name="b_cost.png"/>
                    <pic:cNvPicPr/>
                  </pic:nvPicPr>
                  <pic:blipFill>
                    <a:blip r:embed="rId12"/>
                    <a:stretch>
                      <a:fillRect/>
                    </a:stretch>
                  </pic:blipFill>
                  <pic:spPr>
                    <a:xfrm>
                      <a:off x="0" y="0"/>
                      <a:ext cx="4937760" cy="2375715"/>
                    </a:xfrm>
                    <a:prstGeom prst="rect"/>
                  </pic:spPr>
                </pic:pic>
              </a:graphicData>
            </a:graphic>
          </wp:inline>
        </w:drawing>
      </w:r>
    </w:p>
    <w:p>
      <w:pPr>
        <w:jc w:val="center"/>
      </w:pPr>
      <w:r>
        <w:rPr>
          <w:i/>
          <w:sz w:val="18"/>
        </w:rPr>
        <w:t>Figure 4: Indicative cost structure (illustrative)</w:t>
      </w:r>
    </w:p>
    <w:p>
      <w:pPr>
        <w:spacing w:after="120"/>
      </w:pPr>
      <w:r>
        <w:t>Tin is expensive and volatile, so alloy choice (for example LG2 vs PB2) has a large effect on cost. Copper and bronze scrap recycling at Bajaj Alloys gives a cost advantage.</w:t>
      </w:r>
    </w:p>
    <w:p>
      <w:pPr>
        <w:pStyle w:val="Heading1"/>
      </w:pPr>
      <w:r>
        <w:rPr>
          <w:color w:val="1F2A44"/>
        </w:rPr>
        <w:t>5. Manufacturing process</w:t>
      </w:r>
    </w:p>
    <w:p>
      <w:pPr>
        <w:spacing w:after="120"/>
      </w:pPr>
      <w:r>
        <w:t>Bronze bushes are mainly made by (a) centrifugal casting of hollow tubes, (b) continuous casting of rods and tubes, (c) sand/permanent mould casting for special sizes, (d) powder metallurgy for sintered bushes, and (e) rolling from strip for split bushes.</w:t>
      </w:r>
    </w:p>
    <w:p>
      <w:pPr>
        <w:jc w:val="center"/>
      </w:pPr>
      <w:r>
        <w:drawing>
          <wp:inline xmlns:a="http://schemas.openxmlformats.org/drawingml/2006/main" xmlns:pic="http://schemas.openxmlformats.org/drawingml/2006/picture">
            <wp:extent cx="5852160" cy="3991087"/>
            <wp:docPr id="5" name="Picture 5"/>
            <wp:cNvGraphicFramePr>
              <a:graphicFrameLocks noChangeAspect="1"/>
            </wp:cNvGraphicFramePr>
            <a:graphic>
              <a:graphicData uri="http://schemas.openxmlformats.org/drawingml/2006/picture">
                <pic:pic>
                  <pic:nvPicPr>
                    <pic:cNvPr id="0" name="b_flow.png"/>
                    <pic:cNvPicPr/>
                  </pic:nvPicPr>
                  <pic:blipFill>
                    <a:blip r:embed="rId13"/>
                    <a:stretch>
                      <a:fillRect/>
                    </a:stretch>
                  </pic:blipFill>
                  <pic:spPr>
                    <a:xfrm>
                      <a:off x="0" y="0"/>
                      <a:ext cx="5852160" cy="3991087"/>
                    </a:xfrm>
                    <a:prstGeom prst="rect"/>
                  </pic:spPr>
                </pic:pic>
              </a:graphicData>
            </a:graphic>
          </wp:inline>
        </w:drawing>
      </w:r>
    </w:p>
    <w:p>
      <w:pPr>
        <w:jc w:val="center"/>
      </w:pPr>
      <w:r>
        <w:rPr>
          <w:i/>
          <w:sz w:val="18"/>
        </w:rPr>
        <w:t>Figure 5: Process flow for a cast bronze bush</w:t>
      </w:r>
    </w:p>
    <w:p>
      <w:pPr>
        <w:pStyle w:val="ListBullet"/>
      </w:pPr>
      <w:r>
        <w:rPr>
          <w:b/>
        </w:rPr>
        <w:t xml:space="preserve">Step 1: Charge preparation: </w:t>
      </w:r>
      <w:r>
        <w:t>Virgin copper, tin, lead, zinc and clean scrap are weighed to the target alloy.</w:t>
      </w:r>
    </w:p>
    <w:p>
      <w:pPr>
        <w:pStyle w:val="ListBullet"/>
      </w:pPr>
      <w:r>
        <w:rPr>
          <w:b/>
        </w:rPr>
        <w:t xml:space="preserve">Step 2: Melting and refining: </w:t>
      </w:r>
      <w:r>
        <w:t>Induction/crucible furnace at 1,100 to 1,200 degrees C, flux and degassing, then sample to the spectrometer to adjust the composition.</w:t>
      </w:r>
    </w:p>
    <w:p>
      <w:pPr>
        <w:pStyle w:val="ListBullet"/>
      </w:pPr>
      <w:r>
        <w:rPr>
          <w:b/>
        </w:rPr>
        <w:t xml:space="preserve">Step 3: Casting: </w:t>
      </w:r>
      <w:r>
        <w:t>Centrifugal casting: metal is poured into a spinning mould (about 600 to 1,500 rpm); centrifugal force gives dense, defect-free walls. Continuous casting draws hollow rods through a graphite die.</w:t>
      </w:r>
    </w:p>
    <w:p>
      <w:pPr>
        <w:pStyle w:val="ListBullet"/>
      </w:pPr>
      <w:r>
        <w:rPr>
          <w:b/>
        </w:rPr>
        <w:t xml:space="preserve">Step 4: Machining: </w:t>
      </w:r>
      <w:r>
        <w:t>Tubes are cut, turned on CNC lathes to OD, bored to ID, faced to length, chamfered. Flanges, oil grooves and holes are added.</w:t>
      </w:r>
    </w:p>
    <w:p>
      <w:pPr>
        <w:pStyle w:val="ListBullet"/>
      </w:pPr>
      <w:r>
        <w:rPr>
          <w:b/>
        </w:rPr>
        <w:t xml:space="preserve">Step 5: Sintering route (alternative): </w:t>
      </w:r>
      <w:r>
        <w:t>Metal powder is compacted in a die, sintered at about 800 degrees C, sized, and vacuum-impregnated with oil.</w:t>
      </w:r>
    </w:p>
    <w:p>
      <w:pPr>
        <w:pStyle w:val="ListBullet"/>
      </w:pPr>
      <w:r>
        <w:rPr>
          <w:b/>
        </w:rPr>
        <w:t xml:space="preserve">Step 6: Inspection: </w:t>
      </w:r>
      <w:r>
        <w:t>Dimensional (go/no-go gauges), hardness, visual check for porosity, material certificates.</w:t>
      </w:r>
    </w:p>
    <w:p>
      <w:pPr>
        <w:pStyle w:val="ListBullet"/>
      </w:pPr>
      <w:r>
        <w:rPr>
          <w:b/>
        </w:rPr>
        <w:t xml:space="preserve">Step 7: Packing: </w:t>
      </w:r>
      <w:r>
        <w:t>Oiled, VCI paper, boxed by size and lot.</w:t>
      </w:r>
    </w:p>
    <w:p>
      <w:pPr>
        <w:jc w:val="center"/>
      </w:pPr>
      <w:r>
        <w:drawing>
          <wp:inline xmlns:a="http://schemas.openxmlformats.org/drawingml/2006/main" xmlns:pic="http://schemas.openxmlformats.org/drawingml/2006/picture">
            <wp:extent cx="5303520" cy="2930122"/>
            <wp:docPr id="6" name="Picture 6"/>
            <wp:cNvGraphicFramePr>
              <a:graphicFrameLocks noChangeAspect="1"/>
            </wp:cNvGraphicFramePr>
            <a:graphic>
              <a:graphicData uri="http://schemas.openxmlformats.org/drawingml/2006/picture">
                <pic:pic>
                  <pic:nvPicPr>
                    <pic:cNvPr id="0" name="b_route.png"/>
                    <pic:cNvPicPr/>
                  </pic:nvPicPr>
                  <pic:blipFill>
                    <a:blip r:embed="rId14"/>
                    <a:stretch>
                      <a:fillRect/>
                    </a:stretch>
                  </pic:blipFill>
                  <pic:spPr>
                    <a:xfrm>
                      <a:off x="0" y="0"/>
                      <a:ext cx="5303520" cy="2930122"/>
                    </a:xfrm>
                    <a:prstGeom prst="rect"/>
                  </pic:spPr>
                </pic:pic>
              </a:graphicData>
            </a:graphic>
          </wp:inline>
        </w:drawing>
      </w:r>
    </w:p>
    <w:p>
      <w:pPr>
        <w:jc w:val="center"/>
      </w:pPr>
      <w:r>
        <w:rPr>
          <w:i/>
          <w:sz w:val="18"/>
        </w:rPr>
        <w:t>Figure 6: Qualitative scoring of routes (intern judgement)</w:t>
      </w:r>
    </w:p>
    <w:p>
      <w:pPr>
        <w:pStyle w:val="Heading1"/>
      </w:pPr>
      <w:r>
        <w:rPr>
          <w:color w:val="1F2A44"/>
        </w:rPr>
        <w:t>6. Quality and standards</w:t>
      </w:r>
    </w:p>
    <w:p>
      <w:r>
        <w:rPr>
          <w:b/>
          <w:sz w:val="18"/>
        </w:rPr>
        <w:t>Table 5: Standards for bushes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2A44"/>
          </w:tcPr>
          <w:p>
            <w:r/>
            <w:r>
              <w:rPr>
                <w:b/>
                <w:color w:val="FFFFFF"/>
                <w:sz w:val="18"/>
              </w:rPr>
              <w:t>Standard</w:t>
            </w:r>
          </w:p>
        </w:tc>
        <w:tc>
          <w:tcPr>
            <w:tcW w:type="dxa" w:w="4824"/>
            <w:shd w:val="clear" w:color="auto" w:fill="1F2A44"/>
          </w:tcPr>
          <w:p>
            <w:r/>
            <w:r>
              <w:rPr>
                <w:b/>
                <w:color w:val="FFFFFF"/>
                <w:sz w:val="18"/>
              </w:rPr>
              <w:t>Scope</w:t>
            </w:r>
          </w:p>
        </w:tc>
      </w:tr>
      <w:tr>
        <w:tc>
          <w:tcPr>
            <w:tcW w:type="dxa" w:w="4824"/>
          </w:tcPr>
          <w:p>
            <w:r/>
            <w:r>
              <w:rPr>
                <w:sz w:val="18"/>
              </w:rPr>
              <w:t>IS 318</w:t>
            </w:r>
          </w:p>
        </w:tc>
        <w:tc>
          <w:tcPr>
            <w:tcW w:type="dxa" w:w="4824"/>
          </w:tcPr>
          <w:p>
            <w:r/>
            <w:r>
              <w:rPr>
                <w:sz w:val="18"/>
              </w:rPr>
              <w:t>Leaded tin bronze ingots and castings</w:t>
            </w:r>
          </w:p>
        </w:tc>
      </w:tr>
      <w:tr>
        <w:tc>
          <w:tcPr>
            <w:tcW w:type="dxa" w:w="4824"/>
            <w:shd w:val="clear" w:color="auto" w:fill="F3EEDC"/>
          </w:tcPr>
          <w:p>
            <w:r/>
            <w:r>
              <w:rPr>
                <w:sz w:val="18"/>
              </w:rPr>
              <w:t>IS 28</w:t>
            </w:r>
          </w:p>
        </w:tc>
        <w:tc>
          <w:tcPr>
            <w:tcW w:type="dxa" w:w="4824"/>
            <w:shd w:val="clear" w:color="auto" w:fill="F3EEDC"/>
          </w:tcPr>
          <w:p>
            <w:r/>
            <w:r>
              <w:rPr>
                <w:sz w:val="18"/>
              </w:rPr>
              <w:t>Phosphor bronze ingots and castings</w:t>
            </w:r>
          </w:p>
        </w:tc>
      </w:tr>
      <w:tr>
        <w:tc>
          <w:tcPr>
            <w:tcW w:type="dxa" w:w="4824"/>
          </w:tcPr>
          <w:p>
            <w:r/>
            <w:r>
              <w:rPr>
                <w:sz w:val="18"/>
              </w:rPr>
              <w:t>IS 7598 / IS 11620</w:t>
            </w:r>
          </w:p>
        </w:tc>
        <w:tc>
          <w:tcPr>
            <w:tcW w:type="dxa" w:w="4824"/>
          </w:tcPr>
          <w:p>
            <w:r/>
            <w:r>
              <w:rPr>
                <w:sz w:val="18"/>
              </w:rPr>
              <w:t>Plain bearing related standards</w:t>
            </w:r>
          </w:p>
        </w:tc>
      </w:tr>
      <w:tr>
        <w:tc>
          <w:tcPr>
            <w:tcW w:type="dxa" w:w="4824"/>
            <w:shd w:val="clear" w:color="auto" w:fill="F3EEDC"/>
          </w:tcPr>
          <w:p>
            <w:r/>
            <w:r>
              <w:rPr>
                <w:sz w:val="18"/>
              </w:rPr>
              <w:t>IS 4378</w:t>
            </w:r>
          </w:p>
        </w:tc>
        <w:tc>
          <w:tcPr>
            <w:tcW w:type="dxa" w:w="4824"/>
            <w:shd w:val="clear" w:color="auto" w:fill="F3EEDC"/>
          </w:tcPr>
          <w:p>
            <w:r/>
            <w:r>
              <w:rPr>
                <w:sz w:val="18"/>
              </w:rPr>
              <w:t>Bearing bush related guides</w:t>
            </w:r>
          </w:p>
        </w:tc>
      </w:tr>
      <w:tr>
        <w:tc>
          <w:tcPr>
            <w:tcW w:type="dxa" w:w="4824"/>
          </w:tcPr>
          <w:p>
            <w:r/>
            <w:r>
              <w:rPr>
                <w:sz w:val="18"/>
              </w:rPr>
              <w:t>ASTM B505 / SAE 660</w:t>
            </w:r>
          </w:p>
        </w:tc>
        <w:tc>
          <w:tcPr>
            <w:tcW w:type="dxa" w:w="4824"/>
          </w:tcPr>
          <w:p>
            <w:r/>
            <w:r>
              <w:rPr>
                <w:sz w:val="18"/>
              </w:rPr>
              <w:t>Continuous cast bronze</w:t>
            </w:r>
          </w:p>
        </w:tc>
      </w:tr>
      <w:tr>
        <w:tc>
          <w:tcPr>
            <w:tcW w:type="dxa" w:w="4824"/>
            <w:shd w:val="clear" w:color="auto" w:fill="F3EEDC"/>
          </w:tcPr>
          <w:p>
            <w:r/>
            <w:r>
              <w:rPr>
                <w:sz w:val="18"/>
              </w:rPr>
              <w:t>DIN 1494 / ISO 3547</w:t>
            </w:r>
          </w:p>
        </w:tc>
        <w:tc>
          <w:tcPr>
            <w:tcW w:type="dxa" w:w="4824"/>
            <w:shd w:val="clear" w:color="auto" w:fill="F3EEDC"/>
          </w:tcPr>
          <w:p>
            <w:r/>
            <w:r>
              <w:rPr>
                <w:sz w:val="18"/>
              </w:rPr>
              <w:t>Dimensions of plain bearing bushes</w:t>
            </w:r>
          </w:p>
        </w:tc>
      </w:tr>
      <w:tr>
        <w:tc>
          <w:tcPr>
            <w:tcW w:type="dxa" w:w="4824"/>
          </w:tcPr>
          <w:p>
            <w:r/>
            <w:r>
              <w:rPr>
                <w:sz w:val="18"/>
              </w:rPr>
              <w:t>ISO 9001 / IATF 16949</w:t>
            </w:r>
          </w:p>
        </w:tc>
        <w:tc>
          <w:tcPr>
            <w:tcW w:type="dxa" w:w="4824"/>
          </w:tcPr>
          <w:p>
            <w:r/>
            <w:r>
              <w:rPr>
                <w:sz w:val="18"/>
              </w:rPr>
              <w:t>Quality systems, automotive customers need IATF</w:t>
            </w:r>
          </w:p>
        </w:tc>
      </w:tr>
    </w:tbl>
    <w:p/>
    <w:p>
      <w:pPr>
        <w:spacing w:after="120"/>
      </w:pPr>
      <w:r>
        <w:t>Typical customer demands: chemical composition certificate, hardness (HB 60 to 120), dimensional tolerance (H7 bore, interference-fit OD), surface roughness, PPAP for automotive customers.</w:t>
      </w:r>
    </w:p>
    <w:p>
      <w:pPr>
        <w:pStyle w:val="Heading1"/>
      </w:pPr>
      <w:r>
        <w:rPr>
          <w:color w:val="1F2A44"/>
        </w:rPr>
        <w:t>7. Market size and growth</w:t>
      </w:r>
    </w:p>
    <w:p>
      <w:pPr>
        <w:pStyle w:val="Heading2"/>
      </w:pPr>
      <w:r>
        <w:rPr>
          <w:color w:val="B8860B"/>
        </w:rPr>
        <w:t>7.1 Global and Indian proxies</w:t>
      </w:r>
    </w:p>
    <w:p>
      <w:pPr>
        <w:jc w:val="center"/>
      </w:pPr>
      <w:r>
        <w:drawing>
          <wp:inline xmlns:a="http://schemas.openxmlformats.org/drawingml/2006/main" xmlns:pic="http://schemas.openxmlformats.org/drawingml/2006/picture">
            <wp:extent cx="5486400" cy="3095494"/>
            <wp:docPr id="7" name="Picture 7"/>
            <wp:cNvGraphicFramePr>
              <a:graphicFrameLocks noChangeAspect="1"/>
            </wp:cNvGraphicFramePr>
            <a:graphic>
              <a:graphicData uri="http://schemas.openxmlformats.org/drawingml/2006/picture">
                <pic:pic>
                  <pic:nvPicPr>
                    <pic:cNvPr id="0" name="b_global.png"/>
                    <pic:cNvPicPr/>
                  </pic:nvPicPr>
                  <pic:blipFill>
                    <a:blip r:embed="rId15"/>
                    <a:stretch>
                      <a:fillRect/>
                    </a:stretch>
                  </pic:blipFill>
                  <pic:spPr>
                    <a:xfrm>
                      <a:off x="0" y="0"/>
                      <a:ext cx="5486400" cy="3095494"/>
                    </a:xfrm>
                    <a:prstGeom prst="rect"/>
                  </pic:spPr>
                </pic:pic>
              </a:graphicData>
            </a:graphic>
          </wp:inline>
        </w:drawing>
      </w:r>
    </w:p>
    <w:p>
      <w:pPr>
        <w:jc w:val="center"/>
      </w:pPr>
      <w:r>
        <w:rPr>
          <w:i/>
          <w:sz w:val="18"/>
        </w:rPr>
        <w:t>Figure 7: Global automotive bushing market</w:t>
      </w:r>
    </w:p>
    <w:p>
      <w:pPr>
        <w:jc w:val="center"/>
      </w:pPr>
      <w:r>
        <w:drawing>
          <wp:inline xmlns:a="http://schemas.openxmlformats.org/drawingml/2006/main" xmlns:pic="http://schemas.openxmlformats.org/drawingml/2006/picture">
            <wp:extent cx="5486400" cy="3095494"/>
            <wp:docPr id="8" name="Picture 8"/>
            <wp:cNvGraphicFramePr>
              <a:graphicFrameLocks noChangeAspect="1"/>
            </wp:cNvGraphicFramePr>
            <a:graphic>
              <a:graphicData uri="http://schemas.openxmlformats.org/drawingml/2006/picture">
                <pic:pic>
                  <pic:nvPicPr>
                    <pic:cNvPr id="0" name="b_india.png"/>
                    <pic:cNvPicPr/>
                  </pic:nvPicPr>
                  <pic:blipFill>
                    <a:blip r:embed="rId16"/>
                    <a:stretch>
                      <a:fillRect/>
                    </a:stretch>
                  </pic:blipFill>
                  <pic:spPr>
                    <a:xfrm>
                      <a:off x="0" y="0"/>
                      <a:ext cx="5486400" cy="3095494"/>
                    </a:xfrm>
                    <a:prstGeom prst="rect"/>
                  </pic:spPr>
                </pic:pic>
              </a:graphicData>
            </a:graphic>
          </wp:inline>
        </w:drawing>
      </w:r>
    </w:p>
    <w:p>
      <w:pPr>
        <w:jc w:val="center"/>
      </w:pPr>
      <w:r>
        <w:rPr>
          <w:i/>
          <w:sz w:val="18"/>
        </w:rPr>
        <w:t>Figure 8: India automotive bearing market, a proxy for bush demand</w:t>
      </w:r>
    </w:p>
    <w:p>
      <w:r>
        <w:rPr>
          <w:b/>
          <w:sz w:val="18"/>
        </w:rPr>
        <w:t>Table 6: Published figures used as proxies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2A44"/>
          </w:tcPr>
          <w:p>
            <w:r/>
            <w:r>
              <w:rPr>
                <w:b/>
                <w:color w:val="FFFFFF"/>
                <w:sz w:val="18"/>
              </w:rPr>
              <w:t>Indicator</w:t>
            </w:r>
          </w:p>
        </w:tc>
        <w:tc>
          <w:tcPr>
            <w:tcW w:type="dxa" w:w="3216"/>
            <w:shd w:val="clear" w:color="auto" w:fill="1F2A44"/>
          </w:tcPr>
          <w:p>
            <w:r/>
            <w:r>
              <w:rPr>
                <w:b/>
                <w:color w:val="FFFFFF"/>
                <w:sz w:val="18"/>
              </w:rPr>
              <w:t>Value</w:t>
            </w:r>
          </w:p>
        </w:tc>
        <w:tc>
          <w:tcPr>
            <w:tcW w:type="dxa" w:w="3216"/>
            <w:shd w:val="clear" w:color="auto" w:fill="1F2A44"/>
          </w:tcPr>
          <w:p>
            <w:r/>
            <w:r>
              <w:rPr>
                <w:b/>
                <w:color w:val="FFFFFF"/>
                <w:sz w:val="18"/>
              </w:rPr>
              <w:t>Source</w:t>
            </w:r>
          </w:p>
        </w:tc>
      </w:tr>
      <w:tr>
        <w:tc>
          <w:tcPr>
            <w:tcW w:type="dxa" w:w="3216"/>
          </w:tcPr>
          <w:p>
            <w:r/>
            <w:r>
              <w:rPr>
                <w:sz w:val="18"/>
              </w:rPr>
              <w:t>Global automotive bushing 2025</w:t>
            </w:r>
          </w:p>
        </w:tc>
        <w:tc>
          <w:tcPr>
            <w:tcW w:type="dxa" w:w="3216"/>
          </w:tcPr>
          <w:p>
            <w:r/>
            <w:r>
              <w:rPr>
                <w:sz w:val="18"/>
              </w:rPr>
              <w:t>USD 172.48 bn</w:t>
            </w:r>
          </w:p>
        </w:tc>
        <w:tc>
          <w:tcPr>
            <w:tcW w:type="dxa" w:w="3216"/>
          </w:tcPr>
          <w:p>
            <w:r/>
            <w:r>
              <w:rPr>
                <w:sz w:val="18"/>
              </w:rPr>
              <w:t>Mordor Intelligence</w:t>
            </w:r>
          </w:p>
        </w:tc>
      </w:tr>
      <w:tr>
        <w:tc>
          <w:tcPr>
            <w:tcW w:type="dxa" w:w="3216"/>
            <w:shd w:val="clear" w:color="auto" w:fill="F3EEDC"/>
          </w:tcPr>
          <w:p>
            <w:r/>
            <w:r>
              <w:rPr>
                <w:sz w:val="18"/>
              </w:rPr>
              <w:t>Global 2030</w:t>
            </w:r>
          </w:p>
        </w:tc>
        <w:tc>
          <w:tcPr>
            <w:tcW w:type="dxa" w:w="3216"/>
            <w:shd w:val="clear" w:color="auto" w:fill="F3EEDC"/>
          </w:tcPr>
          <w:p>
            <w:r/>
            <w:r>
              <w:rPr>
                <w:sz w:val="18"/>
              </w:rPr>
              <w:t>USD 218.35 bn (CAGR 4.83%)</w:t>
            </w:r>
          </w:p>
        </w:tc>
        <w:tc>
          <w:tcPr>
            <w:tcW w:type="dxa" w:w="3216"/>
            <w:shd w:val="clear" w:color="auto" w:fill="F3EEDC"/>
          </w:tcPr>
          <w:p>
            <w:r/>
            <w:r>
              <w:rPr>
                <w:sz w:val="18"/>
              </w:rPr>
              <w:t>Mordor Intelligence</w:t>
            </w:r>
          </w:p>
        </w:tc>
      </w:tr>
      <w:tr>
        <w:tc>
          <w:tcPr>
            <w:tcW w:type="dxa" w:w="3216"/>
          </w:tcPr>
          <w:p>
            <w:r/>
            <w:r>
              <w:rPr>
                <w:sz w:val="18"/>
              </w:rPr>
              <w:t>India automotive bearing 2024</w:t>
            </w:r>
          </w:p>
        </w:tc>
        <w:tc>
          <w:tcPr>
            <w:tcW w:type="dxa" w:w="3216"/>
          </w:tcPr>
          <w:p>
            <w:r/>
            <w:r>
              <w:rPr>
                <w:sz w:val="18"/>
              </w:rPr>
              <w:t>USD 503.3 m</w:t>
            </w:r>
          </w:p>
        </w:tc>
        <w:tc>
          <w:tcPr>
            <w:tcW w:type="dxa" w:w="3216"/>
          </w:tcPr>
          <w:p>
            <w:r/>
            <w:r>
              <w:rPr>
                <w:sz w:val="18"/>
              </w:rPr>
              <w:t>IMARC</w:t>
            </w:r>
          </w:p>
        </w:tc>
      </w:tr>
      <w:tr>
        <w:tc>
          <w:tcPr>
            <w:tcW w:type="dxa" w:w="3216"/>
            <w:shd w:val="clear" w:color="auto" w:fill="F3EEDC"/>
          </w:tcPr>
          <w:p>
            <w:r/>
            <w:r>
              <w:rPr>
                <w:sz w:val="18"/>
              </w:rPr>
              <w:t>India automotive bearing 2033</w:t>
            </w:r>
          </w:p>
        </w:tc>
        <w:tc>
          <w:tcPr>
            <w:tcW w:type="dxa" w:w="3216"/>
            <w:shd w:val="clear" w:color="auto" w:fill="F3EEDC"/>
          </w:tcPr>
          <w:p>
            <w:r/>
            <w:r>
              <w:rPr>
                <w:sz w:val="18"/>
              </w:rPr>
              <w:t>USD 725.5 m (CAGR 4.15%)</w:t>
            </w:r>
          </w:p>
        </w:tc>
        <w:tc>
          <w:tcPr>
            <w:tcW w:type="dxa" w:w="3216"/>
            <w:shd w:val="clear" w:color="auto" w:fill="F3EEDC"/>
          </w:tcPr>
          <w:p>
            <w:r/>
            <w:r>
              <w:rPr>
                <w:sz w:val="18"/>
              </w:rPr>
              <w:t>IMARC</w:t>
            </w:r>
          </w:p>
        </w:tc>
      </w:tr>
      <w:tr>
        <w:tc>
          <w:tcPr>
            <w:tcW w:type="dxa" w:w="3216"/>
          </w:tcPr>
          <w:p>
            <w:r/>
            <w:r>
              <w:rPr>
                <w:sz w:val="18"/>
              </w:rPr>
              <w:t>India bearings overall growth</w:t>
            </w:r>
          </w:p>
        </w:tc>
        <w:tc>
          <w:tcPr>
            <w:tcW w:type="dxa" w:w="3216"/>
          </w:tcPr>
          <w:p>
            <w:r/>
            <w:r>
              <w:rPr>
                <w:sz w:val="18"/>
              </w:rPr>
              <w:t>3.2% (Technavio 2024 to 2029) to 9.7% (IMARC 2026 to 2034)</w:t>
            </w:r>
          </w:p>
        </w:tc>
        <w:tc>
          <w:tcPr>
            <w:tcW w:type="dxa" w:w="3216"/>
          </w:tcPr>
          <w:p>
            <w:r/>
            <w:r>
              <w:rPr>
                <w:sz w:val="18"/>
              </w:rPr>
              <w:t>Technavio, IMARC</w:t>
            </w:r>
          </w:p>
        </w:tc>
      </w:tr>
      <w:tr>
        <w:tc>
          <w:tcPr>
            <w:tcW w:type="dxa" w:w="3216"/>
            <w:shd w:val="clear" w:color="auto" w:fill="F3EEDC"/>
          </w:tcPr>
          <w:p>
            <w:r/>
            <w:r>
              <w:rPr>
                <w:sz w:val="18"/>
              </w:rPr>
              <w:t>India bearing aftermarket growth</w:t>
            </w:r>
          </w:p>
        </w:tc>
        <w:tc>
          <w:tcPr>
            <w:tcW w:type="dxa" w:w="3216"/>
            <w:shd w:val="clear" w:color="auto" w:fill="F3EEDC"/>
          </w:tcPr>
          <w:p>
            <w:r/>
            <w:r>
              <w:rPr>
                <w:sz w:val="18"/>
              </w:rPr>
              <w:t>About 14.7% a year</w:t>
            </w:r>
          </w:p>
        </w:tc>
        <w:tc>
          <w:tcPr>
            <w:tcW w:type="dxa" w:w="3216"/>
            <w:shd w:val="clear" w:color="auto" w:fill="F3EEDC"/>
          </w:tcPr>
          <w:p>
            <w:r/>
            <w:r>
              <w:rPr>
                <w:sz w:val="18"/>
              </w:rPr>
              <w:t>Astute Analytica</w:t>
            </w:r>
          </w:p>
        </w:tc>
      </w:tr>
    </w:tbl>
    <w:p/>
    <w:p>
      <w:pPr>
        <w:spacing w:after="120"/>
      </w:pPr>
      <w:r>
        <w:t>Important: the global figure covers all automotive bushings (including rubber and polymer, and complete assemblies), so it is far bigger than the metal-bush segment a foundry serves. Treat it as direction of growth, not as Bajaj Alloys' addressable market. A bottom-up estimate (vehicles produced x bushes per vehicle x average price) should be built next.</w:t>
      </w:r>
    </w:p>
    <w:p>
      <w:pPr>
        <w:pStyle w:val="Heading2"/>
      </w:pPr>
      <w:r>
        <w:rPr>
          <w:color w:val="B8860B"/>
        </w:rPr>
        <w:t>7.2 Bottom-up illustration</w:t>
      </w:r>
    </w:p>
    <w:p>
      <w:r>
        <w:rPr>
          <w:b/>
          <w:sz w:val="18"/>
        </w:rPr>
        <w:t>Table 7: Method for building an addressable market (inputs to be validated)</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2A44"/>
          </w:tcPr>
          <w:p>
            <w:r/>
            <w:r>
              <w:rPr>
                <w:b/>
                <w:color w:val="FFFFFF"/>
                <w:sz w:val="18"/>
              </w:rPr>
              <w:t>Item</w:t>
            </w:r>
          </w:p>
        </w:tc>
        <w:tc>
          <w:tcPr>
            <w:tcW w:type="dxa" w:w="4824"/>
            <w:shd w:val="clear" w:color="auto" w:fill="1F2A44"/>
          </w:tcPr>
          <w:p>
            <w:r/>
            <w:r>
              <w:rPr>
                <w:b/>
                <w:color w:val="FFFFFF"/>
                <w:sz w:val="18"/>
              </w:rPr>
              <w:t>Illustrative value</w:t>
            </w:r>
          </w:p>
        </w:tc>
      </w:tr>
      <w:tr>
        <w:tc>
          <w:tcPr>
            <w:tcW w:type="dxa" w:w="4824"/>
          </w:tcPr>
          <w:p>
            <w:r/>
            <w:r>
              <w:rPr>
                <w:sz w:val="18"/>
              </w:rPr>
              <w:t>India vehicle production (all categories, approx.)</w:t>
            </w:r>
          </w:p>
        </w:tc>
        <w:tc>
          <w:tcPr>
            <w:tcW w:type="dxa" w:w="4824"/>
          </w:tcPr>
          <w:p>
            <w:r/>
            <w:r>
              <w:rPr>
                <w:sz w:val="18"/>
              </w:rPr>
              <w:t>About 28 to 30 million a year</w:t>
            </w:r>
          </w:p>
        </w:tc>
      </w:tr>
      <w:tr>
        <w:tc>
          <w:tcPr>
            <w:tcW w:type="dxa" w:w="4824"/>
            <w:shd w:val="clear" w:color="auto" w:fill="F3EEDC"/>
          </w:tcPr>
          <w:p>
            <w:r/>
            <w:r>
              <w:rPr>
                <w:sz w:val="18"/>
              </w:rPr>
              <w:t>Metal / bronze bushes per vehicle (average, varies hugely)</w:t>
            </w:r>
          </w:p>
        </w:tc>
        <w:tc>
          <w:tcPr>
            <w:tcW w:type="dxa" w:w="4824"/>
            <w:shd w:val="clear" w:color="auto" w:fill="F3EEDC"/>
          </w:tcPr>
          <w:p>
            <w:r/>
            <w:r>
              <w:rPr>
                <w:sz w:val="18"/>
              </w:rPr>
              <w:t>5 to 20 pieces</w:t>
            </w:r>
          </w:p>
        </w:tc>
      </w:tr>
      <w:tr>
        <w:tc>
          <w:tcPr>
            <w:tcW w:type="dxa" w:w="4824"/>
          </w:tcPr>
          <w:p>
            <w:r/>
            <w:r>
              <w:rPr>
                <w:sz w:val="18"/>
              </w:rPr>
              <w:t>Average price per bush</w:t>
            </w:r>
          </w:p>
        </w:tc>
        <w:tc>
          <w:tcPr>
            <w:tcW w:type="dxa" w:w="4824"/>
          </w:tcPr>
          <w:p>
            <w:r/>
            <w:r>
              <w:rPr>
                <w:sz w:val="18"/>
              </w:rPr>
              <w:t>INR 20 to 150</w:t>
            </w:r>
          </w:p>
        </w:tc>
      </w:tr>
      <w:tr>
        <w:tc>
          <w:tcPr>
            <w:tcW w:type="dxa" w:w="4824"/>
            <w:shd w:val="clear" w:color="auto" w:fill="F3EEDC"/>
          </w:tcPr>
          <w:p>
            <w:r/>
            <w:r>
              <w:rPr>
                <w:sz w:val="18"/>
              </w:rPr>
              <w:t>Tractors, pumps, motors, industry</w:t>
            </w:r>
          </w:p>
        </w:tc>
        <w:tc>
          <w:tcPr>
            <w:tcW w:type="dxa" w:w="4824"/>
            <w:shd w:val="clear" w:color="auto" w:fill="F3EEDC"/>
          </w:tcPr>
          <w:p>
            <w:r/>
            <w:r>
              <w:rPr>
                <w:sz w:val="18"/>
              </w:rPr>
              <w:t>Additional millions of pieces a year</w:t>
            </w:r>
          </w:p>
        </w:tc>
      </w:tr>
    </w:tbl>
    <w:p/>
    <w:p>
      <w:pPr>
        <w:pStyle w:val="Heading2"/>
      </w:pPr>
      <w:r>
        <w:rPr>
          <w:color w:val="B8860B"/>
        </w:rPr>
        <w:t>7.3 Demand drivers</w:t>
      </w:r>
    </w:p>
    <w:p>
      <w:pPr>
        <w:pStyle w:val="ListBullet"/>
      </w:pPr>
      <w:r>
        <w:t>Rising vehicle and tractor production; EV shift reduces engine bushes but increases suspension and e-axle bushes.</w:t>
      </w:r>
    </w:p>
    <w:p>
      <w:pPr>
        <w:pStyle w:val="ListBullet"/>
      </w:pPr>
      <w:r>
        <w:t>Pumps, motors and capex in water, steel, cement, power.</w:t>
      </w:r>
    </w:p>
    <w:p>
      <w:pPr>
        <w:pStyle w:val="ListBullet"/>
      </w:pPr>
      <w:r>
        <w:t>Maintenance and replacement (aftermarket) growth.</w:t>
      </w:r>
    </w:p>
    <w:p>
      <w:pPr>
        <w:pStyle w:val="ListBullet"/>
      </w:pPr>
      <w:r>
        <w:t>Import substitution and China+1 for machine components.</w:t>
      </w:r>
    </w:p>
    <w:p>
      <w:pPr>
        <w:pStyle w:val="ListBullet"/>
      </w:pPr>
      <w:r>
        <w:t>Railways and defence indigenisation.</w:t>
      </w:r>
    </w:p>
    <w:p>
      <w:pPr>
        <w:jc w:val="center"/>
      </w:pPr>
      <w:r>
        <w:drawing>
          <wp:inline xmlns:a="http://schemas.openxmlformats.org/drawingml/2006/main" xmlns:pic="http://schemas.openxmlformats.org/drawingml/2006/picture">
            <wp:extent cx="4572000" cy="3036013"/>
            <wp:docPr id="9" name="Picture 9"/>
            <wp:cNvGraphicFramePr>
              <a:graphicFrameLocks noChangeAspect="1"/>
            </wp:cNvGraphicFramePr>
            <a:graphic>
              <a:graphicData uri="http://schemas.openxmlformats.org/drawingml/2006/picture">
                <pic:pic>
                  <pic:nvPicPr>
                    <pic:cNvPr id="0" name="b_end.png"/>
                    <pic:cNvPicPr/>
                  </pic:nvPicPr>
                  <pic:blipFill>
                    <a:blip r:embed="rId17"/>
                    <a:stretch>
                      <a:fillRect/>
                    </a:stretch>
                  </pic:blipFill>
                  <pic:spPr>
                    <a:xfrm>
                      <a:off x="0" y="0"/>
                      <a:ext cx="4572000" cy="3036013"/>
                    </a:xfrm>
                    <a:prstGeom prst="rect"/>
                  </pic:spPr>
                </pic:pic>
              </a:graphicData>
            </a:graphic>
          </wp:inline>
        </w:drawing>
      </w:r>
    </w:p>
    <w:p>
      <w:pPr>
        <w:jc w:val="center"/>
      </w:pPr>
      <w:r>
        <w:rPr>
          <w:i/>
          <w:sz w:val="18"/>
        </w:rPr>
        <w:t>Figure 9: Indicative end-use split (intern estimate)</w:t>
      </w:r>
    </w:p>
    <w:p>
      <w:pPr>
        <w:pStyle w:val="Heading2"/>
      </w:pPr>
      <w:r>
        <w:rPr>
          <w:color w:val="B8860B"/>
        </w:rPr>
        <w:t>7.4 Regional clusters</w:t>
      </w:r>
    </w:p>
    <w:p>
      <w:pPr>
        <w:pStyle w:val="ListBullet"/>
      </w:pPr>
      <w:r>
        <w:t>Ludhiana, Jalandhar (Punjab): auto components</w:t>
      </w:r>
    </w:p>
    <w:p>
      <w:pPr>
        <w:pStyle w:val="ListBullet"/>
      </w:pPr>
      <w:r>
        <w:t>Rajkot, Ahmedabad (Gujarat): engineering castings, bearings</w:t>
      </w:r>
    </w:p>
    <w:p>
      <w:pPr>
        <w:pStyle w:val="ListBullet"/>
      </w:pPr>
      <w:r>
        <w:t>Pune, Chennai, Coimbatore: OEM and pumps</w:t>
      </w:r>
    </w:p>
    <w:p>
      <w:pPr>
        <w:pStyle w:val="ListBullet"/>
      </w:pPr>
      <w:r>
        <w:t>Gurugram, Faridabad, Bhiwani: NCR auto cluster, brass and bronze foundries</w:t>
      </w:r>
    </w:p>
    <w:p>
      <w:pPr>
        <w:pStyle w:val="Heading1"/>
      </w:pPr>
      <w:r>
        <w:rPr>
          <w:color w:val="1F2A44"/>
        </w:rPr>
        <w:t>8. B2B and B2C market</w:t>
      </w:r>
    </w:p>
    <w:p>
      <w:pPr>
        <w:pStyle w:val="Heading2"/>
      </w:pPr>
      <w:r>
        <w:rPr>
          <w:color w:val="B8860B"/>
        </w:rPr>
        <w:t>8.1 B2B</w:t>
      </w:r>
    </w:p>
    <w:p>
      <w:pPr>
        <w:spacing w:after="120"/>
      </w:pPr>
      <w:r>
        <w:t>Most bush sales are B2B: OEM supply to vehicle, tractor, pump and motor manufacturers; contracts with steel plants, railways and heavy machinery companies; and sales to industrial distributors.</w:t>
      </w:r>
    </w:p>
    <w:p>
      <w:pPr>
        <w:pStyle w:val="Heading2"/>
      </w:pPr>
      <w:r>
        <w:rPr>
          <w:color w:val="B8860B"/>
        </w:rPr>
        <w:t>8.2 B2C and retail aftermarket</w:t>
      </w:r>
    </w:p>
    <w:p>
      <w:pPr>
        <w:spacing w:after="120"/>
      </w:pPr>
      <w:r>
        <w:t>B2C means mechanics, garages and individual owners buying replacement bushes (suspension, hinge, tractor and pump bushes) from spare-part shops or online. It is small in value for a foundry but offers higher margins and brand-building.</w:t>
      </w:r>
    </w:p>
    <w:p>
      <w:pPr>
        <w:jc w:val="center"/>
      </w:pPr>
      <w:r>
        <w:drawing>
          <wp:inline xmlns:a="http://schemas.openxmlformats.org/drawingml/2006/main" xmlns:pic="http://schemas.openxmlformats.org/drawingml/2006/picture">
            <wp:extent cx="4937760" cy="2906590"/>
            <wp:docPr id="10" name="Picture 10"/>
            <wp:cNvGraphicFramePr>
              <a:graphicFrameLocks noChangeAspect="1"/>
            </wp:cNvGraphicFramePr>
            <a:graphic>
              <a:graphicData uri="http://schemas.openxmlformats.org/drawingml/2006/picture">
                <pic:pic>
                  <pic:nvPicPr>
                    <pic:cNvPr id="0" name="b_chan.png"/>
                    <pic:cNvPicPr/>
                  </pic:nvPicPr>
                  <pic:blipFill>
                    <a:blip r:embed="rId18"/>
                    <a:stretch>
                      <a:fillRect/>
                    </a:stretch>
                  </pic:blipFill>
                  <pic:spPr>
                    <a:xfrm>
                      <a:off x="0" y="0"/>
                      <a:ext cx="4937760" cy="2906590"/>
                    </a:xfrm>
                    <a:prstGeom prst="rect"/>
                  </pic:spPr>
                </pic:pic>
              </a:graphicData>
            </a:graphic>
          </wp:inline>
        </w:drawing>
      </w:r>
    </w:p>
    <w:p>
      <w:pPr>
        <w:jc w:val="center"/>
      </w:pPr>
      <w:r>
        <w:rPr>
          <w:i/>
          <w:sz w:val="18"/>
        </w:rPr>
        <w:t>Figure 10: Indicative channel mix (illustrative)</w:t>
      </w:r>
    </w:p>
    <w:p>
      <w:r>
        <w:rPr>
          <w:b/>
          <w:sz w:val="18"/>
        </w:rPr>
        <w:t>Table 8: B2B vs B2C comparison for bushes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2A44"/>
          </w:tcPr>
          <w:p>
            <w:r/>
            <w:r>
              <w:rPr>
                <w:b/>
                <w:color w:val="FFFFFF"/>
                <w:sz w:val="18"/>
              </w:rPr>
              <w:t>Factor</w:t>
            </w:r>
          </w:p>
        </w:tc>
        <w:tc>
          <w:tcPr>
            <w:tcW w:type="dxa" w:w="3216"/>
            <w:shd w:val="clear" w:color="auto" w:fill="1F2A44"/>
          </w:tcPr>
          <w:p>
            <w:r/>
            <w:r>
              <w:rPr>
                <w:b/>
                <w:color w:val="FFFFFF"/>
                <w:sz w:val="18"/>
              </w:rPr>
              <w:t>B2B (OEM / industrial)</w:t>
            </w:r>
          </w:p>
        </w:tc>
        <w:tc>
          <w:tcPr>
            <w:tcW w:type="dxa" w:w="3216"/>
            <w:shd w:val="clear" w:color="auto" w:fill="1F2A44"/>
          </w:tcPr>
          <w:p>
            <w:r/>
            <w:r>
              <w:rPr>
                <w:b/>
                <w:color w:val="FFFFFF"/>
                <w:sz w:val="18"/>
              </w:rPr>
              <w:t>B2C (aftermarket / retail)</w:t>
            </w:r>
          </w:p>
        </w:tc>
      </w:tr>
      <w:tr>
        <w:tc>
          <w:tcPr>
            <w:tcW w:type="dxa" w:w="3216"/>
          </w:tcPr>
          <w:p>
            <w:r/>
            <w:r>
              <w:rPr>
                <w:sz w:val="18"/>
              </w:rPr>
              <w:t>Buyers</w:t>
            </w:r>
          </w:p>
        </w:tc>
        <w:tc>
          <w:tcPr>
            <w:tcW w:type="dxa" w:w="3216"/>
          </w:tcPr>
          <w:p>
            <w:r/>
            <w:r>
              <w:rPr>
                <w:sz w:val="18"/>
              </w:rPr>
              <w:t>Auto OEMs, tractor makers, pump and motor makers, steel plants, railways</w:t>
            </w:r>
          </w:p>
        </w:tc>
        <w:tc>
          <w:tcPr>
            <w:tcW w:type="dxa" w:w="3216"/>
          </w:tcPr>
          <w:p>
            <w:r/>
            <w:r>
              <w:rPr>
                <w:sz w:val="18"/>
              </w:rPr>
              <w:t>Mechanics, garages, farmers, small workshops</w:t>
            </w:r>
          </w:p>
        </w:tc>
      </w:tr>
      <w:tr>
        <w:tc>
          <w:tcPr>
            <w:tcW w:type="dxa" w:w="3216"/>
            <w:shd w:val="clear" w:color="auto" w:fill="F3EEDC"/>
          </w:tcPr>
          <w:p>
            <w:r/>
            <w:r>
              <w:rPr>
                <w:sz w:val="18"/>
              </w:rPr>
              <w:t>Order size</w:t>
            </w:r>
          </w:p>
        </w:tc>
        <w:tc>
          <w:tcPr>
            <w:tcW w:type="dxa" w:w="3216"/>
            <w:shd w:val="clear" w:color="auto" w:fill="F3EEDC"/>
          </w:tcPr>
          <w:p>
            <w:r/>
            <w:r>
              <w:rPr>
                <w:sz w:val="18"/>
              </w:rPr>
              <w:t>Thousands per month, annual contracts</w:t>
            </w:r>
          </w:p>
        </w:tc>
        <w:tc>
          <w:tcPr>
            <w:tcW w:type="dxa" w:w="3216"/>
            <w:shd w:val="clear" w:color="auto" w:fill="F3EEDC"/>
          </w:tcPr>
          <w:p>
            <w:r/>
            <w:r>
              <w:rPr>
                <w:sz w:val="18"/>
              </w:rPr>
              <w:t>Single pieces or small packs</w:t>
            </w:r>
          </w:p>
        </w:tc>
      </w:tr>
      <w:tr>
        <w:tc>
          <w:tcPr>
            <w:tcW w:type="dxa" w:w="3216"/>
          </w:tcPr>
          <w:p>
            <w:r/>
            <w:r>
              <w:rPr>
                <w:sz w:val="18"/>
              </w:rPr>
              <w:t>Requirements</w:t>
            </w:r>
          </w:p>
        </w:tc>
        <w:tc>
          <w:tcPr>
            <w:tcW w:type="dxa" w:w="3216"/>
          </w:tcPr>
          <w:p>
            <w:r/>
            <w:r>
              <w:rPr>
                <w:sz w:val="18"/>
              </w:rPr>
              <w:t>Drawing, PPAP, IATF, test certificates</w:t>
            </w:r>
          </w:p>
        </w:tc>
        <w:tc>
          <w:tcPr>
            <w:tcW w:type="dxa" w:w="3216"/>
          </w:tcPr>
          <w:p>
            <w:r/>
            <w:r>
              <w:rPr>
                <w:sz w:val="18"/>
              </w:rPr>
              <w:t>Fit, availability, price, brand</w:t>
            </w:r>
          </w:p>
        </w:tc>
      </w:tr>
      <w:tr>
        <w:tc>
          <w:tcPr>
            <w:tcW w:type="dxa" w:w="3216"/>
            <w:shd w:val="clear" w:color="auto" w:fill="F3EEDC"/>
          </w:tcPr>
          <w:p>
            <w:r/>
            <w:r>
              <w:rPr>
                <w:sz w:val="18"/>
              </w:rPr>
              <w:t>Pricing</w:t>
            </w:r>
          </w:p>
        </w:tc>
        <w:tc>
          <w:tcPr>
            <w:tcW w:type="dxa" w:w="3216"/>
            <w:shd w:val="clear" w:color="auto" w:fill="F3EEDC"/>
          </w:tcPr>
          <w:p>
            <w:r/>
            <w:r>
              <w:rPr>
                <w:sz w:val="18"/>
              </w:rPr>
              <w:t>Cost-plus with metal price pass-through (LME copper)</w:t>
            </w:r>
          </w:p>
        </w:tc>
        <w:tc>
          <w:tcPr>
            <w:tcW w:type="dxa" w:w="3216"/>
            <w:shd w:val="clear" w:color="auto" w:fill="F3EEDC"/>
          </w:tcPr>
          <w:p>
            <w:r/>
            <w:r>
              <w:rPr>
                <w:sz w:val="18"/>
              </w:rPr>
              <w:t>MRP-based, margin for retailer</w:t>
            </w:r>
          </w:p>
        </w:tc>
      </w:tr>
      <w:tr>
        <w:tc>
          <w:tcPr>
            <w:tcW w:type="dxa" w:w="3216"/>
          </w:tcPr>
          <w:p>
            <w:r/>
            <w:r>
              <w:rPr>
                <w:sz w:val="18"/>
              </w:rPr>
              <w:t>Margin</w:t>
            </w:r>
          </w:p>
        </w:tc>
        <w:tc>
          <w:tcPr>
            <w:tcW w:type="dxa" w:w="3216"/>
          </w:tcPr>
          <w:p>
            <w:r/>
            <w:r>
              <w:rPr>
                <w:sz w:val="18"/>
              </w:rPr>
              <w:t>10 to 18%</w:t>
            </w:r>
          </w:p>
        </w:tc>
        <w:tc>
          <w:tcPr>
            <w:tcW w:type="dxa" w:w="3216"/>
          </w:tcPr>
          <w:p>
            <w:r/>
            <w:r>
              <w:rPr>
                <w:sz w:val="18"/>
              </w:rPr>
              <w:t>25 to 40% (with distributor margins)</w:t>
            </w:r>
          </w:p>
        </w:tc>
      </w:tr>
      <w:tr>
        <w:tc>
          <w:tcPr>
            <w:tcW w:type="dxa" w:w="3216"/>
            <w:shd w:val="clear" w:color="auto" w:fill="F3EEDC"/>
          </w:tcPr>
          <w:p>
            <w:r/>
            <w:r>
              <w:rPr>
                <w:sz w:val="18"/>
              </w:rPr>
              <w:t>Payment</w:t>
            </w:r>
          </w:p>
        </w:tc>
        <w:tc>
          <w:tcPr>
            <w:tcW w:type="dxa" w:w="3216"/>
            <w:shd w:val="clear" w:color="auto" w:fill="F3EEDC"/>
          </w:tcPr>
          <w:p>
            <w:r/>
            <w:r>
              <w:rPr>
                <w:sz w:val="18"/>
              </w:rPr>
              <w:t>45 to 90 days</w:t>
            </w:r>
          </w:p>
        </w:tc>
        <w:tc>
          <w:tcPr>
            <w:tcW w:type="dxa" w:w="3216"/>
            <w:shd w:val="clear" w:color="auto" w:fill="F3EEDC"/>
          </w:tcPr>
          <w:p>
            <w:r/>
            <w:r>
              <w:rPr>
                <w:sz w:val="18"/>
              </w:rPr>
              <w:t>Cash / short credit</w:t>
            </w:r>
          </w:p>
        </w:tc>
      </w:tr>
      <w:tr>
        <w:tc>
          <w:tcPr>
            <w:tcW w:type="dxa" w:w="3216"/>
          </w:tcPr>
          <w:p>
            <w:r/>
            <w:r>
              <w:rPr>
                <w:sz w:val="18"/>
              </w:rPr>
              <w:t>Marketing</w:t>
            </w:r>
          </w:p>
        </w:tc>
        <w:tc>
          <w:tcPr>
            <w:tcW w:type="dxa" w:w="3216"/>
          </w:tcPr>
          <w:p>
            <w:r/>
            <w:r>
              <w:rPr>
                <w:sz w:val="18"/>
              </w:rPr>
              <w:t>Key-account visits, approvals, trials (6 to 12 months)</w:t>
            </w:r>
          </w:p>
        </w:tc>
        <w:tc>
          <w:tcPr>
            <w:tcW w:type="dxa" w:w="3216"/>
          </w:tcPr>
          <w:p>
            <w:r/>
            <w:r>
              <w:rPr>
                <w:sz w:val="18"/>
              </w:rPr>
              <w:t>Catalogue, mechanic meets, e-commerce, IndiaMART</w:t>
            </w:r>
          </w:p>
        </w:tc>
      </w:tr>
      <w:tr>
        <w:tc>
          <w:tcPr>
            <w:tcW w:type="dxa" w:w="3216"/>
            <w:shd w:val="clear" w:color="auto" w:fill="F3EEDC"/>
          </w:tcPr>
          <w:p>
            <w:r/>
            <w:r>
              <w:rPr>
                <w:sz w:val="18"/>
              </w:rPr>
              <w:t>Risk</w:t>
            </w:r>
          </w:p>
        </w:tc>
        <w:tc>
          <w:tcPr>
            <w:tcW w:type="dxa" w:w="3216"/>
            <w:shd w:val="clear" w:color="auto" w:fill="F3EEDC"/>
          </w:tcPr>
          <w:p>
            <w:r/>
            <w:r>
              <w:rPr>
                <w:sz w:val="18"/>
              </w:rPr>
              <w:t>Customer concentration, price squeeze</w:t>
            </w:r>
          </w:p>
        </w:tc>
        <w:tc>
          <w:tcPr>
            <w:tcW w:type="dxa" w:w="3216"/>
            <w:shd w:val="clear" w:color="auto" w:fill="F3EEDC"/>
          </w:tcPr>
          <w:p>
            <w:r/>
            <w:r>
              <w:rPr>
                <w:sz w:val="18"/>
              </w:rPr>
              <w:t>Spurious competition, many SKUs</w:t>
            </w:r>
          </w:p>
        </w:tc>
      </w:tr>
    </w:tbl>
    <w:p/>
    <w:p>
      <w:pPr>
        <w:jc w:val="center"/>
      </w:pPr>
      <w:r>
        <w:drawing>
          <wp:inline xmlns:a="http://schemas.openxmlformats.org/drawingml/2006/main" xmlns:pic="http://schemas.openxmlformats.org/drawingml/2006/picture">
            <wp:extent cx="5120640" cy="2753032"/>
            <wp:docPr id="11" name="Picture 11"/>
            <wp:cNvGraphicFramePr>
              <a:graphicFrameLocks noChangeAspect="1"/>
            </wp:cNvGraphicFramePr>
            <a:graphic>
              <a:graphicData uri="http://schemas.openxmlformats.org/drawingml/2006/picture">
                <pic:pic>
                  <pic:nvPicPr>
                    <pic:cNvPr id="0" name="b_trend.png"/>
                    <pic:cNvPicPr/>
                  </pic:nvPicPr>
                  <pic:blipFill>
                    <a:blip r:embed="rId19"/>
                    <a:stretch>
                      <a:fillRect/>
                    </a:stretch>
                  </pic:blipFill>
                  <pic:spPr>
                    <a:xfrm>
                      <a:off x="0" y="0"/>
                      <a:ext cx="5120640" cy="2753032"/>
                    </a:xfrm>
                    <a:prstGeom prst="rect"/>
                  </pic:spPr>
                </pic:pic>
              </a:graphicData>
            </a:graphic>
          </wp:inline>
        </w:drawing>
      </w:r>
    </w:p>
    <w:p>
      <w:pPr>
        <w:jc w:val="center"/>
      </w:pPr>
      <w:r>
        <w:rPr>
          <w:i/>
          <w:sz w:val="18"/>
        </w:rPr>
        <w:t>Figure 11: Illustrative channel growth (aftermarket and online faster than OEM)</w:t>
      </w:r>
    </w:p>
    <w:p>
      <w:pPr>
        <w:pStyle w:val="Heading1"/>
      </w:pPr>
      <w:r>
        <w:rPr>
          <w:color w:val="1F2A44"/>
        </w:rPr>
        <w:t>9. Competition</w:t>
      </w:r>
    </w:p>
    <w:p>
      <w:r>
        <w:rPr>
          <w:b/>
          <w:sz w:val="18"/>
        </w:rPr>
        <w:t>Table 9: Competitive landscape (names for orientation only)</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2A44"/>
          </w:tcPr>
          <w:p>
            <w:r/>
            <w:r>
              <w:rPr>
                <w:b/>
                <w:color w:val="FFFFFF"/>
                <w:sz w:val="18"/>
              </w:rPr>
              <w:t>Segment</w:t>
            </w:r>
          </w:p>
        </w:tc>
        <w:tc>
          <w:tcPr>
            <w:tcW w:type="dxa" w:w="4824"/>
            <w:shd w:val="clear" w:color="auto" w:fill="1F2A44"/>
          </w:tcPr>
          <w:p>
            <w:r/>
            <w:r>
              <w:rPr>
                <w:b/>
                <w:color w:val="FFFFFF"/>
                <w:sz w:val="18"/>
              </w:rPr>
              <w:t>Players (examples)</w:t>
            </w:r>
          </w:p>
        </w:tc>
      </w:tr>
      <w:tr>
        <w:tc>
          <w:tcPr>
            <w:tcW w:type="dxa" w:w="4824"/>
          </w:tcPr>
          <w:p>
            <w:r/>
            <w:r>
              <w:rPr>
                <w:sz w:val="18"/>
              </w:rPr>
              <w:t>Organised bearings and bushes</w:t>
            </w:r>
          </w:p>
        </w:tc>
        <w:tc>
          <w:tcPr>
            <w:tcW w:type="dxa" w:w="4824"/>
          </w:tcPr>
          <w:p>
            <w:r/>
            <w:r>
              <w:rPr>
                <w:sz w:val="18"/>
              </w:rPr>
              <w:t>Schaeffler India, SKF India, NBC (National Engineering Industries), Timken India, FAG; Federal-Mogul/Tenneco bearings</w:t>
            </w:r>
          </w:p>
        </w:tc>
      </w:tr>
      <w:tr>
        <w:tc>
          <w:tcPr>
            <w:tcW w:type="dxa" w:w="4824"/>
            <w:shd w:val="clear" w:color="auto" w:fill="F3EEDC"/>
          </w:tcPr>
          <w:p>
            <w:r/>
            <w:r>
              <w:rPr>
                <w:sz w:val="18"/>
              </w:rPr>
              <w:t>Metal bush / bronze specialists</w:t>
            </w:r>
          </w:p>
        </w:tc>
        <w:tc>
          <w:tcPr>
            <w:tcW w:type="dxa" w:w="4824"/>
            <w:shd w:val="clear" w:color="auto" w:fill="F3EEDC"/>
          </w:tcPr>
          <w:p>
            <w:r/>
            <w:r>
              <w:rPr>
                <w:sz w:val="18"/>
              </w:rPr>
              <w:t>Many small and mid-sized foundries in Punjab, Gujarat, Maharashtra, Haryana</w:t>
            </w:r>
          </w:p>
        </w:tc>
      </w:tr>
      <w:tr>
        <w:tc>
          <w:tcPr>
            <w:tcW w:type="dxa" w:w="4824"/>
          </w:tcPr>
          <w:p>
            <w:r/>
            <w:r>
              <w:rPr>
                <w:sz w:val="18"/>
              </w:rPr>
              <w:t>Sintered</w:t>
            </w:r>
          </w:p>
        </w:tc>
        <w:tc>
          <w:tcPr>
            <w:tcW w:type="dxa" w:w="4824"/>
          </w:tcPr>
          <w:p>
            <w:r/>
            <w:r>
              <w:rPr>
                <w:sz w:val="18"/>
              </w:rPr>
              <w:t>Sundaram-Clayton group units, Hindustan Powder Metallurgy-type units and imports</w:t>
            </w:r>
          </w:p>
        </w:tc>
      </w:tr>
      <w:tr>
        <w:tc>
          <w:tcPr>
            <w:tcW w:type="dxa" w:w="4824"/>
            <w:shd w:val="clear" w:color="auto" w:fill="F3EEDC"/>
          </w:tcPr>
          <w:p>
            <w:r/>
            <w:r>
              <w:rPr>
                <w:sz w:val="18"/>
              </w:rPr>
              <w:t>Global</w:t>
            </w:r>
          </w:p>
        </w:tc>
        <w:tc>
          <w:tcPr>
            <w:tcW w:type="dxa" w:w="4824"/>
            <w:shd w:val="clear" w:color="auto" w:fill="F3EEDC"/>
          </w:tcPr>
          <w:p>
            <w:r/>
            <w:r>
              <w:rPr>
                <w:sz w:val="18"/>
              </w:rPr>
              <w:t>GGB, Saint-Gobain, Kolbenschmidt, Oilite, Igus (polymer)</w:t>
            </w:r>
          </w:p>
        </w:tc>
      </w:tr>
    </w:tbl>
    <w:p/>
    <w:p>
      <w:pPr>
        <w:spacing w:after="120"/>
      </w:pPr>
      <w:r>
        <w:t>The metal bush segment is fragmented and unorganised. Differentiation: consistent alloy chemistry, tight dimensions, certificates, and on-time supply.</w:t>
      </w:r>
    </w:p>
    <w:p>
      <w:pPr>
        <w:pStyle w:val="Heading1"/>
      </w:pPr>
      <w:r>
        <w:rPr>
          <w:color w:val="1F2A44"/>
        </w:rPr>
        <w:t>10. Opportunity and recommendations for Bajaj Alloys</w:t>
      </w:r>
    </w:p>
    <w:p>
      <w:pPr>
        <w:pStyle w:val="ListBullet"/>
      </w:pPr>
      <w:r>
        <w:t>Use in-house scrap and melting to produce continuous-cast and centrifugally cast bronze/gunmetal tube and rod: sell both as raw bush stock and as finished machined bushes.</w:t>
      </w:r>
    </w:p>
    <w:p>
      <w:pPr>
        <w:pStyle w:val="ListBullet"/>
      </w:pPr>
      <w:r>
        <w:t>Target pump, motor and tractor OEMs in Haryana, Punjab, Rajasthan first.</w:t>
      </w:r>
    </w:p>
    <w:p>
      <w:pPr>
        <w:pStyle w:val="ListBullet"/>
      </w:pPr>
      <w:r>
        <w:t>Add a standard catalogue (e.g. 50 common sizes) for distributors and e-commerce.</w:t>
      </w:r>
    </w:p>
    <w:p>
      <w:pPr>
        <w:pStyle w:val="ListBullet"/>
      </w:pPr>
      <w:r>
        <w:t>Invest in CNC lathes, bore gauges and a spectrometer; pursue ISO 9001 and later IATF 16949.</w:t>
      </w:r>
    </w:p>
    <w:p>
      <w:pPr>
        <w:pStyle w:val="ListBullet"/>
      </w:pPr>
      <w:r>
        <w:t>Hedge copper and tin price exposure through pricing formulas linked to LME/MCX.</w:t>
      </w:r>
    </w:p>
    <w:p>
      <w:pPr>
        <w:pStyle w:val="ListBullet"/>
      </w:pPr>
      <w:r>
        <w:t>Risks: tin price swings, EV shift, Chinese imports, customer concentration.</w:t>
      </w:r>
    </w:p>
    <w:p>
      <w:r>
        <w:rPr>
          <w:b/>
          <w:sz w:val="18"/>
        </w:rPr>
        <w:t>Table 10: Indicative roadmap</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2A44"/>
          </w:tcPr>
          <w:p>
            <w:r/>
            <w:r>
              <w:rPr>
                <w:b/>
                <w:color w:val="FFFFFF"/>
                <w:sz w:val="18"/>
              </w:rPr>
              <w:t>Item</w:t>
            </w:r>
          </w:p>
        </w:tc>
        <w:tc>
          <w:tcPr>
            <w:tcW w:type="dxa" w:w="3216"/>
            <w:shd w:val="clear" w:color="auto" w:fill="1F2A44"/>
          </w:tcPr>
          <w:p>
            <w:r/>
            <w:r>
              <w:rPr>
                <w:b/>
                <w:color w:val="FFFFFF"/>
                <w:sz w:val="18"/>
              </w:rPr>
              <w:t>Action</w:t>
            </w:r>
          </w:p>
        </w:tc>
        <w:tc>
          <w:tcPr>
            <w:tcW w:type="dxa" w:w="3216"/>
            <w:shd w:val="clear" w:color="auto" w:fill="1F2A44"/>
          </w:tcPr>
          <w:p>
            <w:r/>
            <w:r>
              <w:rPr>
                <w:b/>
                <w:color w:val="FFFFFF"/>
                <w:sz w:val="18"/>
              </w:rPr>
              <w:t>Timeline</w:t>
            </w:r>
          </w:p>
        </w:tc>
      </w:tr>
      <w:tr>
        <w:tc>
          <w:tcPr>
            <w:tcW w:type="dxa" w:w="3216"/>
          </w:tcPr>
          <w:p>
            <w:r/>
            <w:r>
              <w:rPr>
                <w:sz w:val="18"/>
              </w:rPr>
              <w:t>Product range and costing</w:t>
            </w:r>
          </w:p>
        </w:tc>
        <w:tc>
          <w:tcPr>
            <w:tcW w:type="dxa" w:w="3216"/>
          </w:tcPr>
          <w:p>
            <w:r/>
            <w:r>
              <w:rPr>
                <w:sz w:val="18"/>
              </w:rPr>
              <w:t>10 alloys/sizes, cost sheets</w:t>
            </w:r>
          </w:p>
        </w:tc>
        <w:tc>
          <w:tcPr>
            <w:tcW w:type="dxa" w:w="3216"/>
          </w:tcPr>
          <w:p>
            <w:r/>
            <w:r>
              <w:rPr>
                <w:sz w:val="18"/>
              </w:rPr>
              <w:t>Month 1</w:t>
            </w:r>
          </w:p>
        </w:tc>
      </w:tr>
      <w:tr>
        <w:tc>
          <w:tcPr>
            <w:tcW w:type="dxa" w:w="3216"/>
            <w:shd w:val="clear" w:color="auto" w:fill="F3EEDC"/>
          </w:tcPr>
          <w:p>
            <w:r/>
            <w:r>
              <w:rPr>
                <w:sz w:val="18"/>
              </w:rPr>
              <w:t>Casting set-up</w:t>
            </w:r>
          </w:p>
        </w:tc>
        <w:tc>
          <w:tcPr>
            <w:tcW w:type="dxa" w:w="3216"/>
            <w:shd w:val="clear" w:color="auto" w:fill="F3EEDC"/>
          </w:tcPr>
          <w:p>
            <w:r/>
            <w:r>
              <w:rPr>
                <w:sz w:val="18"/>
              </w:rPr>
              <w:t>Centrifugal / continuous caster trial</w:t>
            </w:r>
          </w:p>
        </w:tc>
        <w:tc>
          <w:tcPr>
            <w:tcW w:type="dxa" w:w="3216"/>
            <w:shd w:val="clear" w:color="auto" w:fill="F3EEDC"/>
          </w:tcPr>
          <w:p>
            <w:r/>
            <w:r>
              <w:rPr>
                <w:sz w:val="18"/>
              </w:rPr>
              <w:t>Months 2 to 5</w:t>
            </w:r>
          </w:p>
        </w:tc>
      </w:tr>
      <w:tr>
        <w:tc>
          <w:tcPr>
            <w:tcW w:type="dxa" w:w="3216"/>
          </w:tcPr>
          <w:p>
            <w:r/>
            <w:r>
              <w:rPr>
                <w:sz w:val="18"/>
              </w:rPr>
              <w:t>Machining cell</w:t>
            </w:r>
          </w:p>
        </w:tc>
        <w:tc>
          <w:tcPr>
            <w:tcW w:type="dxa" w:w="3216"/>
          </w:tcPr>
          <w:p>
            <w:r/>
            <w:r>
              <w:rPr>
                <w:sz w:val="18"/>
              </w:rPr>
              <w:t>2 CNC lathes, gauges</w:t>
            </w:r>
          </w:p>
        </w:tc>
        <w:tc>
          <w:tcPr>
            <w:tcW w:type="dxa" w:w="3216"/>
          </w:tcPr>
          <w:p>
            <w:r/>
            <w:r>
              <w:rPr>
                <w:sz w:val="18"/>
              </w:rPr>
              <w:t>Months 3 to 6</w:t>
            </w:r>
          </w:p>
        </w:tc>
      </w:tr>
      <w:tr>
        <w:tc>
          <w:tcPr>
            <w:tcW w:type="dxa" w:w="3216"/>
            <w:shd w:val="clear" w:color="auto" w:fill="F3EEDC"/>
          </w:tcPr>
          <w:p>
            <w:r/>
            <w:r>
              <w:rPr>
                <w:sz w:val="18"/>
              </w:rPr>
              <w:t>Customer trials</w:t>
            </w:r>
          </w:p>
        </w:tc>
        <w:tc>
          <w:tcPr>
            <w:tcW w:type="dxa" w:w="3216"/>
            <w:shd w:val="clear" w:color="auto" w:fill="F3EEDC"/>
          </w:tcPr>
          <w:p>
            <w:r/>
            <w:r>
              <w:rPr>
                <w:sz w:val="18"/>
              </w:rPr>
              <w:t>5 OEM and 10 distributors</w:t>
            </w:r>
          </w:p>
        </w:tc>
        <w:tc>
          <w:tcPr>
            <w:tcW w:type="dxa" w:w="3216"/>
            <w:shd w:val="clear" w:color="auto" w:fill="F3EEDC"/>
          </w:tcPr>
          <w:p>
            <w:r/>
            <w:r>
              <w:rPr>
                <w:sz w:val="18"/>
              </w:rPr>
              <w:t>Months 6 to 10</w:t>
            </w:r>
          </w:p>
        </w:tc>
      </w:tr>
      <w:tr>
        <w:tc>
          <w:tcPr>
            <w:tcW w:type="dxa" w:w="3216"/>
          </w:tcPr>
          <w:p>
            <w:r/>
            <w:r>
              <w:rPr>
                <w:sz w:val="18"/>
              </w:rPr>
              <w:t>Certification</w:t>
            </w:r>
          </w:p>
        </w:tc>
        <w:tc>
          <w:tcPr>
            <w:tcW w:type="dxa" w:w="3216"/>
          </w:tcPr>
          <w:p>
            <w:r/>
            <w:r>
              <w:rPr>
                <w:sz w:val="18"/>
              </w:rPr>
              <w:t>ISO 9001 / IATF</w:t>
            </w:r>
          </w:p>
        </w:tc>
        <w:tc>
          <w:tcPr>
            <w:tcW w:type="dxa" w:w="3216"/>
          </w:tcPr>
          <w:p>
            <w:r/>
            <w:r>
              <w:rPr>
                <w:sz w:val="18"/>
              </w:rPr>
              <w:t>Months 6 to 12</w:t>
            </w:r>
          </w:p>
        </w:tc>
      </w:tr>
    </w:tbl>
    <w:p/>
    <w:p>
      <w:pPr>
        <w:pStyle w:val="Heading1"/>
      </w:pPr>
      <w:r>
        <w:rPr>
          <w:color w:val="1F2A44"/>
        </w:rPr>
        <w:t>11. Data notes and sources</w:t>
      </w:r>
    </w:p>
    <w:p>
      <w:pPr>
        <w:spacing w:after="120"/>
      </w:pPr>
      <w:r>
        <w:t>Market numbers come from published research summaries (Mordor Intelligence for global automotive bushings, IMARC Group for India automotive bearings and India bearings, Technavio and Astute Analytica for India bearings growth). No source gave a clean India figure for bronze bushes specifically, so these are used as proxies, and the report says so. Interim yearly values in charts are interpolated at the stated CAGR. Charts labelled 'indicative' are intern estimates built from typical industry structure; they are not audited statistics and must be validated with plant and customer data. Diagrams are schematic drawings made for this report, not photographs.</w:t>
      </w:r>
    </w:p>
    <w:p>
      <w:pPr>
        <w:pStyle w:val="ListBullet"/>
      </w:pPr>
      <w:r>
        <w:t>Mordor Intelligence: Automotive Bushing Market</w:t>
      </w:r>
    </w:p>
    <w:p>
      <w:pPr>
        <w:pStyle w:val="ListBullet"/>
      </w:pPr>
      <w:r>
        <w:t>IMARC Group: India Automotive Bearing Market; India Bearings Market</w:t>
      </w:r>
    </w:p>
    <w:p>
      <w:pPr>
        <w:pStyle w:val="ListBullet"/>
      </w:pPr>
      <w:r>
        <w:t>Technavio: India Bearings Market Analysis</w:t>
      </w:r>
    </w:p>
    <w:p>
      <w:pPr>
        <w:pStyle w:val="ListBullet"/>
      </w:pPr>
      <w:r>
        <w:t>Astute Analytica: India Bearings Market</w:t>
      </w:r>
    </w:p>
    <w:p>
      <w:pPr>
        <w:pStyle w:val="ListBullet"/>
      </w:pPr>
      <w:r>
        <w:t>BIS standards IS 318, IS 28; ISO 3547</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