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600"/>
      </w:pPr>
      <w:r>
        <w:rPr>
          <w:b/>
          <w:color w:val="5B6470"/>
          <w:sz w:val="19"/>
        </w:rPr>
        <w:t>ALLOY OVERVIEW &amp; MARKET REPORT</w:t>
      </w:r>
    </w:p>
    <w:p>
      <w:pPr>
        <w:spacing w:after="0"/>
      </w:pPr>
      <w:r>
        <w:rPr>
          <w:b/>
          <w:color w:val="1F4E79"/>
          <w:sz w:val="60"/>
        </w:rPr>
        <w:t>EN 1982 Leaded Tin Bronzes</w:t>
      </w:r>
    </w:p>
    <w:p>
      <w:pPr>
        <w:spacing w:after="200"/>
      </w:pPr>
      <w:r>
        <w:rPr>
          <w:b/>
          <w:color w:val="8F4A12"/>
          <w:sz w:val="28"/>
        </w:rPr>
        <w:t>Ingot economics · applications · market · strategy</w:t>
      </w:r>
    </w:p>
    <w:p>
      <w:pPr>
        <w:spacing w:after="200"/>
      </w:pPr>
      <w:r>
        <w:rPr>
          <w:color w:val="2B2F36"/>
          <w:sz w:val="22"/>
        </w:rPr>
        <w:t>Gunmetals CC490K · CC491K · CC492K · CC493K   |   Bearing bronzes CC494K · CC495K</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814"/>
        <w:gridCol w:w="7937"/>
      </w:tblGrid>
      <w:tr>
        <w:trPr>
          <w:cantSplit/>
        </w:trPr>
        <w:tc>
          <w:tcPr>
            <w:tcW w:type="dxa" w:w="1814"/>
            <w:vAlign w:val="top"/>
          </w:tcPr>
          <w:p>
            <w:pPr>
              <w:spacing w:after="0" w:line="240" w:lineRule="auto"/>
            </w:pPr>
            <w:r>
              <w:rPr>
                <w:b/>
                <w:color w:val="2B2F36"/>
                <w:sz w:val="19"/>
              </w:rPr>
              <w:t>Prepared for</w:t>
            </w:r>
          </w:p>
        </w:tc>
        <w:tc>
          <w:tcPr>
            <w:tcW w:type="dxa" w:w="7937"/>
            <w:vAlign w:val="top"/>
          </w:tcPr>
          <w:p>
            <w:pPr>
              <w:spacing w:after="0" w:line="240" w:lineRule="auto"/>
            </w:pPr>
            <w:r>
              <w:rPr>
                <w:color w:val="2B2F36"/>
                <w:sz w:val="19"/>
              </w:rPr>
              <w:t>Bajaj Alloys, Bhiwadi (Rajasthan)</w:t>
            </w:r>
          </w:p>
        </w:tc>
      </w:tr>
      <w:tr>
        <w:trPr>
          <w:cantSplit/>
        </w:trPr>
        <w:tc>
          <w:tcPr>
            <w:tcW w:type="dxa" w:w="1814"/>
            <w:vAlign w:val="top"/>
          </w:tcPr>
          <w:p>
            <w:pPr>
              <w:spacing w:after="0" w:line="240" w:lineRule="auto"/>
            </w:pPr>
            <w:r>
              <w:rPr>
                <w:b/>
                <w:color w:val="2B2F36"/>
                <w:sz w:val="19"/>
              </w:rPr>
              <w:t>Prepared by</w:t>
            </w:r>
          </w:p>
        </w:tc>
        <w:tc>
          <w:tcPr>
            <w:tcW w:type="dxa" w:w="7937"/>
            <w:vAlign w:val="top"/>
          </w:tcPr>
          <w:p>
            <w:pPr>
              <w:spacing w:after="0" w:line="240" w:lineRule="auto"/>
            </w:pPr>
            <w:r>
              <w:rPr>
                <w:color w:val="2B2F36"/>
                <w:sz w:val="19"/>
              </w:rPr>
              <w:t>Research Trainee</w:t>
            </w:r>
          </w:p>
        </w:tc>
      </w:tr>
      <w:tr>
        <w:trPr>
          <w:cantSplit/>
        </w:trPr>
        <w:tc>
          <w:tcPr>
            <w:tcW w:type="dxa" w:w="1814"/>
            <w:vAlign w:val="top"/>
          </w:tcPr>
          <w:p>
            <w:pPr>
              <w:spacing w:after="0" w:line="240" w:lineRule="auto"/>
            </w:pPr>
            <w:r>
              <w:rPr>
                <w:b/>
                <w:color w:val="2B2F36"/>
                <w:sz w:val="19"/>
              </w:rPr>
              <w:t>Report date</w:t>
            </w:r>
          </w:p>
        </w:tc>
        <w:tc>
          <w:tcPr>
            <w:tcW w:type="dxa" w:w="7937"/>
            <w:vAlign w:val="top"/>
          </w:tcPr>
          <w:p>
            <w:pPr>
              <w:spacing w:after="0" w:line="240" w:lineRule="auto"/>
            </w:pPr>
            <w:r>
              <w:rPr>
                <w:color w:val="2B2F36"/>
                <w:sz w:val="19"/>
              </w:rPr>
              <w:t>5 October 2026 (Revision 6; supersedes Revision 5 of 4 October 2026)</w:t>
            </w:r>
          </w:p>
        </w:tc>
      </w:tr>
      <w:tr>
        <w:trPr>
          <w:cantSplit/>
        </w:trPr>
        <w:tc>
          <w:tcPr>
            <w:tcW w:type="dxa" w:w="1814"/>
            <w:vAlign w:val="top"/>
          </w:tcPr>
          <w:p>
            <w:pPr>
              <w:spacing w:after="0" w:line="240" w:lineRule="auto"/>
            </w:pPr>
            <w:r>
              <w:rPr>
                <w:b/>
                <w:color w:val="2B2F36"/>
                <w:sz w:val="19"/>
              </w:rPr>
              <w:t>Market data as of</w:t>
            </w:r>
          </w:p>
        </w:tc>
        <w:tc>
          <w:tcPr>
            <w:tcW w:type="dxa" w:w="7937"/>
            <w:vAlign w:val="top"/>
          </w:tcPr>
          <w:p>
            <w:pPr>
              <w:spacing w:after="0" w:line="240" w:lineRule="auto"/>
            </w:pPr>
            <w:r>
              <w:rPr>
                <w:color w:val="2B2F36"/>
                <w:sz w:val="19"/>
              </w:rPr>
              <w:t>LME official cash settlement 1 Oct 2026; US$/INR 2 Oct 2026. Cross-check 5 Oct 2026: LME copper 3-month ≈ US$ 14,259/t, tin ≈ US$ 54,277/t (within 0.5 % of the 1 Oct figures, so no price table was changed)</w:t>
            </w:r>
          </w:p>
        </w:tc>
      </w:tr>
      <w:tr>
        <w:trPr>
          <w:cantSplit/>
        </w:trPr>
        <w:tc>
          <w:tcPr>
            <w:tcW w:type="dxa" w:w="1814"/>
            <w:vAlign w:val="top"/>
          </w:tcPr>
          <w:p>
            <w:pPr>
              <w:spacing w:after="0" w:line="240" w:lineRule="auto"/>
            </w:pPr>
            <w:r>
              <w:rPr>
                <w:b/>
                <w:color w:val="2B2F36"/>
                <w:sz w:val="19"/>
              </w:rPr>
              <w:t>What Revision 6 is</w:t>
            </w:r>
          </w:p>
        </w:tc>
        <w:tc>
          <w:tcPr>
            <w:tcW w:type="dxa" w:w="7937"/>
            <w:vAlign w:val="top"/>
          </w:tcPr>
          <w:p>
            <w:pPr>
              <w:spacing w:after="0" w:line="240" w:lineRule="auto"/>
            </w:pPr>
            <w:r>
              <w:rPr>
                <w:color w:val="2B2F36"/>
                <w:sz w:val="19"/>
              </w:rPr>
              <w:t>A full rebuild after management review: ingot economics rewritten, every matrix recomputed from one data model, applications taken one level deeper, and the sections marked red or yellow rebuilt</w:t>
            </w:r>
          </w:p>
        </w:tc>
      </w:tr>
    </w:tbl>
    <w:p>
      <w:pPr>
        <w:spacing w:after="40"/>
      </w:pPr>
    </w:p>
    <w:p>
      <w:pPr>
        <w:keepNext/>
        <w:spacing w:after="40"/>
        <w:jc w:val="center"/>
      </w:pPr>
      <w:r>
        <w:drawing>
          <wp:inline xmlns:a="http://schemas.openxmlformats.org/drawingml/2006/main" xmlns:pic="http://schemas.openxmlformats.org/drawingml/2006/picture">
            <wp:extent cx="6192000" cy="3957578"/>
            <wp:docPr id="1" name="Picture 1"/>
            <wp:cNvGraphicFramePr>
              <a:graphicFrameLocks noChangeAspect="1"/>
            </wp:cNvGraphicFramePr>
            <a:graphic>
              <a:graphicData uri="http://schemas.openxmlformats.org/drawingml/2006/picture">
                <pic:pic>
                  <pic:nvPicPr>
                    <pic:cNvPr id="0" name="d21.png"/>
                    <pic:cNvPicPr/>
                  </pic:nvPicPr>
                  <pic:blipFill>
                    <a:blip r:embed="rId11"/>
                    <a:stretch>
                      <a:fillRect/>
                    </a:stretch>
                  </pic:blipFill>
                  <pic:spPr>
                    <a:xfrm>
                      <a:off x="0" y="0"/>
                      <a:ext cx="6192000" cy="3957578"/>
                    </a:xfrm>
                    <a:prstGeom prst="rect"/>
                  </pic:spPr>
                </pic:pic>
              </a:graphicData>
            </a:graphic>
          </wp:inline>
        </w:drawing>
      </w:r>
    </w:p>
    <w:p>
      <w:pPr>
        <w:spacing w:after="160"/>
      </w:pPr>
      <w:r>
        <w:rPr>
          <w:b/>
          <w:color w:val="5B6470"/>
          <w:sz w:val="17"/>
        </w:rPr>
        <w:t>Figure 1.</w:t>
      </w:r>
      <w:r>
        <w:rPr>
          <w:color w:val="5B6470"/>
          <w:sz w:val="17"/>
        </w:rPr>
        <w:t xml:space="preserve"> Revision 6 at a glance: metal value, demand share, largest applications and ingot price against scrap-route metal cost.</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1F4E79"/>
            </w:tcBorders>
            <w:shd w:val="clear" w:color="auto" w:fill="EEF3F8"/>
          </w:tcPr>
          <w:p>
            <w:pPr>
              <w:spacing w:after="60"/>
            </w:pPr>
            <w:r>
              <w:rPr>
                <w:b/>
                <w:color w:val="1F4E79"/>
                <w:sz w:val="20"/>
              </w:rPr>
              <w:t>How to read this report</w:t>
            </w:r>
          </w:p>
          <w:p>
            <w:pPr>
              <w:spacing w:after="40" w:line="252" w:lineRule="auto"/>
              <w:ind w:left="255" w:hanging="255"/>
            </w:pPr>
            <w:r>
              <w:rPr>
                <w:color w:val="2B2F36"/>
                <w:sz w:val="19"/>
              </w:rPr>
              <w:t xml:space="preserve">• </w:t>
            </w:r>
            <w:r>
              <w:rPr>
                <w:b/>
                <w:color w:val="2B2F36"/>
                <w:sz w:val="19"/>
              </w:rPr>
              <w:t>Verified</w:t>
            </w:r>
            <w:r>
              <w:rPr>
                <w:color w:val="2B2F36"/>
                <w:sz w:val="19"/>
              </w:rPr>
              <w:t xml:space="preserve"> = taken from a named source or computed from verified inputs. </w:t>
            </w:r>
            <w:r>
              <w:rPr>
                <w:b/>
                <w:color w:val="2B2F36"/>
                <w:sz w:val="19"/>
              </w:rPr>
              <w:t>Estimate</w:t>
            </w:r>
            <w:r>
              <w:rPr>
                <w:color w:val="2B2F36"/>
                <w:sz w:val="19"/>
              </w:rPr>
              <w:t xml:space="preserve"> = judgement or bottom-up model. Every table or chart based on estimates says so.</w:t>
            </w:r>
          </w:p>
          <w:p>
            <w:pPr>
              <w:spacing w:after="40" w:line="252" w:lineRule="auto"/>
              <w:ind w:left="255" w:hanging="255"/>
            </w:pPr>
            <w:r>
              <w:rPr>
                <w:color w:val="2B2F36"/>
                <w:sz w:val="19"/>
              </w:rPr>
              <w:t>• Every number in the text, tables and charts comes from one data model (inputs in Section 17). Totals, averages and rankings are recomputed, not typed, so they cannot disagree with each other.</w:t>
            </w:r>
          </w:p>
          <w:p>
            <w:pPr>
              <w:spacing w:after="40" w:line="252" w:lineRule="auto"/>
              <w:ind w:left="255" w:hanging="255"/>
            </w:pPr>
            <w:r>
              <w:rPr>
                <w:color w:val="2B2F36"/>
                <w:sz w:val="19"/>
              </w:rPr>
              <w:t>• Scores (1–5) follow written rules that are shown next to the matrix. If you disagree with a score, change the input and the whole matrix updates.</w:t>
            </w:r>
          </w:p>
        </w:tc>
      </w:tr>
    </w:tbl>
    <w:p>
      <w:pPr>
        <w:spacing w:after="40"/>
      </w:pPr>
    </w:p>
    <w:p>
      <w:r>
        <w:br w:type="page"/>
      </w:r>
    </w:p>
    <w:p>
      <w:pPr>
        <w:pStyle w:val="Heading1"/>
      </w:pPr>
      <w:r>
        <w:t>Contents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574"/>
        <w:gridCol w:w="9178"/>
      </w:tblGrid>
      <w:tr>
        <w:trPr>
          <w:cantSplit/>
        </w:trPr>
        <w:tc>
          <w:tcPr>
            <w:tcW w:type="dxa" w:w="574"/>
            <w:shd w:val="clear" w:color="auto" w:fill="F7F4EE"/>
            <w:vAlign w:val="top"/>
          </w:tcPr>
          <w:p>
            <w:pPr>
              <w:spacing w:after="0" w:line="240" w:lineRule="auto"/>
            </w:pPr>
            <w:r>
              <w:rPr>
                <w:color w:val="2B2F36"/>
                <w:sz w:val="20"/>
              </w:rPr>
              <w:t>1</w:t>
            </w:r>
          </w:p>
        </w:tc>
        <w:tc>
          <w:tcPr>
            <w:tcW w:type="dxa" w:w="9178"/>
            <w:shd w:val="clear" w:color="auto" w:fill="F7F4EE"/>
            <w:vAlign w:val="top"/>
          </w:tcPr>
          <w:p>
            <w:pPr>
              <w:spacing w:after="0" w:line="240" w:lineRule="auto"/>
            </w:pPr>
            <w:r>
              <w:rPr>
                <w:color w:val="2B2F36"/>
                <w:sz w:val="20"/>
              </w:rPr>
              <w:t>Executive summary</w:t>
            </w:r>
          </w:p>
        </w:tc>
      </w:tr>
      <w:tr>
        <w:trPr>
          <w:cantSplit/>
        </w:trPr>
        <w:tc>
          <w:tcPr>
            <w:tcW w:type="dxa" w:w="574"/>
            <w:vAlign w:val="top"/>
          </w:tcPr>
          <w:p>
            <w:pPr>
              <w:spacing w:after="0" w:line="240" w:lineRule="auto"/>
            </w:pPr>
            <w:r>
              <w:rPr>
                <w:color w:val="2B2F36"/>
                <w:sz w:val="20"/>
              </w:rPr>
              <w:t>2</w:t>
            </w:r>
          </w:p>
        </w:tc>
        <w:tc>
          <w:tcPr>
            <w:tcW w:type="dxa" w:w="9178"/>
            <w:vAlign w:val="top"/>
          </w:tcPr>
          <w:p>
            <w:pPr>
              <w:spacing w:after="0" w:line="240" w:lineRule="auto"/>
            </w:pPr>
            <w:r>
              <w:rPr>
                <w:color w:val="2B2F36"/>
                <w:sz w:val="20"/>
              </w:rPr>
              <w:t>Alloys, composition and cross-references</w:t>
            </w:r>
          </w:p>
        </w:tc>
      </w:tr>
      <w:tr>
        <w:trPr>
          <w:cantSplit/>
        </w:trPr>
        <w:tc>
          <w:tcPr>
            <w:tcW w:type="dxa" w:w="574"/>
            <w:shd w:val="clear" w:color="auto" w:fill="F7F4EE"/>
            <w:vAlign w:val="top"/>
          </w:tcPr>
          <w:p>
            <w:pPr>
              <w:spacing w:after="0" w:line="240" w:lineRule="auto"/>
            </w:pPr>
            <w:r>
              <w:rPr>
                <w:color w:val="2B2F36"/>
                <w:sz w:val="20"/>
              </w:rPr>
              <w:t>3</w:t>
            </w:r>
          </w:p>
        </w:tc>
        <w:tc>
          <w:tcPr>
            <w:tcW w:type="dxa" w:w="9178"/>
            <w:shd w:val="clear" w:color="auto" w:fill="F7F4EE"/>
            <w:vAlign w:val="top"/>
          </w:tcPr>
          <w:p>
            <w:pPr>
              <w:spacing w:after="0" w:line="240" w:lineRule="auto"/>
            </w:pPr>
            <w:r>
              <w:rPr>
                <w:color w:val="2B2F36"/>
                <w:sz w:val="20"/>
              </w:rPr>
              <w:t>Mechanical properties</w:t>
            </w:r>
          </w:p>
        </w:tc>
      </w:tr>
      <w:tr>
        <w:trPr>
          <w:cantSplit/>
        </w:trPr>
        <w:tc>
          <w:tcPr>
            <w:tcW w:type="dxa" w:w="574"/>
            <w:vAlign w:val="top"/>
          </w:tcPr>
          <w:p>
            <w:pPr>
              <w:spacing w:after="0" w:line="240" w:lineRule="auto"/>
            </w:pPr>
            <w:r>
              <w:rPr>
                <w:color w:val="2B2F36"/>
                <w:sz w:val="20"/>
              </w:rPr>
              <w:t>4</w:t>
            </w:r>
          </w:p>
        </w:tc>
        <w:tc>
          <w:tcPr>
            <w:tcW w:type="dxa" w:w="9178"/>
            <w:vAlign w:val="top"/>
          </w:tcPr>
          <w:p>
            <w:pPr>
              <w:spacing w:after="0" w:line="240" w:lineRule="auto"/>
            </w:pPr>
            <w:r>
              <w:rPr>
                <w:color w:val="2B2F36"/>
                <w:sz w:val="20"/>
              </w:rPr>
              <w:t>Market demand and growth</w:t>
            </w:r>
          </w:p>
        </w:tc>
      </w:tr>
      <w:tr>
        <w:trPr>
          <w:cantSplit/>
        </w:trPr>
        <w:tc>
          <w:tcPr>
            <w:tcW w:type="dxa" w:w="574"/>
            <w:shd w:val="clear" w:color="auto" w:fill="F7F4EE"/>
            <w:vAlign w:val="top"/>
          </w:tcPr>
          <w:p>
            <w:pPr>
              <w:spacing w:after="0" w:line="240" w:lineRule="auto"/>
            </w:pPr>
            <w:r>
              <w:rPr>
                <w:color w:val="2B2F36"/>
                <w:sz w:val="20"/>
              </w:rPr>
              <w:t>5</w:t>
            </w:r>
          </w:p>
        </w:tc>
        <w:tc>
          <w:tcPr>
            <w:tcW w:type="dxa" w:w="9178"/>
            <w:shd w:val="clear" w:color="auto" w:fill="F7F4EE"/>
            <w:vAlign w:val="top"/>
          </w:tcPr>
          <w:p>
            <w:pPr>
              <w:spacing w:after="0" w:line="240" w:lineRule="auto"/>
            </w:pPr>
            <w:r>
              <w:rPr>
                <w:color w:val="2B2F36"/>
                <w:sz w:val="20"/>
              </w:rPr>
              <w:t>Export markets</w:t>
            </w:r>
          </w:p>
        </w:tc>
      </w:tr>
      <w:tr>
        <w:trPr>
          <w:cantSplit/>
        </w:trPr>
        <w:tc>
          <w:tcPr>
            <w:tcW w:type="dxa" w:w="574"/>
            <w:vAlign w:val="top"/>
          </w:tcPr>
          <w:p>
            <w:pPr>
              <w:spacing w:after="0" w:line="240" w:lineRule="auto"/>
            </w:pPr>
            <w:r>
              <w:rPr>
                <w:color w:val="2B2F36"/>
                <w:sz w:val="20"/>
              </w:rPr>
              <w:t>6</w:t>
            </w:r>
          </w:p>
        </w:tc>
        <w:tc>
          <w:tcPr>
            <w:tcW w:type="dxa" w:w="9178"/>
            <w:vAlign w:val="top"/>
          </w:tcPr>
          <w:p>
            <w:pPr>
              <w:spacing w:after="0" w:line="240" w:lineRule="auto"/>
            </w:pPr>
            <w:r>
              <w:rPr>
                <w:color w:val="2B2F36"/>
                <w:sz w:val="20"/>
              </w:rPr>
              <w:t>Ingot economics (rebuilt)</w:t>
            </w:r>
          </w:p>
        </w:tc>
      </w:tr>
      <w:tr>
        <w:trPr>
          <w:cantSplit/>
        </w:trPr>
        <w:tc>
          <w:tcPr>
            <w:tcW w:type="dxa" w:w="574"/>
            <w:shd w:val="clear" w:color="auto" w:fill="F7F4EE"/>
            <w:vAlign w:val="top"/>
          </w:tcPr>
          <w:p>
            <w:pPr>
              <w:spacing w:after="0" w:line="240" w:lineRule="auto"/>
            </w:pPr>
            <w:r>
              <w:rPr>
                <w:color w:val="2B2F36"/>
                <w:sz w:val="20"/>
              </w:rPr>
              <w:t>7</w:t>
            </w:r>
          </w:p>
        </w:tc>
        <w:tc>
          <w:tcPr>
            <w:tcW w:type="dxa" w:w="9178"/>
            <w:shd w:val="clear" w:color="auto" w:fill="F7F4EE"/>
            <w:vAlign w:val="top"/>
          </w:tcPr>
          <w:p>
            <w:pPr>
              <w:spacing w:after="0" w:line="240" w:lineRule="auto"/>
            </w:pPr>
            <w:r>
              <w:rPr>
                <w:color w:val="2B2F36"/>
                <w:sz w:val="20"/>
              </w:rPr>
              <w:t>Application demand: sizing and grade mix</w:t>
            </w:r>
          </w:p>
        </w:tc>
      </w:tr>
      <w:tr>
        <w:trPr>
          <w:cantSplit/>
        </w:trPr>
        <w:tc>
          <w:tcPr>
            <w:tcW w:type="dxa" w:w="574"/>
            <w:vAlign w:val="top"/>
          </w:tcPr>
          <w:p>
            <w:pPr>
              <w:spacing w:after="0" w:line="240" w:lineRule="auto"/>
            </w:pPr>
            <w:r>
              <w:rPr>
                <w:color w:val="2B2F36"/>
                <w:sz w:val="20"/>
              </w:rPr>
              <w:t>8</w:t>
            </w:r>
          </w:p>
        </w:tc>
        <w:tc>
          <w:tcPr>
            <w:tcW w:type="dxa" w:w="9178"/>
            <w:vAlign w:val="top"/>
          </w:tcPr>
          <w:p>
            <w:pPr>
              <w:spacing w:after="0" w:line="240" w:lineRule="auto"/>
            </w:pPr>
            <w:r>
              <w:rPr>
                <w:color w:val="2B2F36"/>
                <w:sz w:val="20"/>
              </w:rPr>
              <w:t>Applications deep dive: what each use needs, which grade fits, pumps and valves</w:t>
            </w:r>
          </w:p>
        </w:tc>
      </w:tr>
      <w:tr>
        <w:trPr>
          <w:cantSplit/>
        </w:trPr>
        <w:tc>
          <w:tcPr>
            <w:tcW w:type="dxa" w:w="574"/>
            <w:shd w:val="clear" w:color="auto" w:fill="F7F4EE"/>
            <w:vAlign w:val="top"/>
          </w:tcPr>
          <w:p>
            <w:pPr>
              <w:spacing w:after="0" w:line="240" w:lineRule="auto"/>
            </w:pPr>
            <w:r>
              <w:rPr>
                <w:color w:val="2B2F36"/>
                <w:sz w:val="20"/>
              </w:rPr>
              <w:t>9</w:t>
            </w:r>
          </w:p>
        </w:tc>
        <w:tc>
          <w:tcPr>
            <w:tcW w:type="dxa" w:w="9178"/>
            <w:shd w:val="clear" w:color="auto" w:fill="F7F4EE"/>
            <w:vAlign w:val="top"/>
          </w:tcPr>
          <w:p>
            <w:pPr>
              <w:spacing w:after="0" w:line="240" w:lineRule="auto"/>
            </w:pPr>
            <w:r>
              <w:rPr>
                <w:color w:val="2B2F36"/>
                <w:sz w:val="20"/>
              </w:rPr>
              <w:t>Bushes and bearings deep dive (incl. rebuilt price build-up)</w:t>
            </w:r>
          </w:p>
        </w:tc>
      </w:tr>
      <w:tr>
        <w:trPr>
          <w:cantSplit/>
        </w:trPr>
        <w:tc>
          <w:tcPr>
            <w:tcW w:type="dxa" w:w="574"/>
            <w:vAlign w:val="top"/>
          </w:tcPr>
          <w:p>
            <w:pPr>
              <w:spacing w:after="0" w:line="240" w:lineRule="auto"/>
            </w:pPr>
            <w:r>
              <w:rPr>
                <w:color w:val="2B2F36"/>
                <w:sz w:val="20"/>
              </w:rPr>
              <w:t>10</w:t>
            </w:r>
          </w:p>
        </w:tc>
        <w:tc>
          <w:tcPr>
            <w:tcW w:type="dxa" w:w="9178"/>
            <w:vAlign w:val="top"/>
          </w:tcPr>
          <w:p>
            <w:pPr>
              <w:spacing w:after="0" w:line="240" w:lineRule="auto"/>
            </w:pPr>
            <w:r>
              <w:rPr>
                <w:color w:val="2B2F36"/>
                <w:sz w:val="20"/>
              </w:rPr>
              <w:t>Minor applications deep dive (rebuilt scorecard, calendar, profiles)</w:t>
            </w:r>
          </w:p>
        </w:tc>
      </w:tr>
      <w:tr>
        <w:trPr>
          <w:cantSplit/>
        </w:trPr>
        <w:tc>
          <w:tcPr>
            <w:tcW w:type="dxa" w:w="574"/>
            <w:shd w:val="clear" w:color="auto" w:fill="F7F4EE"/>
            <w:vAlign w:val="top"/>
          </w:tcPr>
          <w:p>
            <w:pPr>
              <w:spacing w:after="0" w:line="240" w:lineRule="auto"/>
            </w:pPr>
            <w:r>
              <w:rPr>
                <w:color w:val="2B2F36"/>
                <w:sz w:val="20"/>
              </w:rPr>
              <w:t>11</w:t>
            </w:r>
          </w:p>
        </w:tc>
        <w:tc>
          <w:tcPr>
            <w:tcW w:type="dxa" w:w="9178"/>
            <w:shd w:val="clear" w:color="auto" w:fill="F7F4EE"/>
            <w:vAlign w:val="top"/>
          </w:tcPr>
          <w:p>
            <w:pPr>
              <w:spacing w:after="0" w:line="240" w:lineRule="auto"/>
            </w:pPr>
            <w:r>
              <w:rPr>
                <w:color w:val="2B2F36"/>
                <w:sz w:val="20"/>
              </w:rPr>
              <w:t>Competitive landscape</w:t>
            </w:r>
          </w:p>
        </w:tc>
      </w:tr>
      <w:tr>
        <w:trPr>
          <w:cantSplit/>
        </w:trPr>
        <w:tc>
          <w:tcPr>
            <w:tcW w:type="dxa" w:w="574"/>
            <w:vAlign w:val="top"/>
          </w:tcPr>
          <w:p>
            <w:pPr>
              <w:spacing w:after="0" w:line="240" w:lineRule="auto"/>
            </w:pPr>
            <w:r>
              <w:rPr>
                <w:color w:val="2B2F36"/>
                <w:sz w:val="20"/>
              </w:rPr>
              <w:t>12</w:t>
            </w:r>
          </w:p>
        </w:tc>
        <w:tc>
          <w:tcPr>
            <w:tcW w:type="dxa" w:w="9178"/>
            <w:vAlign w:val="top"/>
          </w:tcPr>
          <w:p>
            <w:pPr>
              <w:spacing w:after="0" w:line="240" w:lineRule="auto"/>
            </w:pPr>
            <w:r>
              <w:rPr>
                <w:color w:val="2B2F36"/>
                <w:sz w:val="20"/>
              </w:rPr>
              <w:t>PESTLE</w:t>
            </w:r>
          </w:p>
        </w:tc>
      </w:tr>
      <w:tr>
        <w:trPr>
          <w:cantSplit/>
        </w:trPr>
        <w:tc>
          <w:tcPr>
            <w:tcW w:type="dxa" w:w="574"/>
            <w:shd w:val="clear" w:color="auto" w:fill="F7F4EE"/>
            <w:vAlign w:val="top"/>
          </w:tcPr>
          <w:p>
            <w:pPr>
              <w:spacing w:after="0" w:line="240" w:lineRule="auto"/>
            </w:pPr>
            <w:r>
              <w:rPr>
                <w:color w:val="2B2F36"/>
                <w:sz w:val="20"/>
              </w:rPr>
              <w:t>13</w:t>
            </w:r>
          </w:p>
        </w:tc>
        <w:tc>
          <w:tcPr>
            <w:tcW w:type="dxa" w:w="9178"/>
            <w:shd w:val="clear" w:color="auto" w:fill="F7F4EE"/>
            <w:vAlign w:val="top"/>
          </w:tcPr>
          <w:p>
            <w:pPr>
              <w:spacing w:after="0" w:line="240" w:lineRule="auto"/>
            </w:pPr>
            <w:r>
              <w:rPr>
                <w:color w:val="2B2F36"/>
                <w:sz w:val="20"/>
              </w:rPr>
              <w:t>Porter's Five Forces by customer segment</w:t>
            </w:r>
          </w:p>
        </w:tc>
      </w:tr>
      <w:tr>
        <w:trPr>
          <w:cantSplit/>
        </w:trPr>
        <w:tc>
          <w:tcPr>
            <w:tcW w:type="dxa" w:w="574"/>
            <w:vAlign w:val="top"/>
          </w:tcPr>
          <w:p>
            <w:pPr>
              <w:spacing w:after="0" w:line="240" w:lineRule="auto"/>
            </w:pPr>
            <w:r>
              <w:rPr>
                <w:color w:val="2B2F36"/>
                <w:sz w:val="20"/>
              </w:rPr>
              <w:t>14</w:t>
            </w:r>
          </w:p>
        </w:tc>
        <w:tc>
          <w:tcPr>
            <w:tcW w:type="dxa" w:w="9178"/>
            <w:vAlign w:val="top"/>
          </w:tcPr>
          <w:p>
            <w:pPr>
              <w:spacing w:after="0" w:line="240" w:lineRule="auto"/>
            </w:pPr>
            <w:r>
              <w:rPr>
                <w:color w:val="2B2F36"/>
                <w:sz w:val="20"/>
              </w:rPr>
              <w:t>SWOT and TOWS</w:t>
            </w:r>
          </w:p>
        </w:tc>
      </w:tr>
      <w:tr>
        <w:trPr>
          <w:cantSplit/>
        </w:trPr>
        <w:tc>
          <w:tcPr>
            <w:tcW w:type="dxa" w:w="574"/>
            <w:shd w:val="clear" w:color="auto" w:fill="F7F4EE"/>
            <w:vAlign w:val="top"/>
          </w:tcPr>
          <w:p>
            <w:pPr>
              <w:spacing w:after="0" w:line="240" w:lineRule="auto"/>
            </w:pPr>
            <w:r>
              <w:rPr>
                <w:color w:val="2B2F36"/>
                <w:sz w:val="20"/>
              </w:rPr>
              <w:t>15</w:t>
            </w:r>
          </w:p>
        </w:tc>
        <w:tc>
          <w:tcPr>
            <w:tcW w:type="dxa" w:w="9178"/>
            <w:shd w:val="clear" w:color="auto" w:fill="F7F4EE"/>
            <w:vAlign w:val="top"/>
          </w:tcPr>
          <w:p>
            <w:pPr>
              <w:spacing w:after="0" w:line="240" w:lineRule="auto"/>
            </w:pPr>
            <w:r>
              <w:rPr>
                <w:color w:val="2B2F36"/>
                <w:sz w:val="20"/>
              </w:rPr>
              <w:t>GE–McKinsey and Ansoff</w:t>
            </w:r>
          </w:p>
        </w:tc>
      </w:tr>
      <w:tr>
        <w:trPr>
          <w:cantSplit/>
        </w:trPr>
        <w:tc>
          <w:tcPr>
            <w:tcW w:type="dxa" w:w="574"/>
            <w:vAlign w:val="top"/>
          </w:tcPr>
          <w:p>
            <w:pPr>
              <w:spacing w:after="0" w:line="240" w:lineRule="auto"/>
            </w:pPr>
            <w:r>
              <w:rPr>
                <w:color w:val="2B2F36"/>
                <w:sz w:val="20"/>
              </w:rPr>
              <w:t>16</w:t>
            </w:r>
          </w:p>
        </w:tc>
        <w:tc>
          <w:tcPr>
            <w:tcW w:type="dxa" w:w="9178"/>
            <w:vAlign w:val="top"/>
          </w:tcPr>
          <w:p>
            <w:pPr>
              <w:spacing w:after="0" w:line="240" w:lineRule="auto"/>
            </w:pPr>
            <w:r>
              <w:rPr>
                <w:color w:val="2B2F36"/>
                <w:sz w:val="20"/>
              </w:rPr>
              <w:t>Recommendations, roadmap and KPIs</w:t>
            </w:r>
          </w:p>
        </w:tc>
      </w:tr>
      <w:tr>
        <w:trPr>
          <w:cantSplit/>
        </w:trPr>
        <w:tc>
          <w:tcPr>
            <w:tcW w:type="dxa" w:w="574"/>
            <w:shd w:val="clear" w:color="auto" w:fill="F7F4EE"/>
            <w:vAlign w:val="top"/>
          </w:tcPr>
          <w:p>
            <w:pPr>
              <w:spacing w:after="0" w:line="240" w:lineRule="auto"/>
            </w:pPr>
            <w:r>
              <w:rPr>
                <w:color w:val="2B2F36"/>
                <w:sz w:val="20"/>
              </w:rPr>
              <w:t>17</w:t>
            </w:r>
          </w:p>
        </w:tc>
        <w:tc>
          <w:tcPr>
            <w:tcW w:type="dxa" w:w="9178"/>
            <w:shd w:val="clear" w:color="auto" w:fill="F7F4EE"/>
            <w:vAlign w:val="top"/>
          </w:tcPr>
          <w:p>
            <w:pPr>
              <w:spacing w:after="0" w:line="240" w:lineRule="auto"/>
            </w:pPr>
            <w:r>
              <w:rPr>
                <w:color w:val="2B2F36"/>
                <w:sz w:val="20"/>
              </w:rPr>
              <w:t>Data verification, change log and sources</w:t>
            </w:r>
          </w:p>
        </w:tc>
      </w:tr>
    </w:tbl>
    <w:p>
      <w:pPr>
        <w:spacing w:after="40"/>
      </w:pPr>
    </w:p>
    <w:p>
      <w:pPr>
        <w:pStyle w:val="Heading1"/>
      </w:pPr>
      <w:r>
        <w:t>What changed in Revision 6</w:t>
      </w:r>
    </w:p>
    <w:p>
      <w:r>
        <w:t>Management marked parts of Revision 5 red (Sections 7.6, 8.2, 8.3) and yellow (8.1) and said that the ingot content was wrong, that items were missing, and that some data contradicted other data. Each point was traced to its cause. This table is the short answer; Section 17 has the full change log.</w:t>
      </w:r>
    </w:p>
    <w:p>
      <w:pPr>
        <w:keepNext/>
        <w:spacing w:after="40"/>
      </w:pPr>
      <w:r>
        <w:rPr>
          <w:b/>
          <w:color w:val="5B6470"/>
          <w:sz w:val="18"/>
        </w:rPr>
        <w:t>Table 1.</w:t>
      </w:r>
      <w:r>
        <w:rPr>
          <w:color w:val="5B6470"/>
          <w:sz w:val="18"/>
        </w:rPr>
        <w:t xml:space="preserve"> Review points and what was done</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474"/>
        <w:gridCol w:w="3742"/>
        <w:gridCol w:w="4535"/>
      </w:tblGrid>
      <w:tr>
        <w:trPr>
          <w:cantSplit/>
          <w:tblHeader/>
        </w:trPr>
        <w:tc>
          <w:tcPr>
            <w:tcW w:type="dxa" w:w="1474"/>
            <w:shd w:val="clear" w:color="auto" w:fill="1F4E79"/>
            <w:vAlign w:val="center"/>
          </w:tcPr>
          <w:p>
            <w:pPr>
              <w:spacing w:after="0" w:line="240" w:lineRule="auto"/>
            </w:pPr>
            <w:r>
              <w:rPr>
                <w:b/>
                <w:color w:val="FFFFFF"/>
                <w:sz w:val="16"/>
              </w:rPr>
              <w:t>Review point (Rev 5)</w:t>
            </w:r>
          </w:p>
        </w:tc>
        <w:tc>
          <w:tcPr>
            <w:tcW w:type="dxa" w:w="3742"/>
            <w:shd w:val="clear" w:color="auto" w:fill="1F4E79"/>
            <w:vAlign w:val="center"/>
          </w:tcPr>
          <w:p>
            <w:pPr>
              <w:spacing w:after="0" w:line="240" w:lineRule="auto"/>
            </w:pPr>
            <w:r>
              <w:rPr>
                <w:b/>
                <w:color w:val="FFFFFF"/>
                <w:sz w:val="16"/>
              </w:rPr>
              <w:t>What was wrong</w:t>
            </w:r>
          </w:p>
        </w:tc>
        <w:tc>
          <w:tcPr>
            <w:tcW w:type="dxa" w:w="4535"/>
            <w:shd w:val="clear" w:color="auto" w:fill="1F4E79"/>
            <w:vAlign w:val="center"/>
          </w:tcPr>
          <w:p>
            <w:pPr>
              <w:spacing w:after="0" w:line="240" w:lineRule="auto"/>
            </w:pPr>
            <w:r>
              <w:rPr>
                <w:b/>
                <w:color w:val="FFFFFF"/>
                <w:sz w:val="16"/>
              </w:rPr>
              <w:t>What Rev 6 does</w:t>
            </w:r>
          </w:p>
        </w:tc>
      </w:tr>
      <w:tr>
        <w:trPr>
          <w:cantSplit/>
        </w:trPr>
        <w:tc>
          <w:tcPr>
            <w:tcW w:type="dxa" w:w="1474"/>
            <w:vAlign w:val="top"/>
          </w:tcPr>
          <w:p>
            <w:pPr>
              <w:spacing w:after="0" w:line="240" w:lineRule="auto"/>
            </w:pPr>
            <w:r>
              <w:rPr>
                <w:color w:val="2B2F36"/>
                <w:sz w:val="16"/>
              </w:rPr>
              <w:t>“Ingot completely wrong”</w:t>
            </w:r>
          </w:p>
        </w:tc>
        <w:tc>
          <w:tcPr>
            <w:tcW w:type="dxa" w:w="3742"/>
            <w:vAlign w:val="top"/>
          </w:tcPr>
          <w:p>
            <w:pPr>
              <w:spacing w:after="0" w:line="240" w:lineRule="auto"/>
            </w:pPr>
            <w:r>
              <w:rPr>
                <w:color w:val="2B2F36"/>
                <w:sz w:val="16"/>
              </w:rPr>
              <w:t>Ingot cost was built only from LME primary metal, yet Bajaj buys scrap. Melt loss (2.5 %) and conversion (₹50/kg) were placeholders presented as the margin. The copper-error claim (“1 % is more than a quarter of the margin”) was arithmetically false (it is about 24 %, i.e. nearly a quarter, not more than a quarter). “CC495K gives the highest rupee margin” contradicted a fixed ₹50 conversion.</w:t>
            </w:r>
          </w:p>
        </w:tc>
        <w:tc>
          <w:tcPr>
            <w:tcW w:type="dxa" w:w="4535"/>
            <w:vAlign w:val="top"/>
          </w:tcPr>
          <w:p>
            <w:pPr>
              <w:spacing w:after="0" w:line="240" w:lineRule="auto"/>
            </w:pPr>
            <w:r>
              <w:rPr>
                <w:color w:val="2B2F36"/>
                <w:sz w:val="16"/>
              </w:rPr>
              <w:t xml:space="preserve">Section 6 rebuilds the ingot: grade sheet, metal value, formula price with a per-grade quote formula, a scrap-route cost model with payable-% scenarios, and separate sensitivity of </w:t>
            </w:r>
            <w:r>
              <w:rPr>
                <w:b/>
                <w:color w:val="2B2F36"/>
                <w:sz w:val="16"/>
              </w:rPr>
              <w:t>price</w:t>
            </w:r>
            <w:r>
              <w:rPr>
                <w:color w:val="2B2F36"/>
                <w:sz w:val="16"/>
              </w:rPr>
              <w:t xml:space="preserve"> and of </w:t>
            </w:r>
            <w:r>
              <w:rPr>
                <w:b/>
                <w:color w:val="2B2F36"/>
                <w:sz w:val="16"/>
              </w:rPr>
              <w:t>margin</w:t>
            </w:r>
            <w:r>
              <w:rPr>
                <w:color w:val="2B2F36"/>
                <w:sz w:val="16"/>
              </w:rPr>
              <w:t>. Result: the scrap spread (₹74/kg at 94 % payable on CC491K) is larger than the ₹50 conversion premium.</w:t>
            </w:r>
          </w:p>
        </w:tc>
      </w:tr>
      <w:tr>
        <w:trPr>
          <w:cantSplit/>
        </w:trPr>
        <w:tc>
          <w:tcPr>
            <w:tcW w:type="dxa" w:w="1474"/>
            <w:shd w:val="clear" w:color="auto" w:fill="F7F4EE"/>
            <w:vAlign w:val="top"/>
          </w:tcPr>
          <w:p>
            <w:pPr>
              <w:spacing w:after="0" w:line="240" w:lineRule="auto"/>
            </w:pPr>
            <w:r>
              <w:rPr>
                <w:color w:val="2B2F36"/>
                <w:sz w:val="16"/>
              </w:rPr>
              <w:t>Red: 7.6 Bush pricing</w:t>
            </w:r>
          </w:p>
        </w:tc>
        <w:tc>
          <w:tcPr>
            <w:tcW w:type="dxa" w:w="3742"/>
            <w:shd w:val="clear" w:color="auto" w:fill="F7F4EE"/>
            <w:vAlign w:val="top"/>
          </w:tcPr>
          <w:p>
            <w:pPr>
              <w:spacing w:after="0" w:line="240" w:lineRule="auto"/>
            </w:pPr>
            <w:r>
              <w:rPr>
                <w:color w:val="2B2F36"/>
                <w:sz w:val="16"/>
              </w:rPr>
              <w:t>Build-up numbers (tube ₹2,000, bush ₹2,500) had no stated assumptions; an undated IndiaMART range was used to argue the market was “stale”; “closed loop that remelters cannot match” was unsupported.</w:t>
            </w:r>
          </w:p>
        </w:tc>
        <w:tc>
          <w:tcPr>
            <w:tcW w:type="dxa" w:w="4535"/>
            <w:shd w:val="clear" w:color="auto" w:fill="F7F4EE"/>
            <w:vAlign w:val="top"/>
          </w:tcPr>
          <w:p>
            <w:pPr>
              <w:spacing w:after="0" w:line="240" w:lineRule="auto"/>
            </w:pPr>
            <w:r>
              <w:rPr>
                <w:color w:val="2B2F36"/>
                <w:sz w:val="16"/>
              </w:rPr>
              <w:t>Section 9.7 rebuilds the chain from explicit inputs (casting loss, conversion, turnings %, turnings credit, machining). Base case lands at ₹2,458/kg with a sensitivity band. IndiaMART argument removed; claims softened.</w:t>
            </w:r>
          </w:p>
        </w:tc>
      </w:tr>
      <w:tr>
        <w:trPr>
          <w:cantSplit/>
        </w:trPr>
        <w:tc>
          <w:tcPr>
            <w:tcW w:type="dxa" w:w="1474"/>
            <w:vAlign w:val="top"/>
          </w:tcPr>
          <w:p>
            <w:pPr>
              <w:spacing w:after="0" w:line="240" w:lineRule="auto"/>
            </w:pPr>
            <w:r>
              <w:rPr>
                <w:color w:val="2B2F36"/>
                <w:sz w:val="16"/>
              </w:rPr>
              <w:t>Yellow: 8.1 Scorecard</w:t>
            </w:r>
          </w:p>
        </w:tc>
        <w:tc>
          <w:tcPr>
            <w:tcW w:type="dxa" w:w="3742"/>
            <w:vAlign w:val="top"/>
          </w:tcPr>
          <w:p>
            <w:pPr>
              <w:spacing w:after="0" w:line="240" w:lineRule="auto"/>
            </w:pPr>
            <w:r>
              <w:rPr>
                <w:color w:val="2B2F36"/>
                <w:sz w:val="16"/>
              </w:rPr>
              <w:t>Scores did not follow the text: substitute-threat scores contradicted “High/Low” ratings; growth scores were non-monotonic (+3 %/yr scored higher than +5 %); hydro was “close to Bhiwadi” in text but scored 2 on proximity.</w:t>
            </w:r>
          </w:p>
        </w:tc>
        <w:tc>
          <w:tcPr>
            <w:tcW w:type="dxa" w:w="4535"/>
            <w:vAlign w:val="top"/>
          </w:tcPr>
          <w:p>
            <w:pPr>
              <w:spacing w:after="0" w:line="240" w:lineRule="auto"/>
            </w:pPr>
            <w:r>
              <w:rPr>
                <w:color w:val="2B2F36"/>
                <w:sz w:val="16"/>
              </w:rPr>
              <w:t>Section 10.1: every criterion now has a written rule (thresholds for share, growth, proximity; mapped rating for substitute threat). Hydro is 5 on proximity; marine drops to 1.</w:t>
            </w:r>
          </w:p>
        </w:tc>
      </w:tr>
      <w:tr>
        <w:trPr>
          <w:cantSplit/>
        </w:trPr>
        <w:tc>
          <w:tcPr>
            <w:tcW w:type="dxa" w:w="1474"/>
            <w:shd w:val="clear" w:color="auto" w:fill="F7F4EE"/>
            <w:vAlign w:val="top"/>
          </w:tcPr>
          <w:p>
            <w:pPr>
              <w:spacing w:after="0" w:line="240" w:lineRule="auto"/>
            </w:pPr>
            <w:r>
              <w:rPr>
                <w:color w:val="2B2F36"/>
                <w:sz w:val="16"/>
              </w:rPr>
              <w:t>Red: 8.2 Calendar, 8.3 Profiles</w:t>
            </w:r>
          </w:p>
        </w:tc>
        <w:tc>
          <w:tcPr>
            <w:tcW w:type="dxa" w:w="3742"/>
            <w:shd w:val="clear" w:color="auto" w:fill="F7F4EE"/>
            <w:vAlign w:val="top"/>
          </w:tcPr>
          <w:p>
            <w:pPr>
              <w:spacing w:after="0" w:line="240" w:lineRule="auto"/>
            </w:pPr>
            <w:r>
              <w:rPr>
                <w:color w:val="2B2F36"/>
                <w:sz w:val="16"/>
              </w:rPr>
              <w:t>Calendar and profiles mixed cited facts with guesses without saying which was which.</w:t>
            </w:r>
          </w:p>
        </w:tc>
        <w:tc>
          <w:tcPr>
            <w:tcW w:type="dxa" w:w="4535"/>
            <w:shd w:val="clear" w:color="auto" w:fill="F7F4EE"/>
            <w:vAlign w:val="top"/>
          </w:tcPr>
          <w:p>
            <w:pPr>
              <w:spacing w:after="0" w:line="240" w:lineRule="auto"/>
            </w:pPr>
            <w:r>
              <w:rPr>
                <w:color w:val="2B2F36"/>
                <w:sz w:val="16"/>
              </w:rPr>
              <w:t>Sections 10.2–10.3: each row carries an evidence tag (Cited / Inferred / Field check). Eight profiles (top eight by the rebuilt scorecard) instead of six.</w:t>
            </w:r>
          </w:p>
        </w:tc>
      </w:tr>
      <w:tr>
        <w:trPr>
          <w:cantSplit/>
        </w:trPr>
        <w:tc>
          <w:tcPr>
            <w:tcW w:type="dxa" w:w="1474"/>
            <w:vAlign w:val="top"/>
          </w:tcPr>
          <w:p>
            <w:pPr>
              <w:spacing w:after="0" w:line="240" w:lineRule="auto"/>
            </w:pPr>
            <w:r>
              <w:rPr>
                <w:color w:val="2B2F36"/>
                <w:sz w:val="16"/>
              </w:rPr>
              <w:t>“One data against another”</w:t>
            </w:r>
          </w:p>
        </w:tc>
        <w:tc>
          <w:tcPr>
            <w:tcW w:type="dxa" w:w="3742"/>
            <w:vAlign w:val="top"/>
          </w:tcPr>
          <w:p>
            <w:pPr>
              <w:spacing w:after="0" w:line="240" w:lineRule="auto"/>
            </w:pPr>
            <w:r>
              <w:rPr>
                <w:color w:val="2B2F36"/>
                <w:sz w:val="16"/>
              </w:rPr>
              <w:t>18 conflicts found (listed in Section 17.2): CC492K composition, zinc range, supplier power, nine-box vs recommendations, “close to Gujarat”, valve market vs export scope, and others.</w:t>
            </w:r>
          </w:p>
        </w:tc>
        <w:tc>
          <w:tcPr>
            <w:tcW w:type="dxa" w:w="4535"/>
            <w:vAlign w:val="top"/>
          </w:tcPr>
          <w:p>
            <w:pPr>
              <w:spacing w:after="0" w:line="240" w:lineRule="auto"/>
            </w:pPr>
            <w:r>
              <w:rPr>
                <w:color w:val="2B2F36"/>
                <w:sz w:val="16"/>
              </w:rPr>
              <w:t>All 18 resolved. The nine-box, scorecard and grade-fit matrices are recomputed from the same inputs, so zones, text and recommendations agree.</w:t>
            </w:r>
          </w:p>
        </w:tc>
      </w:tr>
      <w:tr>
        <w:trPr>
          <w:cantSplit/>
        </w:trPr>
        <w:tc>
          <w:tcPr>
            <w:tcW w:type="dxa" w:w="1474"/>
            <w:shd w:val="clear" w:color="auto" w:fill="F7F4EE"/>
            <w:vAlign w:val="top"/>
          </w:tcPr>
          <w:p>
            <w:pPr>
              <w:spacing w:after="0" w:line="240" w:lineRule="auto"/>
            </w:pPr>
            <w:r>
              <w:rPr>
                <w:color w:val="2B2F36"/>
                <w:sz w:val="16"/>
              </w:rPr>
              <w:t>“Many things missing”</w:t>
            </w:r>
          </w:p>
        </w:tc>
        <w:tc>
          <w:tcPr>
            <w:tcW w:type="dxa" w:w="3742"/>
            <w:shd w:val="clear" w:color="auto" w:fill="F7F4EE"/>
            <w:vAlign w:val="top"/>
          </w:tcPr>
          <w:p>
            <w:pPr>
              <w:spacing w:after="0" w:line="240" w:lineRule="auto"/>
            </w:pPr>
            <w:r>
              <w:rPr>
                <w:color w:val="2B2F36"/>
                <w:sz w:val="16"/>
              </w:rPr>
              <w:t>No ingot spec sheet, no scrap route, no use-level requirements, no distances, no sensitivity of margin, no 2030 share view.</w:t>
            </w:r>
          </w:p>
        </w:tc>
        <w:tc>
          <w:tcPr>
            <w:tcW w:type="dxa" w:w="4535"/>
            <w:shd w:val="clear" w:color="auto" w:fill="F7F4EE"/>
            <w:vAlign w:val="top"/>
          </w:tcPr>
          <w:p>
            <w:pPr>
              <w:spacing w:after="0" w:line="240" w:lineRule="auto"/>
            </w:pPr>
            <w:r>
              <w:rPr>
                <w:color w:val="2B2F36"/>
                <w:sz w:val="16"/>
              </w:rPr>
              <w:t>Added: ingot sheet and quote formula (6.1, 6.7), scrap route (6.5), requirement-weight and grade-fit model (8.1–8.2), distance chart (9.4), growth contribution and 2030 shares (7.3), margin sensitivity (6.6).</w:t>
            </w:r>
          </w:p>
        </w:tc>
      </w:tr>
    </w:tbl>
    <w:p>
      <w:pPr>
        <w:spacing w:after="40"/>
      </w:pPr>
    </w:p>
    <w:p>
      <w:r>
        <w:br w:type="page"/>
      </w:r>
    </w:p>
    <w:p>
      <w:pPr>
        <w:pStyle w:val="Heading1"/>
      </w:pPr>
      <w:r>
        <w:t>1. Executive summary</w:t>
      </w:r>
    </w:p>
    <w:p>
      <w:r>
        <w:t xml:space="preserve">The six EN 1982 grades CC490K to CC495K are copper–tin–lead casting alloys in two families. The </w:t>
      </w:r>
      <w:r>
        <w:rPr>
          <w:b/>
        </w:rPr>
        <w:t>gunmetals</w:t>
      </w:r>
      <w:r>
        <w:t xml:space="preserve"> (CC490K–CC493K, 1.5–9.5 % zinc) go into pressure-tight pump, valve and fitting castings. The </w:t>
      </w:r>
      <w:r>
        <w:rPr>
          <w:b/>
        </w:rPr>
        <w:t>bearing bronzes</w:t>
      </w:r>
      <w:r>
        <w:t xml:space="preserve"> (CC494K, CC495K, at most 2 % zinc and 8–11 % lead) go into bushes and plain bearings. </w:t>
      </w:r>
      <w:r>
        <w:rPr>
          <w:b/>
        </w:rPr>
        <w:t>Copper sets the price level of every grade (67–86 % of metal value); tin sets the price gap between grades.</w:t>
      </w:r>
    </w:p>
    <w:p>
      <w:pPr>
        <w:keepNext/>
        <w:spacing w:after="40"/>
      </w:pPr>
      <w:r>
        <w:rPr>
          <w:b/>
          <w:color w:val="5B6470"/>
          <w:sz w:val="18"/>
        </w:rPr>
        <w:t>Table 2.</w:t>
      </w:r>
      <w:r>
        <w:rPr>
          <w:color w:val="5B6470"/>
          <w:sz w:val="18"/>
        </w:rPr>
        <w:t xml:space="preserve"> Key figures (all recomputed from the Rev 6 data model)</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041"/>
        <w:gridCol w:w="2494"/>
        <w:gridCol w:w="5216"/>
      </w:tblGrid>
      <w:tr>
        <w:trPr>
          <w:cantSplit/>
          <w:tblHeader/>
        </w:trPr>
        <w:tc>
          <w:tcPr>
            <w:tcW w:type="dxa" w:w="2041"/>
            <w:shd w:val="clear" w:color="auto" w:fill="1F4E79"/>
            <w:vAlign w:val="center"/>
          </w:tcPr>
          <w:p>
            <w:pPr>
              <w:spacing w:after="0" w:line="240" w:lineRule="auto"/>
            </w:pPr>
            <w:r>
              <w:rPr>
                <w:b/>
                <w:color w:val="FFFFFF"/>
                <w:sz w:val="17"/>
              </w:rPr>
              <w:t>Key figure</w:t>
            </w:r>
          </w:p>
        </w:tc>
        <w:tc>
          <w:tcPr>
            <w:tcW w:type="dxa" w:w="2494"/>
            <w:shd w:val="clear" w:color="auto" w:fill="1F4E79"/>
            <w:vAlign w:val="center"/>
          </w:tcPr>
          <w:p>
            <w:pPr>
              <w:spacing w:after="0" w:line="240" w:lineRule="auto"/>
            </w:pPr>
            <w:r>
              <w:rPr>
                <w:b/>
                <w:color w:val="FFFFFF"/>
                <w:sz w:val="17"/>
              </w:rPr>
              <w:t>Value</w:t>
            </w:r>
          </w:p>
        </w:tc>
        <w:tc>
          <w:tcPr>
            <w:tcW w:type="dxa" w:w="5216"/>
            <w:shd w:val="clear" w:color="auto" w:fill="1F4E79"/>
            <w:vAlign w:val="center"/>
          </w:tcPr>
          <w:p>
            <w:pPr>
              <w:spacing w:after="0" w:line="240" w:lineRule="auto"/>
            </w:pPr>
            <w:r>
              <w:rPr>
                <w:b/>
                <w:color w:val="FFFFFF"/>
                <w:sz w:val="17"/>
              </w:rPr>
              <w:t>What it means</w:t>
            </w:r>
          </w:p>
        </w:tc>
      </w:tr>
      <w:tr>
        <w:trPr>
          <w:cantSplit/>
        </w:trPr>
        <w:tc>
          <w:tcPr>
            <w:tcW w:type="dxa" w:w="2041"/>
            <w:vAlign w:val="top"/>
          </w:tcPr>
          <w:p>
            <w:pPr>
              <w:spacing w:after="0" w:line="240" w:lineRule="auto"/>
            </w:pPr>
            <w:r>
              <w:rPr>
                <w:color w:val="2B2F36"/>
                <w:sz w:val="17"/>
              </w:rPr>
              <w:t>Grades covered</w:t>
            </w:r>
          </w:p>
        </w:tc>
        <w:tc>
          <w:tcPr>
            <w:tcW w:type="dxa" w:w="2494"/>
            <w:vAlign w:val="top"/>
          </w:tcPr>
          <w:p>
            <w:pPr>
              <w:spacing w:after="0" w:line="240" w:lineRule="auto"/>
            </w:pPr>
            <w:r>
              <w:rPr>
                <w:color w:val="2B2F36"/>
                <w:sz w:val="17"/>
              </w:rPr>
              <w:t>6</w:t>
            </w:r>
          </w:p>
        </w:tc>
        <w:tc>
          <w:tcPr>
            <w:tcW w:type="dxa" w:w="5216"/>
            <w:vAlign w:val="top"/>
          </w:tcPr>
          <w:p>
            <w:pPr>
              <w:spacing w:after="0" w:line="240" w:lineRule="auto"/>
            </w:pPr>
            <w:r>
              <w:rPr>
                <w:color w:val="2B2F36"/>
                <w:sz w:val="17"/>
              </w:rPr>
              <w:t>4 gunmetals + 2 leaded bearing bronzes</w:t>
            </w:r>
          </w:p>
        </w:tc>
      </w:tr>
      <w:tr>
        <w:trPr>
          <w:cantSplit/>
        </w:trPr>
        <w:tc>
          <w:tcPr>
            <w:tcW w:type="dxa" w:w="2041"/>
            <w:shd w:val="clear" w:color="auto" w:fill="F7F4EE"/>
            <w:vAlign w:val="top"/>
          </w:tcPr>
          <w:p>
            <w:pPr>
              <w:spacing w:after="0" w:line="240" w:lineRule="auto"/>
            </w:pPr>
            <w:r>
              <w:rPr>
                <w:color w:val="2B2F36"/>
                <w:sz w:val="17"/>
              </w:rPr>
              <w:t>Metal value</w:t>
            </w:r>
          </w:p>
        </w:tc>
        <w:tc>
          <w:tcPr>
            <w:tcW w:type="dxa" w:w="2494"/>
            <w:shd w:val="clear" w:color="auto" w:fill="F7F4EE"/>
            <w:vAlign w:val="top"/>
          </w:tcPr>
          <w:p>
            <w:pPr>
              <w:spacing w:after="0" w:line="240" w:lineRule="auto"/>
            </w:pPr>
            <w:r>
              <w:rPr>
                <w:color w:val="2B2F36"/>
                <w:sz w:val="17"/>
              </w:rPr>
              <w:t>₹1,353–1,644 /kg</w:t>
            </w:r>
          </w:p>
        </w:tc>
        <w:tc>
          <w:tcPr>
            <w:tcW w:type="dxa" w:w="5216"/>
            <w:shd w:val="clear" w:color="auto" w:fill="F7F4EE"/>
            <w:vAlign w:val="top"/>
          </w:tcPr>
          <w:p>
            <w:pPr>
              <w:spacing w:after="0" w:line="240" w:lineRule="auto"/>
            </w:pPr>
            <w:r>
              <w:rPr>
                <w:color w:val="2B2F36"/>
                <w:sz w:val="17"/>
              </w:rPr>
              <w:t>LME 1 Oct 2026 at ₹96.18/US$, before melt loss, conversion and GST</w:t>
            </w:r>
          </w:p>
        </w:tc>
      </w:tr>
      <w:tr>
        <w:trPr>
          <w:cantSplit/>
        </w:trPr>
        <w:tc>
          <w:tcPr>
            <w:tcW w:type="dxa" w:w="2041"/>
            <w:vAlign w:val="top"/>
          </w:tcPr>
          <w:p>
            <w:pPr>
              <w:spacing w:after="0" w:line="240" w:lineRule="auto"/>
            </w:pPr>
            <w:r>
              <w:rPr>
                <w:color w:val="2B2F36"/>
                <w:sz w:val="17"/>
              </w:rPr>
              <w:t>Cheapest vs dearest</w:t>
            </w:r>
          </w:p>
        </w:tc>
        <w:tc>
          <w:tcPr>
            <w:tcW w:type="dxa" w:w="2494"/>
            <w:vAlign w:val="top"/>
          </w:tcPr>
          <w:p>
            <w:pPr>
              <w:spacing w:after="0" w:line="240" w:lineRule="auto"/>
            </w:pPr>
            <w:r>
              <w:rPr>
                <w:color w:val="2B2F36"/>
                <w:sz w:val="17"/>
              </w:rPr>
              <w:t>CC490K vs CC495K</w:t>
            </w:r>
          </w:p>
        </w:tc>
        <w:tc>
          <w:tcPr>
            <w:tcW w:type="dxa" w:w="5216"/>
            <w:vAlign w:val="top"/>
          </w:tcPr>
          <w:p>
            <w:pPr>
              <w:spacing w:after="0" w:line="240" w:lineRule="auto"/>
            </w:pPr>
            <w:r>
              <w:rPr>
                <w:color w:val="2B2F36"/>
                <w:sz w:val="17"/>
              </w:rPr>
              <w:t>₹290/kg apart (+21 %); the gap is mostly tin</w:t>
            </w:r>
          </w:p>
        </w:tc>
      </w:tr>
      <w:tr>
        <w:trPr>
          <w:cantSplit/>
        </w:trPr>
        <w:tc>
          <w:tcPr>
            <w:tcW w:type="dxa" w:w="2041"/>
            <w:shd w:val="clear" w:color="auto" w:fill="F7F4EE"/>
            <w:vAlign w:val="top"/>
          </w:tcPr>
          <w:p>
            <w:pPr>
              <w:spacing w:after="0" w:line="240" w:lineRule="auto"/>
            </w:pPr>
            <w:r>
              <w:rPr>
                <w:color w:val="2B2F36"/>
                <w:sz w:val="17"/>
              </w:rPr>
              <w:t>Ex-works ingot price (formula)</w:t>
            </w:r>
          </w:p>
        </w:tc>
        <w:tc>
          <w:tcPr>
            <w:tcW w:type="dxa" w:w="2494"/>
            <w:shd w:val="clear" w:color="auto" w:fill="F7F4EE"/>
            <w:vAlign w:val="top"/>
          </w:tcPr>
          <w:p>
            <w:pPr>
              <w:spacing w:after="0" w:line="240" w:lineRule="auto"/>
            </w:pPr>
            <w:r>
              <w:rPr>
                <w:color w:val="2B2F36"/>
                <w:sz w:val="17"/>
              </w:rPr>
              <w:t>₹1,437–1,735 /kg</w:t>
            </w:r>
          </w:p>
        </w:tc>
        <w:tc>
          <w:tcPr>
            <w:tcW w:type="dxa" w:w="5216"/>
            <w:shd w:val="clear" w:color="auto" w:fill="F7F4EE"/>
            <w:vAlign w:val="top"/>
          </w:tcPr>
          <w:p>
            <w:pPr>
              <w:spacing w:after="0" w:line="240" w:lineRule="auto"/>
            </w:pPr>
            <w:r>
              <w:rPr>
                <w:color w:val="2B2F36"/>
                <w:sz w:val="17"/>
              </w:rPr>
              <w:t>Metal × 1.025 melt loss + ₹50 conversion; +18 % GST on top (placeholders)</w:t>
            </w:r>
          </w:p>
        </w:tc>
      </w:tr>
      <w:tr>
        <w:trPr>
          <w:cantSplit/>
        </w:trPr>
        <w:tc>
          <w:tcPr>
            <w:tcW w:type="dxa" w:w="2041"/>
            <w:vAlign w:val="top"/>
          </w:tcPr>
          <w:p>
            <w:pPr>
              <w:spacing w:after="0" w:line="240" w:lineRule="auto"/>
            </w:pPr>
            <w:r>
              <w:rPr>
                <w:color w:val="2B2F36"/>
                <w:sz w:val="17"/>
              </w:rPr>
              <w:t>Scrap-route spread (CC491K)</w:t>
            </w:r>
          </w:p>
        </w:tc>
        <w:tc>
          <w:tcPr>
            <w:tcW w:type="dxa" w:w="2494"/>
            <w:vAlign w:val="top"/>
          </w:tcPr>
          <w:p>
            <w:pPr>
              <w:spacing w:after="0" w:line="240" w:lineRule="auto"/>
            </w:pPr>
            <w:r>
              <w:rPr>
                <w:color w:val="2B2F36"/>
                <w:sz w:val="17"/>
              </w:rPr>
              <w:t>₹62–185 /kg</w:t>
            </w:r>
          </w:p>
        </w:tc>
        <w:tc>
          <w:tcPr>
            <w:tcW w:type="dxa" w:w="5216"/>
            <w:vAlign w:val="top"/>
          </w:tcPr>
          <w:p>
            <w:pPr>
              <w:spacing w:after="0" w:line="240" w:lineRule="auto"/>
            </w:pPr>
            <w:r>
              <w:rPr>
                <w:color w:val="2B2F36"/>
                <w:sz w:val="17"/>
              </w:rPr>
              <w:t>Formula price minus metal cost when scrap is bought at 89–99 % of contained LME value; larger than the ₹50 conversion</w:t>
            </w:r>
          </w:p>
        </w:tc>
      </w:tr>
      <w:tr>
        <w:trPr>
          <w:cantSplit/>
        </w:trPr>
        <w:tc>
          <w:tcPr>
            <w:tcW w:type="dxa" w:w="2041"/>
            <w:shd w:val="clear" w:color="auto" w:fill="F7F4EE"/>
            <w:vAlign w:val="top"/>
          </w:tcPr>
          <w:p>
            <w:pPr>
              <w:spacing w:after="0" w:line="240" w:lineRule="auto"/>
            </w:pPr>
            <w:r>
              <w:rPr>
                <w:color w:val="2B2F36"/>
                <w:sz w:val="17"/>
              </w:rPr>
              <w:t>Min. tensile strength (GC)</w:t>
            </w:r>
          </w:p>
        </w:tc>
        <w:tc>
          <w:tcPr>
            <w:tcW w:type="dxa" w:w="2494"/>
            <w:shd w:val="clear" w:color="auto" w:fill="F7F4EE"/>
            <w:vAlign w:val="top"/>
          </w:tcPr>
          <w:p>
            <w:pPr>
              <w:spacing w:after="0" w:line="240" w:lineRule="auto"/>
            </w:pPr>
            <w:r>
              <w:rPr>
                <w:color w:val="2B2F36"/>
                <w:sz w:val="17"/>
              </w:rPr>
              <w:t>270 → 200 MPa</w:t>
            </w:r>
          </w:p>
        </w:tc>
        <w:tc>
          <w:tcPr>
            <w:tcW w:type="dxa" w:w="5216"/>
            <w:shd w:val="clear" w:color="auto" w:fill="F7F4EE"/>
            <w:vAlign w:val="top"/>
          </w:tcPr>
          <w:p>
            <w:pPr>
              <w:spacing w:after="0" w:line="240" w:lineRule="auto"/>
            </w:pPr>
            <w:r>
              <w:rPr>
                <w:color w:val="2B2F36"/>
                <w:sz w:val="17"/>
              </w:rPr>
              <w:t>Highest CC492K, lowest CC494K</w:t>
            </w:r>
          </w:p>
        </w:tc>
      </w:tr>
      <w:tr>
        <w:trPr>
          <w:cantSplit/>
        </w:trPr>
        <w:tc>
          <w:tcPr>
            <w:tcW w:type="dxa" w:w="2041"/>
            <w:vAlign w:val="top"/>
          </w:tcPr>
          <w:p>
            <w:pPr>
              <w:spacing w:after="0" w:line="240" w:lineRule="auto"/>
            </w:pPr>
            <w:r>
              <w:rPr>
                <w:color w:val="2B2F36"/>
                <w:sz w:val="17"/>
              </w:rPr>
              <w:t>Demand growth, six grades</w:t>
            </w:r>
          </w:p>
        </w:tc>
        <w:tc>
          <w:tcPr>
            <w:tcW w:type="dxa" w:w="2494"/>
            <w:vAlign w:val="top"/>
          </w:tcPr>
          <w:p>
            <w:pPr>
              <w:spacing w:after="0" w:line="240" w:lineRule="auto"/>
            </w:pPr>
            <w:r>
              <w:rPr>
                <w:color w:val="2B2F36"/>
                <w:sz w:val="17"/>
              </w:rPr>
              <w:t>4.2 %/yr (2025–30)</w:t>
            </w:r>
          </w:p>
        </w:tc>
        <w:tc>
          <w:tcPr>
            <w:tcW w:type="dxa" w:w="5216"/>
            <w:vAlign w:val="top"/>
          </w:tcPr>
          <w:p>
            <w:pPr>
              <w:spacing w:after="0" w:line="240" w:lineRule="auto"/>
            </w:pPr>
            <w:r>
              <w:rPr>
                <w:color w:val="2B2F36"/>
                <w:sz w:val="17"/>
              </w:rPr>
              <w:t>Share-weighted from 18 applications; valves, bushes and fire-fighting hardware add the most</w:t>
            </w:r>
          </w:p>
        </w:tc>
      </w:tr>
      <w:tr>
        <w:trPr>
          <w:cantSplit/>
        </w:trPr>
        <w:tc>
          <w:tcPr>
            <w:tcW w:type="dxa" w:w="2041"/>
            <w:shd w:val="clear" w:color="auto" w:fill="F7F4EE"/>
            <w:vAlign w:val="top"/>
          </w:tcPr>
          <w:p>
            <w:pPr>
              <w:spacing w:after="0" w:line="240" w:lineRule="auto"/>
            </w:pPr>
            <w:r>
              <w:rPr>
                <w:color w:val="2B2F36"/>
                <w:sz w:val="17"/>
              </w:rPr>
              <w:t>Largest grade by demand</w:t>
            </w:r>
          </w:p>
        </w:tc>
        <w:tc>
          <w:tcPr>
            <w:tcW w:type="dxa" w:w="2494"/>
            <w:shd w:val="clear" w:color="auto" w:fill="F7F4EE"/>
            <w:vAlign w:val="top"/>
          </w:tcPr>
          <w:p>
            <w:pPr>
              <w:spacing w:after="0" w:line="240" w:lineRule="auto"/>
            </w:pPr>
            <w:r>
              <w:rPr>
                <w:color w:val="2B2F36"/>
                <w:sz w:val="17"/>
              </w:rPr>
              <w:t>CC491K 40 % of tonnes</w:t>
            </w:r>
          </w:p>
        </w:tc>
        <w:tc>
          <w:tcPr>
            <w:tcW w:type="dxa" w:w="5216"/>
            <w:shd w:val="clear" w:color="auto" w:fill="F7F4EE"/>
            <w:vAlign w:val="top"/>
          </w:tcPr>
          <w:p>
            <w:pPr>
              <w:spacing w:after="0" w:line="240" w:lineRule="auto"/>
            </w:pPr>
            <w:r>
              <w:rPr>
                <w:color w:val="2B2F36"/>
                <w:sz w:val="17"/>
              </w:rPr>
              <w:t>CC493K 20 %, CC495K 12 %, CC492K 11 %, CC490K 10 %, CC494K 7 %</w:t>
            </w:r>
          </w:p>
        </w:tc>
      </w:tr>
      <w:tr>
        <w:trPr>
          <w:cantSplit/>
        </w:trPr>
        <w:tc>
          <w:tcPr>
            <w:tcW w:type="dxa" w:w="2041"/>
            <w:vAlign w:val="top"/>
          </w:tcPr>
          <w:p>
            <w:pPr>
              <w:spacing w:after="0" w:line="240" w:lineRule="auto"/>
            </w:pPr>
            <w:r>
              <w:rPr>
                <w:color w:val="2B2F36"/>
                <w:sz w:val="17"/>
              </w:rPr>
              <w:t>Five Forces pressure</w:t>
            </w:r>
          </w:p>
        </w:tc>
        <w:tc>
          <w:tcPr>
            <w:tcW w:type="dxa" w:w="2494"/>
            <w:vAlign w:val="top"/>
          </w:tcPr>
          <w:p>
            <w:pPr>
              <w:spacing w:after="0" w:line="240" w:lineRule="auto"/>
            </w:pPr>
            <w:r>
              <w:rPr>
                <w:color w:val="2B2F36"/>
                <w:sz w:val="17"/>
              </w:rPr>
              <w:t>4.2/5 basic vs 2.0/5 specialised</w:t>
            </w:r>
          </w:p>
        </w:tc>
        <w:tc>
          <w:tcPr>
            <w:tcW w:type="dxa" w:w="5216"/>
            <w:vAlign w:val="top"/>
          </w:tcPr>
          <w:p>
            <w:pPr>
              <w:spacing w:after="0" w:line="240" w:lineRule="auto"/>
            </w:pPr>
            <w:r>
              <w:rPr>
                <w:color w:val="2B2F36"/>
                <w:sz w:val="17"/>
              </w:rPr>
              <w:t>Standards lock in the material for specialised makers</w:t>
            </w:r>
          </w:p>
        </w:tc>
      </w:tr>
      <w:tr>
        <w:trPr>
          <w:cantSplit/>
        </w:trPr>
        <w:tc>
          <w:tcPr>
            <w:tcW w:type="dxa" w:w="2041"/>
            <w:shd w:val="clear" w:color="auto" w:fill="F7F4EE"/>
            <w:vAlign w:val="top"/>
          </w:tcPr>
          <w:p>
            <w:pPr>
              <w:spacing w:after="0" w:line="240" w:lineRule="auto"/>
            </w:pPr>
            <w:r>
              <w:rPr>
                <w:color w:val="2B2F36"/>
                <w:sz w:val="17"/>
              </w:rPr>
              <w:t>India exports 2023</w:t>
            </w:r>
          </w:p>
        </w:tc>
        <w:tc>
          <w:tcPr>
            <w:tcW w:type="dxa" w:w="2494"/>
            <w:shd w:val="clear" w:color="auto" w:fill="F7F4EE"/>
            <w:vAlign w:val="top"/>
          </w:tcPr>
          <w:p>
            <w:pPr>
              <w:spacing w:after="0" w:line="240" w:lineRule="auto"/>
            </w:pPr>
            <w:r>
              <w:rPr>
                <w:color w:val="2B2F36"/>
                <w:sz w:val="17"/>
              </w:rPr>
              <w:t>US$ 2.1 bn valves, 1.3 bn pumps</w:t>
            </w:r>
          </w:p>
        </w:tc>
        <w:tc>
          <w:tcPr>
            <w:tcW w:type="dxa" w:w="5216"/>
            <w:shd w:val="clear" w:color="auto" w:fill="F7F4EE"/>
            <w:vAlign w:val="top"/>
          </w:tcPr>
          <w:p>
            <w:pPr>
              <w:spacing w:after="0" w:line="240" w:lineRule="auto"/>
            </w:pPr>
            <w:r>
              <w:rPr>
                <w:color w:val="2B2F36"/>
                <w:sz w:val="17"/>
              </w:rPr>
              <w:t>Bajaj's export route is through the foundries that make them</w:t>
            </w:r>
          </w:p>
        </w:tc>
      </w:tr>
    </w:tbl>
    <w:p>
      <w:pPr>
        <w:spacing w:after="40"/>
      </w:pPr>
    </w:p>
    <w:p>
      <w:pPr>
        <w:pStyle w:val="Heading2"/>
      </w:pPr>
      <w:r>
        <w:t>Key findings</w:t>
      </w:r>
    </w:p>
    <w:p>
      <w:pPr>
        <w:pStyle w:val="ListBullet"/>
      </w:pPr>
      <w:r>
        <w:rPr>
          <w:b/>
        </w:rPr>
        <w:t>Two families, six grades.</w:t>
      </w:r>
      <w:r>
        <w:t xml:space="preserve"> Gunmetals: CC490K (LG1, UNS C84400), CC491K (LG2, 85-5-5-5, UNS C83600, IS 318 LTB 2), CC492K (LG4, nearest UNS C92200), CC493K (Rg7, UNS C93200). Bearing bronzes: CC494K (LB4, UNS C93500), CC495K (LB2, UNS C93700).</w:t>
      </w:r>
    </w:p>
    <w:p>
      <w:pPr>
        <w:pStyle w:val="ListBullet"/>
      </w:pPr>
      <w:r>
        <w:rPr>
          <w:b/>
        </w:rPr>
        <w:t>Composition and properties re-checked.</w:t>
      </w:r>
      <w:r>
        <w:t xml:space="preserve"> All six compositions match the EN 1982 limits. Minimum GC mechanical values for all six were confirmed against a second source in Rev 6. Strength follows tin and the zinc/lead balance, not lead alone (Section 3).</w:t>
      </w:r>
    </w:p>
    <w:p>
      <w:pPr>
        <w:pStyle w:val="ListBullet"/>
      </w:pPr>
      <w:r>
        <w:rPr>
          <w:b/>
        </w:rPr>
        <w:t>Ingot is a metal-management business.</w:t>
      </w:r>
      <w:r>
        <w:t xml:space="preserve"> Metal (including melt loss) is about 97 % of the formula ex-works price. A 1 % error in buying copper costs ₹12/kg on CC491K, which is 24 % of the ₹50 conversion premium. Price risk passes through on a formula; margin is decided by scrap payable %, melt loss and conversion (Section 6).</w:t>
      </w:r>
    </w:p>
    <w:p>
      <w:pPr>
        <w:pStyle w:val="ListBullet"/>
      </w:pPr>
      <w:r>
        <w:rPr>
          <w:b/>
        </w:rPr>
        <w:t>Scrap is the real lever.</w:t>
      </w:r>
      <w:r>
        <w:t xml:space="preserve"> Bajaj buys copper and brass scrap. Delhi/Mumbai brass-scrap quotes imply 89–99 % of contained LME value. Each point of payable % is worth ₹12/kg on CC491K, so five points (₹61) outweigh the whole conversion premium.</w:t>
      </w:r>
    </w:p>
    <w:p>
      <w:pPr>
        <w:pStyle w:val="ListBullet"/>
      </w:pPr>
      <w:r>
        <w:rPr>
          <w:b/>
        </w:rPr>
        <w:t>Where the metal goes.</w:t>
      </w:r>
      <w:r>
        <w:t xml:space="preserve"> Pumps 27 %, bushes and bearings 25 %, valves 21 % of tonnes; 15 smaller uses make up the other 27 %. Valves (+6 %/yr), bushes (+5 %) and fire-fighting hardware (+7 %) add the most growth; pumps lose 1.6 points of share by 2030 and plumbing hardware shrinks (Section 7).</w:t>
      </w:r>
    </w:p>
    <w:p>
      <w:pPr>
        <w:pStyle w:val="ListBullet"/>
      </w:pPr>
      <w:r>
        <w:rPr>
          <w:b/>
        </w:rPr>
        <w:t>Use-level fit (new).</w:t>
      </w:r>
      <w:r>
        <w:t xml:space="preserve"> Requirement weights for 14 uses multiplied by computed grade property scores give the same best grades the earlier text recommended: CC491K for pumps, valves and fire hardware; CC493K as the default bush; CC494K for tractor and dirty duty; CC495K for heavy bearings; CC490K only for plumbing (Section 8).</w:t>
      </w:r>
    </w:p>
    <w:p>
      <w:pPr>
        <w:pStyle w:val="ListBullet"/>
      </w:pPr>
      <w:r>
        <w:rPr>
          <w:b/>
        </w:rPr>
        <w:t>Bushes are the best-paying major use</w:t>
      </w:r>
      <w:r>
        <w:t xml:space="preserve"> and the nearest large buyers are in Faridabad–Delhi–Ghaziabad (110–160 km). The Rajasthan cement belt is 500+ km away, not “nearest”, and Gujarat is about 900–1,050 km (Section 9).</w:t>
      </w:r>
    </w:p>
    <w:p>
      <w:pPr>
        <w:pStyle w:val="ListBullet"/>
      </w:pPr>
      <w:r>
        <w:rPr>
          <w:b/>
        </w:rPr>
        <w:t>Minor uses, ranked by rule.</w:t>
      </w:r>
      <w:r>
        <w:t xml:space="preserve"> Fire-fighting hardware and sugar-mill bearings (28/35), hydro (27), marine and defence (25), hydraulics (23). Plumbing and decorative castings are at the bottom (16 and 12). Hydro moved up because Noida, Prithla and Haridwar are close to Bhiwadi (Section 10).</w:t>
      </w:r>
    </w:p>
    <w:p>
      <w:pPr>
        <w:pStyle w:val="ListBullet"/>
      </w:pPr>
      <w:r>
        <w:rPr>
          <w:b/>
        </w:rPr>
        <w:t>Specialised customers face less pressure.</w:t>
      </w:r>
      <w:r>
        <w:t xml:space="preserve"> Five Forces averages 4.2/5 for basic-product makers and 2.0/5 for specialised makers. Supplier power is now rated the same for both (same metal suppliers), which moved the specialised average from 1.8 to 2.0.</w:t>
      </w:r>
    </w:p>
    <w:p>
      <w:pPr>
        <w:pStyle w:val="ListBullet"/>
      </w:pPr>
      <w:r>
        <w:rPr>
          <w:b/>
        </w:rPr>
        <w:t>Recommendation.</w:t>
      </w:r>
      <w:r>
        <w:t xml:space="preserve"> Lead with CC491K and CC493K ingot on an LME formula, certify every heat in EN + UNS + IS terms, sell to specialised and Faridabad–Delhi bush buyers first, treat marine, hydro and defence as approval plays, and prepare a low-lead gunmetal (Section 16).</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B26A00"/>
            </w:tcBorders>
            <w:shd w:val="clear" w:color="auto" w:fill="FBF5EA"/>
          </w:tcPr>
          <w:p>
            <w:pPr>
              <w:spacing w:after="60"/>
            </w:pPr>
            <w:r>
              <w:rPr>
                <w:b/>
                <w:color w:val="B26A00"/>
                <w:sz w:val="20"/>
              </w:rPr>
              <w:t>Read this first</w:t>
            </w:r>
          </w:p>
          <w:p>
            <w:pPr>
              <w:spacing w:after="40" w:line="252" w:lineRule="auto"/>
            </w:pPr>
            <w:r>
              <w:rPr>
                <w:color w:val="2B2F36"/>
                <w:sz w:val="19"/>
              </w:rPr>
              <w:t>Composition limits are EN 1982 values. Mechanical figures are EN 1982 minimums for continuous (GC) casting; sand-cast minimums are lower. Metal prices are official LME cash settlements for 1 Oct 2026. Market sizes are publisher estimates. Application shares, grade splits, scores and weights are Bajaj-specific estimates (±30 %). Melt loss, conversion cost, casting and machining costs are placeholders to be replaced with Bajaj's own numbers. Section 17 flags every estimate.</w:t>
            </w:r>
          </w:p>
        </w:tc>
      </w:tr>
    </w:tbl>
    <w:p>
      <w:pPr>
        <w:spacing w:after="40"/>
      </w:pPr>
    </w:p>
    <w:p>
      <w:r>
        <w:br w:type="page"/>
      </w:r>
    </w:p>
    <w:p>
      <w:pPr>
        <w:pStyle w:val="Heading1"/>
      </w:pPr>
      <w:r>
        <w:t>2. Alloys, composition and cross-references</w:t>
      </w:r>
    </w:p>
    <w:p>
      <w:r>
        <w:t>All six are cast copper–tin alloys with lead added for machinability and bearing performance. EN 1982 uses the suffix “K” for copper–tin–lead alloys. Ingot carries the prefix CB (e.g. CB491K) and castings CC. Bajaj Alloys supplies CB-grade ingot to foundries that cast CC parts.</w:t>
      </w:r>
    </w:p>
    <w:p>
      <w:pPr>
        <w:pStyle w:val="Heading2"/>
      </w:pPr>
      <w:r>
        <w:t>2.1 Chemical composition (EN 1982 limits)</w:t>
      </w:r>
    </w:p>
    <w:p>
      <w:pPr>
        <w:keepNext/>
        <w:spacing w:after="40"/>
      </w:pPr>
      <w:r>
        <w:rPr>
          <w:b/>
          <w:color w:val="5B6470"/>
          <w:sz w:val="18"/>
        </w:rPr>
        <w:t>Table 3.</w:t>
      </w:r>
      <w:r>
        <w:rPr>
          <w:color w:val="5B6470"/>
          <w:sz w:val="18"/>
        </w:rPr>
        <w:t xml:space="preserve"> EN 1982 composition limits, % (casting values; use the CB ingot table of the standard when certifying ingot)</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047"/>
        <w:gridCol w:w="1767"/>
        <w:gridCol w:w="785"/>
        <w:gridCol w:w="982"/>
        <w:gridCol w:w="916"/>
        <w:gridCol w:w="916"/>
        <w:gridCol w:w="916"/>
        <w:gridCol w:w="851"/>
        <w:gridCol w:w="1571"/>
      </w:tblGrid>
      <w:tr>
        <w:trPr>
          <w:cantSplit/>
          <w:tblHeader/>
        </w:trPr>
        <w:tc>
          <w:tcPr>
            <w:tcW w:type="dxa" w:w="1047"/>
            <w:shd w:val="clear" w:color="auto" w:fill="1F4E79"/>
            <w:vAlign w:val="center"/>
          </w:tcPr>
          <w:p>
            <w:pPr>
              <w:spacing w:after="0" w:line="240" w:lineRule="auto"/>
            </w:pPr>
            <w:r>
              <w:rPr>
                <w:b/>
                <w:color w:val="FFFFFF"/>
                <w:sz w:val="17"/>
              </w:rPr>
              <w:t>Grade</w:t>
            </w:r>
          </w:p>
        </w:tc>
        <w:tc>
          <w:tcPr>
            <w:tcW w:type="dxa" w:w="1767"/>
            <w:shd w:val="clear" w:color="auto" w:fill="1F4E79"/>
            <w:vAlign w:val="center"/>
          </w:tcPr>
          <w:p>
            <w:pPr>
              <w:spacing w:after="0" w:line="240" w:lineRule="auto"/>
            </w:pPr>
            <w:r>
              <w:rPr>
                <w:b/>
                <w:color w:val="FFFFFF"/>
                <w:sz w:val="17"/>
              </w:rPr>
              <w:t>EN symbol</w:t>
            </w:r>
          </w:p>
        </w:tc>
        <w:tc>
          <w:tcPr>
            <w:tcW w:type="dxa" w:w="785"/>
            <w:shd w:val="clear" w:color="auto" w:fill="1F4E79"/>
            <w:vAlign w:val="center"/>
          </w:tcPr>
          <w:p>
            <w:pPr>
              <w:spacing w:after="0" w:line="240" w:lineRule="auto"/>
            </w:pPr>
            <w:r>
              <w:rPr>
                <w:b/>
                <w:color w:val="FFFFFF"/>
                <w:sz w:val="17"/>
              </w:rPr>
              <w:t>Name</w:t>
            </w:r>
          </w:p>
        </w:tc>
        <w:tc>
          <w:tcPr>
            <w:tcW w:type="dxa" w:w="982"/>
            <w:shd w:val="clear" w:color="auto" w:fill="1F4E79"/>
            <w:vAlign w:val="center"/>
          </w:tcPr>
          <w:p>
            <w:pPr>
              <w:spacing w:after="0" w:line="240" w:lineRule="auto"/>
            </w:pPr>
            <w:r>
              <w:rPr>
                <w:b/>
                <w:color w:val="FFFFFF"/>
                <w:sz w:val="17"/>
              </w:rPr>
              <w:t>Cu %</w:t>
            </w:r>
          </w:p>
        </w:tc>
        <w:tc>
          <w:tcPr>
            <w:tcW w:type="dxa" w:w="916"/>
            <w:shd w:val="clear" w:color="auto" w:fill="1F4E79"/>
            <w:vAlign w:val="center"/>
          </w:tcPr>
          <w:p>
            <w:pPr>
              <w:spacing w:after="0" w:line="240" w:lineRule="auto"/>
            </w:pPr>
            <w:r>
              <w:rPr>
                <w:b/>
                <w:color w:val="FFFFFF"/>
                <w:sz w:val="17"/>
              </w:rPr>
              <w:t>Sn %</w:t>
            </w:r>
          </w:p>
        </w:tc>
        <w:tc>
          <w:tcPr>
            <w:tcW w:type="dxa" w:w="916"/>
            <w:shd w:val="clear" w:color="auto" w:fill="1F4E79"/>
            <w:vAlign w:val="center"/>
          </w:tcPr>
          <w:p>
            <w:pPr>
              <w:spacing w:after="0" w:line="240" w:lineRule="auto"/>
            </w:pPr>
            <w:r>
              <w:rPr>
                <w:b/>
                <w:color w:val="FFFFFF"/>
                <w:sz w:val="17"/>
              </w:rPr>
              <w:t>Pb %</w:t>
            </w:r>
          </w:p>
        </w:tc>
        <w:tc>
          <w:tcPr>
            <w:tcW w:type="dxa" w:w="916"/>
            <w:shd w:val="clear" w:color="auto" w:fill="1F4E79"/>
            <w:vAlign w:val="center"/>
          </w:tcPr>
          <w:p>
            <w:pPr>
              <w:spacing w:after="0" w:line="240" w:lineRule="auto"/>
            </w:pPr>
            <w:r>
              <w:rPr>
                <w:b/>
                <w:color w:val="FFFFFF"/>
                <w:sz w:val="17"/>
              </w:rPr>
              <w:t>Zn %</w:t>
            </w:r>
          </w:p>
        </w:tc>
        <w:tc>
          <w:tcPr>
            <w:tcW w:type="dxa" w:w="851"/>
            <w:shd w:val="clear" w:color="auto" w:fill="1F4E79"/>
            <w:vAlign w:val="center"/>
          </w:tcPr>
          <w:p>
            <w:pPr>
              <w:spacing w:after="0" w:line="240" w:lineRule="auto"/>
            </w:pPr>
            <w:r>
              <w:rPr>
                <w:b/>
                <w:color w:val="FFFFFF"/>
                <w:sz w:val="17"/>
              </w:rPr>
              <w:t>Ni % max</w:t>
            </w:r>
          </w:p>
        </w:tc>
        <w:tc>
          <w:tcPr>
            <w:tcW w:type="dxa" w:w="1571"/>
            <w:shd w:val="clear" w:color="auto" w:fill="1F4E79"/>
            <w:vAlign w:val="center"/>
          </w:tcPr>
          <w:p>
            <w:pPr>
              <w:spacing w:after="0" w:line="240" w:lineRule="auto"/>
            </w:pPr>
            <w:r>
              <w:rPr>
                <w:b/>
                <w:color w:val="FFFFFF"/>
                <w:sz w:val="17"/>
              </w:rPr>
              <w:t>Family</w:t>
            </w:r>
          </w:p>
        </w:tc>
      </w:tr>
      <w:tr>
        <w:trPr>
          <w:cantSplit/>
        </w:trPr>
        <w:tc>
          <w:tcPr>
            <w:tcW w:type="dxa" w:w="1047"/>
            <w:vAlign w:val="top"/>
          </w:tcPr>
          <w:p>
            <w:pPr>
              <w:spacing w:after="0" w:line="240" w:lineRule="auto"/>
            </w:pPr>
            <w:r>
              <w:rPr>
                <w:color w:val="2B2F36"/>
                <w:sz w:val="17"/>
              </w:rPr>
              <w:t>CC490K</w:t>
            </w:r>
          </w:p>
        </w:tc>
        <w:tc>
          <w:tcPr>
            <w:tcW w:type="dxa" w:w="1767"/>
            <w:vAlign w:val="top"/>
          </w:tcPr>
          <w:p>
            <w:pPr>
              <w:spacing w:after="0" w:line="240" w:lineRule="auto"/>
            </w:pPr>
            <w:r>
              <w:rPr>
                <w:color w:val="2B2F36"/>
                <w:sz w:val="17"/>
              </w:rPr>
              <w:t>CuSn3Zn8Pb5-C</w:t>
            </w:r>
          </w:p>
        </w:tc>
        <w:tc>
          <w:tcPr>
            <w:tcW w:type="dxa" w:w="785"/>
            <w:vAlign w:val="top"/>
          </w:tcPr>
          <w:p>
            <w:pPr>
              <w:spacing w:after="0" w:line="240" w:lineRule="auto"/>
            </w:pPr>
            <w:r>
              <w:rPr>
                <w:color w:val="2B2F36"/>
                <w:sz w:val="17"/>
              </w:rPr>
              <w:t>LG1</w:t>
            </w:r>
          </w:p>
        </w:tc>
        <w:tc>
          <w:tcPr>
            <w:tcW w:type="dxa" w:w="982"/>
            <w:vAlign w:val="top"/>
          </w:tcPr>
          <w:p>
            <w:pPr>
              <w:spacing w:after="0" w:line="240" w:lineRule="auto"/>
              <w:jc w:val="center"/>
            </w:pPr>
            <w:r>
              <w:rPr>
                <w:color w:val="2B2F36"/>
                <w:sz w:val="17"/>
              </w:rPr>
              <w:t>81–86</w:t>
            </w:r>
          </w:p>
        </w:tc>
        <w:tc>
          <w:tcPr>
            <w:tcW w:type="dxa" w:w="916"/>
            <w:vAlign w:val="top"/>
          </w:tcPr>
          <w:p>
            <w:pPr>
              <w:spacing w:after="0" w:line="240" w:lineRule="auto"/>
              <w:jc w:val="center"/>
            </w:pPr>
            <w:r>
              <w:rPr>
                <w:color w:val="2B2F36"/>
                <w:sz w:val="17"/>
              </w:rPr>
              <w:t>2–3.5</w:t>
            </w:r>
          </w:p>
        </w:tc>
        <w:tc>
          <w:tcPr>
            <w:tcW w:type="dxa" w:w="916"/>
            <w:vAlign w:val="top"/>
          </w:tcPr>
          <w:p>
            <w:pPr>
              <w:spacing w:after="0" w:line="240" w:lineRule="auto"/>
              <w:jc w:val="center"/>
            </w:pPr>
            <w:r>
              <w:rPr>
                <w:color w:val="2B2F36"/>
                <w:sz w:val="17"/>
              </w:rPr>
              <w:t>3–6</w:t>
            </w:r>
          </w:p>
        </w:tc>
        <w:tc>
          <w:tcPr>
            <w:tcW w:type="dxa" w:w="916"/>
            <w:vAlign w:val="top"/>
          </w:tcPr>
          <w:p>
            <w:pPr>
              <w:spacing w:after="0" w:line="240" w:lineRule="auto"/>
              <w:jc w:val="center"/>
            </w:pPr>
            <w:r>
              <w:rPr>
                <w:color w:val="2B2F36"/>
                <w:sz w:val="17"/>
              </w:rPr>
              <w:t>7–9.5</w:t>
            </w:r>
          </w:p>
        </w:tc>
        <w:tc>
          <w:tcPr>
            <w:tcW w:type="dxa" w:w="851"/>
            <w:vAlign w:val="top"/>
          </w:tcPr>
          <w:p>
            <w:pPr>
              <w:spacing w:after="0" w:line="240" w:lineRule="auto"/>
              <w:jc w:val="center"/>
            </w:pPr>
            <w:r>
              <w:rPr>
                <w:color w:val="2B2F36"/>
                <w:sz w:val="17"/>
              </w:rPr>
              <w:t>2.0</w:t>
            </w:r>
          </w:p>
        </w:tc>
        <w:tc>
          <w:tcPr>
            <w:tcW w:type="dxa" w:w="1571"/>
            <w:vAlign w:val="top"/>
          </w:tcPr>
          <w:p>
            <w:pPr>
              <w:spacing w:after="0" w:line="240" w:lineRule="auto"/>
            </w:pPr>
            <w:r>
              <w:rPr>
                <w:color w:val="2B2F36"/>
                <w:sz w:val="17"/>
              </w:rPr>
              <w:t>Gunmetal</w:t>
            </w:r>
          </w:p>
        </w:tc>
      </w:tr>
      <w:tr>
        <w:trPr>
          <w:cantSplit/>
        </w:trPr>
        <w:tc>
          <w:tcPr>
            <w:tcW w:type="dxa" w:w="1047"/>
            <w:shd w:val="clear" w:color="auto" w:fill="F7F4EE"/>
            <w:vAlign w:val="top"/>
          </w:tcPr>
          <w:p>
            <w:pPr>
              <w:spacing w:after="0" w:line="240" w:lineRule="auto"/>
            </w:pPr>
            <w:r>
              <w:rPr>
                <w:color w:val="2B2F36"/>
                <w:sz w:val="17"/>
              </w:rPr>
              <w:t>CC491K</w:t>
            </w:r>
          </w:p>
        </w:tc>
        <w:tc>
          <w:tcPr>
            <w:tcW w:type="dxa" w:w="1767"/>
            <w:shd w:val="clear" w:color="auto" w:fill="F7F4EE"/>
            <w:vAlign w:val="top"/>
          </w:tcPr>
          <w:p>
            <w:pPr>
              <w:spacing w:after="0" w:line="240" w:lineRule="auto"/>
            </w:pPr>
            <w:r>
              <w:rPr>
                <w:color w:val="2B2F36"/>
                <w:sz w:val="17"/>
              </w:rPr>
              <w:t>CuSn5Zn5Pb5-C</w:t>
            </w:r>
          </w:p>
        </w:tc>
        <w:tc>
          <w:tcPr>
            <w:tcW w:type="dxa" w:w="785"/>
            <w:shd w:val="clear" w:color="auto" w:fill="F7F4EE"/>
            <w:vAlign w:val="top"/>
          </w:tcPr>
          <w:p>
            <w:pPr>
              <w:spacing w:after="0" w:line="240" w:lineRule="auto"/>
            </w:pPr>
            <w:r>
              <w:rPr>
                <w:color w:val="2B2F36"/>
                <w:sz w:val="17"/>
              </w:rPr>
              <w:t>LG2</w:t>
            </w:r>
          </w:p>
        </w:tc>
        <w:tc>
          <w:tcPr>
            <w:tcW w:type="dxa" w:w="982"/>
            <w:shd w:val="clear" w:color="auto" w:fill="F7F4EE"/>
            <w:vAlign w:val="top"/>
          </w:tcPr>
          <w:p>
            <w:pPr>
              <w:spacing w:after="0" w:line="240" w:lineRule="auto"/>
              <w:jc w:val="center"/>
            </w:pPr>
            <w:r>
              <w:rPr>
                <w:color w:val="2B2F36"/>
                <w:sz w:val="17"/>
              </w:rPr>
              <w:t>83–87</w:t>
            </w:r>
          </w:p>
        </w:tc>
        <w:tc>
          <w:tcPr>
            <w:tcW w:type="dxa" w:w="916"/>
            <w:shd w:val="clear" w:color="auto" w:fill="F7F4EE"/>
            <w:vAlign w:val="top"/>
          </w:tcPr>
          <w:p>
            <w:pPr>
              <w:spacing w:after="0" w:line="240" w:lineRule="auto"/>
              <w:jc w:val="center"/>
            </w:pPr>
            <w:r>
              <w:rPr>
                <w:color w:val="2B2F36"/>
                <w:sz w:val="17"/>
              </w:rPr>
              <w:t>4–6</w:t>
            </w:r>
          </w:p>
        </w:tc>
        <w:tc>
          <w:tcPr>
            <w:tcW w:type="dxa" w:w="916"/>
            <w:shd w:val="clear" w:color="auto" w:fill="F7F4EE"/>
            <w:vAlign w:val="top"/>
          </w:tcPr>
          <w:p>
            <w:pPr>
              <w:spacing w:after="0" w:line="240" w:lineRule="auto"/>
              <w:jc w:val="center"/>
            </w:pPr>
            <w:r>
              <w:rPr>
                <w:color w:val="2B2F36"/>
                <w:sz w:val="17"/>
              </w:rPr>
              <w:t>4–6</w:t>
            </w:r>
          </w:p>
        </w:tc>
        <w:tc>
          <w:tcPr>
            <w:tcW w:type="dxa" w:w="916"/>
            <w:shd w:val="clear" w:color="auto" w:fill="F7F4EE"/>
            <w:vAlign w:val="top"/>
          </w:tcPr>
          <w:p>
            <w:pPr>
              <w:spacing w:after="0" w:line="240" w:lineRule="auto"/>
              <w:jc w:val="center"/>
            </w:pPr>
            <w:r>
              <w:rPr>
                <w:color w:val="2B2F36"/>
                <w:sz w:val="17"/>
              </w:rPr>
              <w:t>4–6</w:t>
            </w:r>
          </w:p>
        </w:tc>
        <w:tc>
          <w:tcPr>
            <w:tcW w:type="dxa" w:w="851"/>
            <w:shd w:val="clear" w:color="auto" w:fill="F7F4EE"/>
            <w:vAlign w:val="top"/>
          </w:tcPr>
          <w:p>
            <w:pPr>
              <w:spacing w:after="0" w:line="240" w:lineRule="auto"/>
              <w:jc w:val="center"/>
            </w:pPr>
            <w:r>
              <w:rPr>
                <w:color w:val="2B2F36"/>
                <w:sz w:val="17"/>
              </w:rPr>
              <w:t>2.0</w:t>
            </w:r>
          </w:p>
        </w:tc>
        <w:tc>
          <w:tcPr>
            <w:tcW w:type="dxa" w:w="1571"/>
            <w:shd w:val="clear" w:color="auto" w:fill="F7F4EE"/>
            <w:vAlign w:val="top"/>
          </w:tcPr>
          <w:p>
            <w:pPr>
              <w:spacing w:after="0" w:line="240" w:lineRule="auto"/>
            </w:pPr>
            <w:r>
              <w:rPr>
                <w:color w:val="2B2F36"/>
                <w:sz w:val="17"/>
              </w:rPr>
              <w:t>Gunmetal</w:t>
            </w:r>
          </w:p>
        </w:tc>
      </w:tr>
      <w:tr>
        <w:trPr>
          <w:cantSplit/>
        </w:trPr>
        <w:tc>
          <w:tcPr>
            <w:tcW w:type="dxa" w:w="1047"/>
            <w:vAlign w:val="top"/>
          </w:tcPr>
          <w:p>
            <w:pPr>
              <w:spacing w:after="0" w:line="240" w:lineRule="auto"/>
            </w:pPr>
            <w:r>
              <w:rPr>
                <w:color w:val="2B2F36"/>
                <w:sz w:val="17"/>
              </w:rPr>
              <w:t>CC492K</w:t>
            </w:r>
          </w:p>
        </w:tc>
        <w:tc>
          <w:tcPr>
            <w:tcW w:type="dxa" w:w="1767"/>
            <w:vAlign w:val="top"/>
          </w:tcPr>
          <w:p>
            <w:pPr>
              <w:spacing w:after="0" w:line="240" w:lineRule="auto"/>
            </w:pPr>
            <w:r>
              <w:rPr>
                <w:color w:val="2B2F36"/>
                <w:sz w:val="17"/>
              </w:rPr>
              <w:t>CuSn7Zn2Pb3-C</w:t>
            </w:r>
          </w:p>
        </w:tc>
        <w:tc>
          <w:tcPr>
            <w:tcW w:type="dxa" w:w="785"/>
            <w:vAlign w:val="top"/>
          </w:tcPr>
          <w:p>
            <w:pPr>
              <w:spacing w:after="0" w:line="240" w:lineRule="auto"/>
            </w:pPr>
            <w:r>
              <w:rPr>
                <w:color w:val="2B2F36"/>
                <w:sz w:val="17"/>
              </w:rPr>
              <w:t>LG4</w:t>
            </w:r>
          </w:p>
        </w:tc>
        <w:tc>
          <w:tcPr>
            <w:tcW w:type="dxa" w:w="982"/>
            <w:vAlign w:val="top"/>
          </w:tcPr>
          <w:p>
            <w:pPr>
              <w:spacing w:after="0" w:line="240" w:lineRule="auto"/>
              <w:jc w:val="center"/>
            </w:pPr>
            <w:r>
              <w:rPr>
                <w:color w:val="2B2F36"/>
                <w:sz w:val="17"/>
              </w:rPr>
              <w:t>85–89</w:t>
            </w:r>
          </w:p>
        </w:tc>
        <w:tc>
          <w:tcPr>
            <w:tcW w:type="dxa" w:w="916"/>
            <w:vAlign w:val="top"/>
          </w:tcPr>
          <w:p>
            <w:pPr>
              <w:spacing w:after="0" w:line="240" w:lineRule="auto"/>
              <w:jc w:val="center"/>
            </w:pPr>
            <w:r>
              <w:rPr>
                <w:color w:val="2B2F36"/>
                <w:sz w:val="17"/>
              </w:rPr>
              <w:t>6–8</w:t>
            </w:r>
          </w:p>
        </w:tc>
        <w:tc>
          <w:tcPr>
            <w:tcW w:type="dxa" w:w="916"/>
            <w:vAlign w:val="top"/>
          </w:tcPr>
          <w:p>
            <w:pPr>
              <w:spacing w:after="0" w:line="240" w:lineRule="auto"/>
              <w:jc w:val="center"/>
            </w:pPr>
            <w:r>
              <w:rPr>
                <w:color w:val="2B2F36"/>
                <w:sz w:val="17"/>
              </w:rPr>
              <w:t>2.5–3.5</w:t>
            </w:r>
          </w:p>
        </w:tc>
        <w:tc>
          <w:tcPr>
            <w:tcW w:type="dxa" w:w="916"/>
            <w:vAlign w:val="top"/>
          </w:tcPr>
          <w:p>
            <w:pPr>
              <w:spacing w:after="0" w:line="240" w:lineRule="auto"/>
              <w:jc w:val="center"/>
            </w:pPr>
            <w:r>
              <w:rPr>
                <w:color w:val="2B2F36"/>
                <w:sz w:val="17"/>
              </w:rPr>
              <w:t>1.5–3</w:t>
            </w:r>
          </w:p>
        </w:tc>
        <w:tc>
          <w:tcPr>
            <w:tcW w:type="dxa" w:w="851"/>
            <w:vAlign w:val="top"/>
          </w:tcPr>
          <w:p>
            <w:pPr>
              <w:spacing w:after="0" w:line="240" w:lineRule="auto"/>
              <w:jc w:val="center"/>
            </w:pPr>
            <w:r>
              <w:rPr>
                <w:color w:val="2B2F36"/>
                <w:sz w:val="17"/>
              </w:rPr>
              <w:t>2.0</w:t>
            </w:r>
          </w:p>
        </w:tc>
        <w:tc>
          <w:tcPr>
            <w:tcW w:type="dxa" w:w="1571"/>
            <w:vAlign w:val="top"/>
          </w:tcPr>
          <w:p>
            <w:pPr>
              <w:spacing w:after="0" w:line="240" w:lineRule="auto"/>
            </w:pPr>
            <w:r>
              <w:rPr>
                <w:color w:val="2B2F36"/>
                <w:sz w:val="17"/>
              </w:rPr>
              <w:t>Gunmetal</w:t>
            </w:r>
          </w:p>
        </w:tc>
      </w:tr>
      <w:tr>
        <w:trPr>
          <w:cantSplit/>
        </w:trPr>
        <w:tc>
          <w:tcPr>
            <w:tcW w:type="dxa" w:w="1047"/>
            <w:shd w:val="clear" w:color="auto" w:fill="F7F4EE"/>
            <w:vAlign w:val="top"/>
          </w:tcPr>
          <w:p>
            <w:pPr>
              <w:spacing w:after="0" w:line="240" w:lineRule="auto"/>
            </w:pPr>
            <w:r>
              <w:rPr>
                <w:color w:val="2B2F36"/>
                <w:sz w:val="17"/>
              </w:rPr>
              <w:t>CC493K</w:t>
            </w:r>
          </w:p>
        </w:tc>
        <w:tc>
          <w:tcPr>
            <w:tcW w:type="dxa" w:w="1767"/>
            <w:shd w:val="clear" w:color="auto" w:fill="F7F4EE"/>
            <w:vAlign w:val="top"/>
          </w:tcPr>
          <w:p>
            <w:pPr>
              <w:spacing w:after="0" w:line="240" w:lineRule="auto"/>
            </w:pPr>
            <w:r>
              <w:rPr>
                <w:color w:val="2B2F36"/>
                <w:sz w:val="17"/>
              </w:rPr>
              <w:t>CuSn7Zn4Pb7-C</w:t>
            </w:r>
          </w:p>
        </w:tc>
        <w:tc>
          <w:tcPr>
            <w:tcW w:type="dxa" w:w="785"/>
            <w:shd w:val="clear" w:color="auto" w:fill="F7F4EE"/>
            <w:vAlign w:val="top"/>
          </w:tcPr>
          <w:p>
            <w:pPr>
              <w:spacing w:after="0" w:line="240" w:lineRule="auto"/>
            </w:pPr>
            <w:r>
              <w:rPr>
                <w:color w:val="2B2F36"/>
                <w:sz w:val="17"/>
              </w:rPr>
              <w:t>Rg7</w:t>
            </w:r>
          </w:p>
        </w:tc>
        <w:tc>
          <w:tcPr>
            <w:tcW w:type="dxa" w:w="982"/>
            <w:shd w:val="clear" w:color="auto" w:fill="F7F4EE"/>
            <w:vAlign w:val="top"/>
          </w:tcPr>
          <w:p>
            <w:pPr>
              <w:spacing w:after="0" w:line="240" w:lineRule="auto"/>
              <w:jc w:val="center"/>
            </w:pPr>
            <w:r>
              <w:rPr>
                <w:color w:val="2B2F36"/>
                <w:sz w:val="17"/>
              </w:rPr>
              <w:t>81–85</w:t>
            </w:r>
          </w:p>
        </w:tc>
        <w:tc>
          <w:tcPr>
            <w:tcW w:type="dxa" w:w="916"/>
            <w:shd w:val="clear" w:color="auto" w:fill="F7F4EE"/>
            <w:vAlign w:val="top"/>
          </w:tcPr>
          <w:p>
            <w:pPr>
              <w:spacing w:after="0" w:line="240" w:lineRule="auto"/>
              <w:jc w:val="center"/>
            </w:pPr>
            <w:r>
              <w:rPr>
                <w:color w:val="2B2F36"/>
                <w:sz w:val="17"/>
              </w:rPr>
              <w:t>6–8</w:t>
            </w:r>
          </w:p>
        </w:tc>
        <w:tc>
          <w:tcPr>
            <w:tcW w:type="dxa" w:w="916"/>
            <w:shd w:val="clear" w:color="auto" w:fill="F7F4EE"/>
            <w:vAlign w:val="top"/>
          </w:tcPr>
          <w:p>
            <w:pPr>
              <w:spacing w:after="0" w:line="240" w:lineRule="auto"/>
              <w:jc w:val="center"/>
            </w:pPr>
            <w:r>
              <w:rPr>
                <w:color w:val="2B2F36"/>
                <w:sz w:val="17"/>
              </w:rPr>
              <w:t>5–8</w:t>
            </w:r>
          </w:p>
        </w:tc>
        <w:tc>
          <w:tcPr>
            <w:tcW w:type="dxa" w:w="916"/>
            <w:shd w:val="clear" w:color="auto" w:fill="F7F4EE"/>
            <w:vAlign w:val="top"/>
          </w:tcPr>
          <w:p>
            <w:pPr>
              <w:spacing w:after="0" w:line="240" w:lineRule="auto"/>
              <w:jc w:val="center"/>
            </w:pPr>
            <w:r>
              <w:rPr>
                <w:color w:val="2B2F36"/>
                <w:sz w:val="17"/>
              </w:rPr>
              <w:t>2–5</w:t>
            </w:r>
          </w:p>
        </w:tc>
        <w:tc>
          <w:tcPr>
            <w:tcW w:type="dxa" w:w="851"/>
            <w:shd w:val="clear" w:color="auto" w:fill="F7F4EE"/>
            <w:vAlign w:val="top"/>
          </w:tcPr>
          <w:p>
            <w:pPr>
              <w:spacing w:after="0" w:line="240" w:lineRule="auto"/>
              <w:jc w:val="center"/>
            </w:pPr>
            <w:r>
              <w:rPr>
                <w:color w:val="2B2F36"/>
                <w:sz w:val="17"/>
              </w:rPr>
              <w:t>2.0</w:t>
            </w:r>
          </w:p>
        </w:tc>
        <w:tc>
          <w:tcPr>
            <w:tcW w:type="dxa" w:w="1571"/>
            <w:shd w:val="clear" w:color="auto" w:fill="F7F4EE"/>
            <w:vAlign w:val="top"/>
          </w:tcPr>
          <w:p>
            <w:pPr>
              <w:spacing w:after="0" w:line="240" w:lineRule="auto"/>
            </w:pPr>
            <w:r>
              <w:rPr>
                <w:color w:val="2B2F36"/>
                <w:sz w:val="17"/>
              </w:rPr>
              <w:t>Gunmetal</w:t>
            </w:r>
          </w:p>
        </w:tc>
      </w:tr>
      <w:tr>
        <w:trPr>
          <w:cantSplit/>
        </w:trPr>
        <w:tc>
          <w:tcPr>
            <w:tcW w:type="dxa" w:w="1047"/>
            <w:vAlign w:val="top"/>
          </w:tcPr>
          <w:p>
            <w:pPr>
              <w:spacing w:after="0" w:line="240" w:lineRule="auto"/>
            </w:pPr>
            <w:r>
              <w:rPr>
                <w:color w:val="2B2F36"/>
                <w:sz w:val="17"/>
              </w:rPr>
              <w:t>CC494K</w:t>
            </w:r>
          </w:p>
        </w:tc>
        <w:tc>
          <w:tcPr>
            <w:tcW w:type="dxa" w:w="1767"/>
            <w:vAlign w:val="top"/>
          </w:tcPr>
          <w:p>
            <w:pPr>
              <w:spacing w:after="0" w:line="240" w:lineRule="auto"/>
            </w:pPr>
            <w:r>
              <w:rPr>
                <w:color w:val="2B2F36"/>
                <w:sz w:val="17"/>
              </w:rPr>
              <w:t>CuSn5Pb9-C</w:t>
            </w:r>
          </w:p>
        </w:tc>
        <w:tc>
          <w:tcPr>
            <w:tcW w:type="dxa" w:w="785"/>
            <w:vAlign w:val="top"/>
          </w:tcPr>
          <w:p>
            <w:pPr>
              <w:spacing w:after="0" w:line="240" w:lineRule="auto"/>
            </w:pPr>
            <w:r>
              <w:rPr>
                <w:color w:val="2B2F36"/>
                <w:sz w:val="17"/>
              </w:rPr>
              <w:t>LB4</w:t>
            </w:r>
          </w:p>
        </w:tc>
        <w:tc>
          <w:tcPr>
            <w:tcW w:type="dxa" w:w="982"/>
            <w:vAlign w:val="top"/>
          </w:tcPr>
          <w:p>
            <w:pPr>
              <w:spacing w:after="0" w:line="240" w:lineRule="auto"/>
              <w:jc w:val="center"/>
            </w:pPr>
            <w:r>
              <w:rPr>
                <w:color w:val="2B2F36"/>
                <w:sz w:val="17"/>
              </w:rPr>
              <w:t>80–87</w:t>
            </w:r>
          </w:p>
        </w:tc>
        <w:tc>
          <w:tcPr>
            <w:tcW w:type="dxa" w:w="916"/>
            <w:vAlign w:val="top"/>
          </w:tcPr>
          <w:p>
            <w:pPr>
              <w:spacing w:after="0" w:line="240" w:lineRule="auto"/>
              <w:jc w:val="center"/>
            </w:pPr>
            <w:r>
              <w:rPr>
                <w:color w:val="2B2F36"/>
                <w:sz w:val="17"/>
              </w:rPr>
              <w:t>4–6</w:t>
            </w:r>
          </w:p>
        </w:tc>
        <w:tc>
          <w:tcPr>
            <w:tcW w:type="dxa" w:w="916"/>
            <w:vAlign w:val="top"/>
          </w:tcPr>
          <w:p>
            <w:pPr>
              <w:spacing w:after="0" w:line="240" w:lineRule="auto"/>
              <w:jc w:val="center"/>
            </w:pPr>
            <w:r>
              <w:rPr>
                <w:color w:val="2B2F36"/>
                <w:sz w:val="17"/>
              </w:rPr>
              <w:t>8–10</w:t>
            </w:r>
          </w:p>
        </w:tc>
        <w:tc>
          <w:tcPr>
            <w:tcW w:type="dxa" w:w="916"/>
            <w:vAlign w:val="top"/>
          </w:tcPr>
          <w:p>
            <w:pPr>
              <w:spacing w:after="0" w:line="240" w:lineRule="auto"/>
              <w:jc w:val="center"/>
            </w:pPr>
            <w:r>
              <w:rPr>
                <w:color w:val="2B2F36"/>
                <w:sz w:val="17"/>
              </w:rPr>
              <w:t>≤ 2</w:t>
            </w:r>
          </w:p>
        </w:tc>
        <w:tc>
          <w:tcPr>
            <w:tcW w:type="dxa" w:w="851"/>
            <w:vAlign w:val="top"/>
          </w:tcPr>
          <w:p>
            <w:pPr>
              <w:spacing w:after="0" w:line="240" w:lineRule="auto"/>
              <w:jc w:val="center"/>
            </w:pPr>
            <w:r>
              <w:rPr>
                <w:color w:val="2B2F36"/>
                <w:sz w:val="17"/>
              </w:rPr>
              <w:t>2.0</w:t>
            </w:r>
          </w:p>
        </w:tc>
        <w:tc>
          <w:tcPr>
            <w:tcW w:type="dxa" w:w="1571"/>
            <w:vAlign w:val="top"/>
          </w:tcPr>
          <w:p>
            <w:pPr>
              <w:spacing w:after="0" w:line="240" w:lineRule="auto"/>
            </w:pPr>
            <w:r>
              <w:rPr>
                <w:color w:val="2B2F36"/>
                <w:sz w:val="17"/>
              </w:rPr>
              <w:t>Bearing bronze</w:t>
            </w:r>
          </w:p>
        </w:tc>
      </w:tr>
      <w:tr>
        <w:trPr>
          <w:cantSplit/>
        </w:trPr>
        <w:tc>
          <w:tcPr>
            <w:tcW w:type="dxa" w:w="1047"/>
            <w:shd w:val="clear" w:color="auto" w:fill="F7F4EE"/>
            <w:vAlign w:val="top"/>
          </w:tcPr>
          <w:p>
            <w:pPr>
              <w:spacing w:after="0" w:line="240" w:lineRule="auto"/>
            </w:pPr>
            <w:r>
              <w:rPr>
                <w:color w:val="2B2F36"/>
                <w:sz w:val="17"/>
              </w:rPr>
              <w:t>CC495K</w:t>
            </w:r>
          </w:p>
        </w:tc>
        <w:tc>
          <w:tcPr>
            <w:tcW w:type="dxa" w:w="1767"/>
            <w:shd w:val="clear" w:color="auto" w:fill="F7F4EE"/>
            <w:vAlign w:val="top"/>
          </w:tcPr>
          <w:p>
            <w:pPr>
              <w:spacing w:after="0" w:line="240" w:lineRule="auto"/>
            </w:pPr>
            <w:r>
              <w:rPr>
                <w:color w:val="2B2F36"/>
                <w:sz w:val="17"/>
              </w:rPr>
              <w:t>CuSn10Pb10-C</w:t>
            </w:r>
          </w:p>
        </w:tc>
        <w:tc>
          <w:tcPr>
            <w:tcW w:type="dxa" w:w="785"/>
            <w:shd w:val="clear" w:color="auto" w:fill="F7F4EE"/>
            <w:vAlign w:val="top"/>
          </w:tcPr>
          <w:p>
            <w:pPr>
              <w:spacing w:after="0" w:line="240" w:lineRule="auto"/>
            </w:pPr>
            <w:r>
              <w:rPr>
                <w:color w:val="2B2F36"/>
                <w:sz w:val="17"/>
              </w:rPr>
              <w:t>LB2</w:t>
            </w:r>
          </w:p>
        </w:tc>
        <w:tc>
          <w:tcPr>
            <w:tcW w:type="dxa" w:w="982"/>
            <w:shd w:val="clear" w:color="auto" w:fill="F7F4EE"/>
            <w:vAlign w:val="top"/>
          </w:tcPr>
          <w:p>
            <w:pPr>
              <w:spacing w:after="0" w:line="240" w:lineRule="auto"/>
              <w:jc w:val="center"/>
            </w:pPr>
            <w:r>
              <w:rPr>
                <w:color w:val="2B2F36"/>
                <w:sz w:val="17"/>
              </w:rPr>
              <w:t>78–82</w:t>
            </w:r>
          </w:p>
        </w:tc>
        <w:tc>
          <w:tcPr>
            <w:tcW w:type="dxa" w:w="916"/>
            <w:shd w:val="clear" w:color="auto" w:fill="F7F4EE"/>
            <w:vAlign w:val="top"/>
          </w:tcPr>
          <w:p>
            <w:pPr>
              <w:spacing w:after="0" w:line="240" w:lineRule="auto"/>
              <w:jc w:val="center"/>
            </w:pPr>
            <w:r>
              <w:rPr>
                <w:color w:val="2B2F36"/>
                <w:sz w:val="17"/>
              </w:rPr>
              <w:t>9–11</w:t>
            </w:r>
          </w:p>
        </w:tc>
        <w:tc>
          <w:tcPr>
            <w:tcW w:type="dxa" w:w="916"/>
            <w:shd w:val="clear" w:color="auto" w:fill="F7F4EE"/>
            <w:vAlign w:val="top"/>
          </w:tcPr>
          <w:p>
            <w:pPr>
              <w:spacing w:after="0" w:line="240" w:lineRule="auto"/>
              <w:jc w:val="center"/>
            </w:pPr>
            <w:r>
              <w:rPr>
                <w:color w:val="2B2F36"/>
                <w:sz w:val="17"/>
              </w:rPr>
              <w:t>8–11</w:t>
            </w:r>
          </w:p>
        </w:tc>
        <w:tc>
          <w:tcPr>
            <w:tcW w:type="dxa" w:w="916"/>
            <w:shd w:val="clear" w:color="auto" w:fill="F7F4EE"/>
            <w:vAlign w:val="top"/>
          </w:tcPr>
          <w:p>
            <w:pPr>
              <w:spacing w:after="0" w:line="240" w:lineRule="auto"/>
              <w:jc w:val="center"/>
            </w:pPr>
            <w:r>
              <w:rPr>
                <w:color w:val="2B2F36"/>
                <w:sz w:val="17"/>
              </w:rPr>
              <w:t>≤ 2</w:t>
            </w:r>
          </w:p>
        </w:tc>
        <w:tc>
          <w:tcPr>
            <w:tcW w:type="dxa" w:w="851"/>
            <w:shd w:val="clear" w:color="auto" w:fill="F7F4EE"/>
            <w:vAlign w:val="top"/>
          </w:tcPr>
          <w:p>
            <w:pPr>
              <w:spacing w:after="0" w:line="240" w:lineRule="auto"/>
              <w:jc w:val="center"/>
            </w:pPr>
            <w:r>
              <w:rPr>
                <w:color w:val="2B2F36"/>
                <w:sz w:val="17"/>
              </w:rPr>
              <w:t>2.0</w:t>
            </w:r>
          </w:p>
        </w:tc>
        <w:tc>
          <w:tcPr>
            <w:tcW w:type="dxa" w:w="1571"/>
            <w:shd w:val="clear" w:color="auto" w:fill="F7F4EE"/>
            <w:vAlign w:val="top"/>
          </w:tcPr>
          <w:p>
            <w:pPr>
              <w:spacing w:after="0" w:line="240" w:lineRule="auto"/>
            </w:pPr>
            <w:r>
              <w:rPr>
                <w:color w:val="2B2F36"/>
                <w:sz w:val="17"/>
              </w:rPr>
              <w:t>Bearing bronze</w:t>
            </w:r>
          </w:p>
        </w:tc>
      </w:tr>
    </w:tbl>
    <w:p>
      <w:pPr>
        <w:spacing w:after="40"/>
      </w:pPr>
    </w:p>
    <w:p>
      <w:r>
        <w:rPr>
          <w:sz w:val="19"/>
        </w:rPr>
        <w:t xml:space="preserve">Checked against the Viiplus reproduction of EN 1982: all six grades match. Copper is the balance. </w:t>
      </w:r>
      <w:r>
        <w:rPr>
          <w:b/>
          <w:sz w:val="19"/>
        </w:rPr>
        <w:t>Zinc across the gunmetals runs 1.5–9.5 %</w:t>
      </w:r>
      <w:r>
        <w:rPr>
          <w:sz w:val="19"/>
        </w:rPr>
        <w:t xml:space="preserve"> (CC492K goes down to 1.5 %; Rev 5 wrongly said 2 %). Further limits apply to Fe (0.2–0.5 % max), P (0.05–0.10 % max) and Sb, S, Al, Si; check them before certifying.</w:t>
      </w:r>
    </w:p>
    <w:p>
      <w:pPr>
        <w:keepNext/>
        <w:spacing w:after="40"/>
        <w:jc w:val="center"/>
      </w:pPr>
      <w:r>
        <w:drawing>
          <wp:inline xmlns:a="http://schemas.openxmlformats.org/drawingml/2006/main" xmlns:pic="http://schemas.openxmlformats.org/drawingml/2006/picture">
            <wp:extent cx="6192000" cy="2919315"/>
            <wp:docPr id="2" name="Picture 2"/>
            <wp:cNvGraphicFramePr>
              <a:graphicFrameLocks noChangeAspect="1"/>
            </wp:cNvGraphicFramePr>
            <a:graphic>
              <a:graphicData uri="http://schemas.openxmlformats.org/drawingml/2006/picture">
                <pic:pic>
                  <pic:nvPicPr>
                    <pic:cNvPr id="0" name="c01.png"/>
                    <pic:cNvPicPr/>
                  </pic:nvPicPr>
                  <pic:blipFill>
                    <a:blip r:embed="rId12"/>
                    <a:stretch>
                      <a:fillRect/>
                    </a:stretch>
                  </pic:blipFill>
                  <pic:spPr>
                    <a:xfrm>
                      <a:off x="0" y="0"/>
                      <a:ext cx="6192000" cy="2919315"/>
                    </a:xfrm>
                    <a:prstGeom prst="rect"/>
                  </pic:spPr>
                </pic:pic>
              </a:graphicData>
            </a:graphic>
          </wp:inline>
        </w:drawing>
      </w:r>
    </w:p>
    <w:p>
      <w:pPr>
        <w:spacing w:after="160"/>
      </w:pPr>
      <w:r>
        <w:rPr>
          <w:b/>
          <w:color w:val="5B6470"/>
          <w:sz w:val="17"/>
        </w:rPr>
        <w:t>Figure 2.</w:t>
      </w:r>
      <w:r>
        <w:rPr>
          <w:color w:val="5B6470"/>
          <w:sz w:val="17"/>
        </w:rPr>
        <w:t xml:space="preserve"> Nominal (mid-range) composition, normalised to 100 %. </w:t>
      </w:r>
      <w:r>
        <w:rPr>
          <w:b/>
          <w:color w:val="5B6470"/>
          <w:sz w:val="17"/>
        </w:rPr>
        <w:t>CC492K is 88-7-3-2 everywhere in this report</w:t>
      </w:r>
      <w:r>
        <w:rPr>
          <w:color w:val="5B6470"/>
          <w:sz w:val="17"/>
        </w:rPr>
        <w:t xml:space="preserve"> (Rev 5 showed 87-7-3-3 in one heading and 88-7-3-2 in the price model).</w:t>
      </w:r>
    </w:p>
    <w:p>
      <w:pPr>
        <w:keepNext/>
        <w:spacing w:after="40"/>
        <w:jc w:val="center"/>
      </w:pPr>
      <w:r>
        <w:drawing>
          <wp:inline xmlns:a="http://schemas.openxmlformats.org/drawingml/2006/main" xmlns:pic="http://schemas.openxmlformats.org/drawingml/2006/picture">
            <wp:extent cx="6192000" cy="2613836"/>
            <wp:docPr id="3" name="Picture 3"/>
            <wp:cNvGraphicFramePr>
              <a:graphicFrameLocks noChangeAspect="1"/>
            </wp:cNvGraphicFramePr>
            <a:graphic>
              <a:graphicData uri="http://schemas.openxmlformats.org/drawingml/2006/picture">
                <pic:pic>
                  <pic:nvPicPr>
                    <pic:cNvPr id="0" name="c02.png"/>
                    <pic:cNvPicPr/>
                  </pic:nvPicPr>
                  <pic:blipFill>
                    <a:blip r:embed="rId13"/>
                    <a:stretch>
                      <a:fillRect/>
                    </a:stretch>
                  </pic:blipFill>
                  <pic:spPr>
                    <a:xfrm>
                      <a:off x="0" y="0"/>
                      <a:ext cx="6192000" cy="2613836"/>
                    </a:xfrm>
                    <a:prstGeom prst="rect"/>
                  </pic:spPr>
                </pic:pic>
              </a:graphicData>
            </a:graphic>
          </wp:inline>
        </w:drawing>
      </w:r>
    </w:p>
    <w:p>
      <w:pPr>
        <w:spacing w:after="160"/>
      </w:pPr>
      <w:r>
        <w:rPr>
          <w:b/>
          <w:color w:val="5B6470"/>
          <w:sz w:val="17"/>
        </w:rPr>
        <w:t>Figure 3.</w:t>
      </w:r>
      <w:r>
        <w:rPr>
          <w:color w:val="5B6470"/>
          <w:sz w:val="17"/>
        </w:rPr>
        <w:t xml:space="preserve"> Each bar spans the EN 1982 min–max; the dot is the nominal value used in all calculations. Lead never exceeds 11 %; tin peaks at 9–11 % in CC495K.</w:t>
      </w:r>
    </w:p>
    <w:p>
      <w:pPr>
        <w:pStyle w:val="Heading2"/>
      </w:pPr>
      <w:r>
        <w:t>2.2 EN, UNS and IS 318 cross-reference</w:t>
      </w:r>
    </w:p>
    <w:p>
      <w:r>
        <w:t>US buyers and Indian exporters working to ASTM (B584 sand, B505 continuous, B271 centrifugal) specify by UNS number. Indian buyers specify IS 318 leaded tin bronze grades (LTB). The table maps each EN grade to its nearest UNS alloy and, where verified, to IS 318.</w:t>
      </w:r>
    </w:p>
    <w:p>
      <w:pPr>
        <w:keepNext/>
        <w:spacing w:after="40"/>
      </w:pPr>
      <w:r>
        <w:rPr>
          <w:b/>
          <w:color w:val="5B6470"/>
          <w:sz w:val="18"/>
        </w:rPr>
        <w:t>Table 4.</w:t>
      </w:r>
      <w:r>
        <w:rPr>
          <w:color w:val="5B6470"/>
          <w:sz w:val="18"/>
        </w:rPr>
        <w:t xml:space="preserve"> Cross-reference</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907"/>
        <w:gridCol w:w="907"/>
        <w:gridCol w:w="1134"/>
        <w:gridCol w:w="2154"/>
        <w:gridCol w:w="2041"/>
        <w:gridCol w:w="2608"/>
      </w:tblGrid>
      <w:tr>
        <w:trPr>
          <w:cantSplit/>
          <w:tblHeader/>
        </w:trPr>
        <w:tc>
          <w:tcPr>
            <w:tcW w:type="dxa" w:w="907"/>
            <w:shd w:val="clear" w:color="auto" w:fill="1F4E79"/>
            <w:vAlign w:val="center"/>
          </w:tcPr>
          <w:p>
            <w:pPr>
              <w:spacing w:after="0" w:line="240" w:lineRule="auto"/>
            </w:pPr>
            <w:r>
              <w:rPr>
                <w:b/>
                <w:color w:val="FFFFFF"/>
                <w:sz w:val="16"/>
              </w:rPr>
              <w:t>EN number</w:t>
            </w:r>
          </w:p>
        </w:tc>
        <w:tc>
          <w:tcPr>
            <w:tcW w:type="dxa" w:w="907"/>
            <w:shd w:val="clear" w:color="auto" w:fill="1F4E79"/>
            <w:vAlign w:val="center"/>
          </w:tcPr>
          <w:p>
            <w:pPr>
              <w:spacing w:after="0" w:line="240" w:lineRule="auto"/>
            </w:pPr>
            <w:r>
              <w:rPr>
                <w:b/>
                <w:color w:val="FFFFFF"/>
                <w:sz w:val="16"/>
              </w:rPr>
              <w:t>BS / DIN name</w:t>
            </w:r>
          </w:p>
        </w:tc>
        <w:tc>
          <w:tcPr>
            <w:tcW w:type="dxa" w:w="1134"/>
            <w:shd w:val="clear" w:color="auto" w:fill="1F4E79"/>
            <w:vAlign w:val="center"/>
          </w:tcPr>
          <w:p>
            <w:pPr>
              <w:spacing w:after="0" w:line="240" w:lineRule="auto"/>
            </w:pPr>
            <w:r>
              <w:rPr>
                <w:b/>
                <w:color w:val="FFFFFF"/>
                <w:sz w:val="16"/>
              </w:rPr>
              <w:t>Nearest UNS</w:t>
            </w:r>
          </w:p>
        </w:tc>
        <w:tc>
          <w:tcPr>
            <w:tcW w:type="dxa" w:w="2154"/>
            <w:shd w:val="clear" w:color="auto" w:fill="1F4E79"/>
            <w:vAlign w:val="center"/>
          </w:tcPr>
          <w:p>
            <w:pPr>
              <w:spacing w:after="0" w:line="240" w:lineRule="auto"/>
            </w:pPr>
            <w:r>
              <w:rPr>
                <w:b/>
                <w:color w:val="FFFFFF"/>
                <w:sz w:val="16"/>
              </w:rPr>
              <w:t>UNS composition / trade name</w:t>
            </w:r>
          </w:p>
        </w:tc>
        <w:tc>
          <w:tcPr>
            <w:tcW w:type="dxa" w:w="2041"/>
            <w:shd w:val="clear" w:color="auto" w:fill="1F4E79"/>
            <w:vAlign w:val="center"/>
          </w:tcPr>
          <w:p>
            <w:pPr>
              <w:spacing w:after="0" w:line="240" w:lineRule="auto"/>
            </w:pPr>
            <w:r>
              <w:rPr>
                <w:b/>
                <w:color w:val="FFFFFF"/>
                <w:sz w:val="16"/>
              </w:rPr>
              <w:t>How close</w:t>
            </w:r>
          </w:p>
        </w:tc>
        <w:tc>
          <w:tcPr>
            <w:tcW w:type="dxa" w:w="2608"/>
            <w:shd w:val="clear" w:color="auto" w:fill="1F4E79"/>
            <w:vAlign w:val="center"/>
          </w:tcPr>
          <w:p>
            <w:pPr>
              <w:spacing w:after="0" w:line="240" w:lineRule="auto"/>
            </w:pPr>
            <w:r>
              <w:rPr>
                <w:b/>
                <w:color w:val="FFFFFF"/>
                <w:sz w:val="16"/>
              </w:rPr>
              <w:t>IS 318</w:t>
            </w:r>
          </w:p>
        </w:tc>
      </w:tr>
      <w:tr>
        <w:trPr>
          <w:cantSplit/>
        </w:trPr>
        <w:tc>
          <w:tcPr>
            <w:tcW w:type="dxa" w:w="907"/>
            <w:vAlign w:val="top"/>
          </w:tcPr>
          <w:p>
            <w:pPr>
              <w:spacing w:after="0" w:line="240" w:lineRule="auto"/>
            </w:pPr>
            <w:r>
              <w:rPr>
                <w:color w:val="2B2F36"/>
                <w:sz w:val="16"/>
              </w:rPr>
              <w:t>CC490K</w:t>
            </w:r>
          </w:p>
        </w:tc>
        <w:tc>
          <w:tcPr>
            <w:tcW w:type="dxa" w:w="907"/>
            <w:vAlign w:val="top"/>
          </w:tcPr>
          <w:p>
            <w:pPr>
              <w:spacing w:after="0" w:line="240" w:lineRule="auto"/>
            </w:pPr>
            <w:r>
              <w:rPr>
                <w:color w:val="2B2F36"/>
                <w:sz w:val="16"/>
              </w:rPr>
              <w:t>LG1</w:t>
            </w:r>
          </w:p>
        </w:tc>
        <w:tc>
          <w:tcPr>
            <w:tcW w:type="dxa" w:w="1134"/>
            <w:vAlign w:val="top"/>
          </w:tcPr>
          <w:p>
            <w:pPr>
              <w:spacing w:after="0" w:line="240" w:lineRule="auto"/>
            </w:pPr>
            <w:r>
              <w:rPr>
                <w:color w:val="2B2F36"/>
                <w:sz w:val="16"/>
              </w:rPr>
              <w:t>C84400</w:t>
            </w:r>
          </w:p>
        </w:tc>
        <w:tc>
          <w:tcPr>
            <w:tcW w:type="dxa" w:w="2154"/>
            <w:vAlign w:val="top"/>
          </w:tcPr>
          <w:p>
            <w:pPr>
              <w:spacing w:after="0" w:line="240" w:lineRule="auto"/>
            </w:pPr>
            <w:r>
              <w:rPr>
                <w:color w:val="2B2F36"/>
                <w:sz w:val="16"/>
              </w:rPr>
              <w:t>81-3-7-9 “valve metal”</w:t>
            </w:r>
          </w:p>
        </w:tc>
        <w:tc>
          <w:tcPr>
            <w:tcW w:type="dxa" w:w="2041"/>
            <w:vAlign w:val="top"/>
          </w:tcPr>
          <w:p>
            <w:pPr>
              <w:spacing w:after="0" w:line="240" w:lineRule="auto"/>
            </w:pPr>
            <w:r>
              <w:rPr>
                <w:color w:val="2B2F36"/>
                <w:sz w:val="16"/>
              </w:rPr>
              <w:t>Close; UNS carries more lead (6–8 %)</w:t>
            </w:r>
          </w:p>
        </w:tc>
        <w:tc>
          <w:tcPr>
            <w:tcW w:type="dxa" w:w="2608"/>
            <w:vAlign w:val="top"/>
          </w:tcPr>
          <w:p>
            <w:pPr>
              <w:spacing w:after="0" w:line="240" w:lineRule="auto"/>
            </w:pPr>
            <w:r>
              <w:rPr>
                <w:color w:val="2B2F36"/>
                <w:sz w:val="16"/>
              </w:rPr>
              <w:t>Confirm vs IS 318 text</w:t>
            </w:r>
          </w:p>
        </w:tc>
      </w:tr>
      <w:tr>
        <w:trPr>
          <w:cantSplit/>
        </w:trPr>
        <w:tc>
          <w:tcPr>
            <w:tcW w:type="dxa" w:w="907"/>
            <w:shd w:val="clear" w:color="auto" w:fill="F7F4EE"/>
            <w:vAlign w:val="top"/>
          </w:tcPr>
          <w:p>
            <w:pPr>
              <w:spacing w:after="0" w:line="240" w:lineRule="auto"/>
            </w:pPr>
            <w:r>
              <w:rPr>
                <w:color w:val="2B2F36"/>
                <w:sz w:val="16"/>
              </w:rPr>
              <w:t>CC491K</w:t>
            </w:r>
          </w:p>
        </w:tc>
        <w:tc>
          <w:tcPr>
            <w:tcW w:type="dxa" w:w="907"/>
            <w:shd w:val="clear" w:color="auto" w:fill="F7F4EE"/>
            <w:vAlign w:val="top"/>
          </w:tcPr>
          <w:p>
            <w:pPr>
              <w:spacing w:after="0" w:line="240" w:lineRule="auto"/>
            </w:pPr>
            <w:r>
              <w:rPr>
                <w:color w:val="2B2F36"/>
                <w:sz w:val="16"/>
              </w:rPr>
              <w:t>LG2</w:t>
            </w:r>
          </w:p>
        </w:tc>
        <w:tc>
          <w:tcPr>
            <w:tcW w:type="dxa" w:w="1134"/>
            <w:shd w:val="clear" w:color="auto" w:fill="F7F4EE"/>
            <w:vAlign w:val="top"/>
          </w:tcPr>
          <w:p>
            <w:pPr>
              <w:spacing w:after="0" w:line="240" w:lineRule="auto"/>
            </w:pPr>
            <w:r>
              <w:rPr>
                <w:color w:val="2B2F36"/>
                <w:sz w:val="16"/>
              </w:rPr>
              <w:t>C83600</w:t>
            </w:r>
          </w:p>
        </w:tc>
        <w:tc>
          <w:tcPr>
            <w:tcW w:type="dxa" w:w="2154"/>
            <w:shd w:val="clear" w:color="auto" w:fill="F7F4EE"/>
            <w:vAlign w:val="top"/>
          </w:tcPr>
          <w:p>
            <w:pPr>
              <w:spacing w:after="0" w:line="240" w:lineRule="auto"/>
            </w:pPr>
            <w:r>
              <w:rPr>
                <w:color w:val="2B2F36"/>
                <w:sz w:val="16"/>
              </w:rPr>
              <w:t>85-5-5-5 “ounce metal”, SAE 40</w:t>
            </w:r>
          </w:p>
        </w:tc>
        <w:tc>
          <w:tcPr>
            <w:tcW w:type="dxa" w:w="2041"/>
            <w:shd w:val="clear" w:color="auto" w:fill="F7F4EE"/>
            <w:vAlign w:val="top"/>
          </w:tcPr>
          <w:p>
            <w:pPr>
              <w:spacing w:after="0" w:line="240" w:lineRule="auto"/>
            </w:pPr>
            <w:r>
              <w:rPr>
                <w:color w:val="2B2F36"/>
                <w:sz w:val="16"/>
              </w:rPr>
              <w:t>Equivalent</w:t>
            </w:r>
          </w:p>
        </w:tc>
        <w:tc>
          <w:tcPr>
            <w:tcW w:type="dxa" w:w="2608"/>
            <w:shd w:val="clear" w:color="auto" w:fill="F7F4EE"/>
            <w:vAlign w:val="top"/>
          </w:tcPr>
          <w:p>
            <w:pPr>
              <w:spacing w:after="0" w:line="240" w:lineRule="auto"/>
            </w:pPr>
            <w:r>
              <w:rPr>
                <w:b/>
                <w:color w:val="2B2F36"/>
                <w:sz w:val="16"/>
              </w:rPr>
              <w:t>LTB 2 (verified: LTB 2 = LG2 = 85-5-5-5)</w:t>
            </w:r>
          </w:p>
        </w:tc>
      </w:tr>
      <w:tr>
        <w:trPr>
          <w:cantSplit/>
        </w:trPr>
        <w:tc>
          <w:tcPr>
            <w:tcW w:type="dxa" w:w="907"/>
            <w:vAlign w:val="top"/>
          </w:tcPr>
          <w:p>
            <w:pPr>
              <w:spacing w:after="0" w:line="240" w:lineRule="auto"/>
            </w:pPr>
            <w:r>
              <w:rPr>
                <w:color w:val="2B2F36"/>
                <w:sz w:val="16"/>
              </w:rPr>
              <w:t>CC492K</w:t>
            </w:r>
          </w:p>
        </w:tc>
        <w:tc>
          <w:tcPr>
            <w:tcW w:type="dxa" w:w="907"/>
            <w:vAlign w:val="top"/>
          </w:tcPr>
          <w:p>
            <w:pPr>
              <w:spacing w:after="0" w:line="240" w:lineRule="auto"/>
            </w:pPr>
            <w:r>
              <w:rPr>
                <w:color w:val="2B2F36"/>
                <w:sz w:val="16"/>
              </w:rPr>
              <w:t>LG4</w:t>
            </w:r>
          </w:p>
        </w:tc>
        <w:tc>
          <w:tcPr>
            <w:tcW w:type="dxa" w:w="1134"/>
            <w:vAlign w:val="top"/>
          </w:tcPr>
          <w:p>
            <w:pPr>
              <w:spacing w:after="0" w:line="240" w:lineRule="auto"/>
            </w:pPr>
            <w:r>
              <w:rPr>
                <w:color w:val="2B2F36"/>
                <w:sz w:val="16"/>
              </w:rPr>
              <w:t>C92200 (nearest)</w:t>
            </w:r>
          </w:p>
        </w:tc>
        <w:tc>
          <w:tcPr>
            <w:tcW w:type="dxa" w:w="2154"/>
            <w:vAlign w:val="top"/>
          </w:tcPr>
          <w:p>
            <w:pPr>
              <w:spacing w:after="0" w:line="240" w:lineRule="auto"/>
            </w:pPr>
            <w:r>
              <w:rPr>
                <w:color w:val="2B2F36"/>
                <w:sz w:val="16"/>
              </w:rPr>
              <w:t>88-6-1.5-4.5 “Navy M”</w:t>
            </w:r>
          </w:p>
        </w:tc>
        <w:tc>
          <w:tcPr>
            <w:tcW w:type="dxa" w:w="2041"/>
            <w:vAlign w:val="top"/>
          </w:tcPr>
          <w:p>
            <w:pPr>
              <w:spacing w:after="0" w:line="240" w:lineRule="auto"/>
            </w:pPr>
            <w:r>
              <w:rPr>
                <w:color w:val="2B2F36"/>
                <w:sz w:val="16"/>
              </w:rPr>
              <w:t>Approximate; CC492K has more tin and lead</w:t>
            </w:r>
          </w:p>
        </w:tc>
        <w:tc>
          <w:tcPr>
            <w:tcW w:type="dxa" w:w="2608"/>
            <w:vAlign w:val="top"/>
          </w:tcPr>
          <w:p>
            <w:pPr>
              <w:spacing w:after="0" w:line="240" w:lineRule="auto"/>
            </w:pPr>
            <w:r>
              <w:rPr>
                <w:color w:val="2B2F36"/>
                <w:sz w:val="16"/>
              </w:rPr>
              <w:t>Confirm vs IS 318 text</w:t>
            </w:r>
          </w:p>
        </w:tc>
      </w:tr>
      <w:tr>
        <w:trPr>
          <w:cantSplit/>
        </w:trPr>
        <w:tc>
          <w:tcPr>
            <w:tcW w:type="dxa" w:w="907"/>
            <w:shd w:val="clear" w:color="auto" w:fill="F7F4EE"/>
            <w:vAlign w:val="top"/>
          </w:tcPr>
          <w:p>
            <w:pPr>
              <w:spacing w:after="0" w:line="240" w:lineRule="auto"/>
            </w:pPr>
            <w:r>
              <w:rPr>
                <w:color w:val="2B2F36"/>
                <w:sz w:val="16"/>
              </w:rPr>
              <w:t>CC493K</w:t>
            </w:r>
          </w:p>
        </w:tc>
        <w:tc>
          <w:tcPr>
            <w:tcW w:type="dxa" w:w="907"/>
            <w:shd w:val="clear" w:color="auto" w:fill="F7F4EE"/>
            <w:vAlign w:val="top"/>
          </w:tcPr>
          <w:p>
            <w:pPr>
              <w:spacing w:after="0" w:line="240" w:lineRule="auto"/>
            </w:pPr>
            <w:r>
              <w:rPr>
                <w:color w:val="2B2F36"/>
                <w:sz w:val="16"/>
              </w:rPr>
              <w:t>Rg7</w:t>
            </w:r>
          </w:p>
        </w:tc>
        <w:tc>
          <w:tcPr>
            <w:tcW w:type="dxa" w:w="1134"/>
            <w:shd w:val="clear" w:color="auto" w:fill="F7F4EE"/>
            <w:vAlign w:val="top"/>
          </w:tcPr>
          <w:p>
            <w:pPr>
              <w:spacing w:after="0" w:line="240" w:lineRule="auto"/>
            </w:pPr>
            <w:r>
              <w:rPr>
                <w:color w:val="2B2F36"/>
                <w:sz w:val="16"/>
              </w:rPr>
              <w:t>C93200</w:t>
            </w:r>
          </w:p>
        </w:tc>
        <w:tc>
          <w:tcPr>
            <w:tcW w:type="dxa" w:w="2154"/>
            <w:shd w:val="clear" w:color="auto" w:fill="F7F4EE"/>
            <w:vAlign w:val="top"/>
          </w:tcPr>
          <w:p>
            <w:pPr>
              <w:spacing w:after="0" w:line="240" w:lineRule="auto"/>
            </w:pPr>
            <w:r>
              <w:rPr>
                <w:color w:val="2B2F36"/>
                <w:sz w:val="16"/>
              </w:rPr>
              <w:t>83-7-7-3, SAE 660</w:t>
            </w:r>
          </w:p>
        </w:tc>
        <w:tc>
          <w:tcPr>
            <w:tcW w:type="dxa" w:w="2041"/>
            <w:shd w:val="clear" w:color="auto" w:fill="F7F4EE"/>
            <w:vAlign w:val="top"/>
          </w:tcPr>
          <w:p>
            <w:pPr>
              <w:spacing w:after="0" w:line="240" w:lineRule="auto"/>
            </w:pPr>
            <w:r>
              <w:rPr>
                <w:color w:val="2B2F36"/>
                <w:sz w:val="16"/>
              </w:rPr>
              <w:t>Near-equivalent</w:t>
            </w:r>
          </w:p>
        </w:tc>
        <w:tc>
          <w:tcPr>
            <w:tcW w:type="dxa" w:w="2608"/>
            <w:shd w:val="clear" w:color="auto" w:fill="F7F4EE"/>
            <w:vAlign w:val="top"/>
          </w:tcPr>
          <w:p>
            <w:pPr>
              <w:spacing w:after="0" w:line="240" w:lineRule="auto"/>
            </w:pPr>
            <w:r>
              <w:rPr>
                <w:color w:val="2B2F36"/>
                <w:sz w:val="16"/>
              </w:rPr>
              <w:t>Confirm vs IS 318 text</w:t>
            </w:r>
          </w:p>
        </w:tc>
      </w:tr>
      <w:tr>
        <w:trPr>
          <w:cantSplit/>
        </w:trPr>
        <w:tc>
          <w:tcPr>
            <w:tcW w:type="dxa" w:w="907"/>
            <w:vAlign w:val="top"/>
          </w:tcPr>
          <w:p>
            <w:pPr>
              <w:spacing w:after="0" w:line="240" w:lineRule="auto"/>
            </w:pPr>
            <w:r>
              <w:rPr>
                <w:color w:val="2B2F36"/>
                <w:sz w:val="16"/>
              </w:rPr>
              <w:t>CC494K</w:t>
            </w:r>
          </w:p>
        </w:tc>
        <w:tc>
          <w:tcPr>
            <w:tcW w:type="dxa" w:w="907"/>
            <w:vAlign w:val="top"/>
          </w:tcPr>
          <w:p>
            <w:pPr>
              <w:spacing w:after="0" w:line="240" w:lineRule="auto"/>
            </w:pPr>
            <w:r>
              <w:rPr>
                <w:color w:val="2B2F36"/>
                <w:sz w:val="16"/>
              </w:rPr>
              <w:t>LB4</w:t>
            </w:r>
          </w:p>
        </w:tc>
        <w:tc>
          <w:tcPr>
            <w:tcW w:type="dxa" w:w="1134"/>
            <w:vAlign w:val="top"/>
          </w:tcPr>
          <w:p>
            <w:pPr>
              <w:spacing w:after="0" w:line="240" w:lineRule="auto"/>
            </w:pPr>
            <w:r>
              <w:rPr>
                <w:color w:val="2B2F36"/>
                <w:sz w:val="16"/>
              </w:rPr>
              <w:t>C93500</w:t>
            </w:r>
          </w:p>
        </w:tc>
        <w:tc>
          <w:tcPr>
            <w:tcW w:type="dxa" w:w="2154"/>
            <w:vAlign w:val="top"/>
          </w:tcPr>
          <w:p>
            <w:pPr>
              <w:spacing w:after="0" w:line="240" w:lineRule="auto"/>
            </w:pPr>
            <w:r>
              <w:rPr>
                <w:color w:val="2B2F36"/>
                <w:sz w:val="16"/>
              </w:rPr>
              <w:t>85-5-9-1, SAE 66</w:t>
            </w:r>
          </w:p>
        </w:tc>
        <w:tc>
          <w:tcPr>
            <w:tcW w:type="dxa" w:w="2041"/>
            <w:vAlign w:val="top"/>
          </w:tcPr>
          <w:p>
            <w:pPr>
              <w:spacing w:after="0" w:line="240" w:lineRule="auto"/>
            </w:pPr>
            <w:r>
              <w:rPr>
                <w:color w:val="2B2F36"/>
                <w:sz w:val="16"/>
              </w:rPr>
              <w:t>Near-equivalent</w:t>
            </w:r>
          </w:p>
        </w:tc>
        <w:tc>
          <w:tcPr>
            <w:tcW w:type="dxa" w:w="2608"/>
            <w:vAlign w:val="top"/>
          </w:tcPr>
          <w:p>
            <w:pPr>
              <w:spacing w:after="0" w:line="240" w:lineRule="auto"/>
            </w:pPr>
            <w:r>
              <w:rPr>
                <w:color w:val="2B2F36"/>
                <w:sz w:val="16"/>
              </w:rPr>
              <w:t>Confirm vs IS 318 text</w:t>
            </w:r>
          </w:p>
        </w:tc>
      </w:tr>
      <w:tr>
        <w:trPr>
          <w:cantSplit/>
        </w:trPr>
        <w:tc>
          <w:tcPr>
            <w:tcW w:type="dxa" w:w="907"/>
            <w:shd w:val="clear" w:color="auto" w:fill="F7F4EE"/>
            <w:vAlign w:val="top"/>
          </w:tcPr>
          <w:p>
            <w:pPr>
              <w:spacing w:after="0" w:line="240" w:lineRule="auto"/>
            </w:pPr>
            <w:r>
              <w:rPr>
                <w:color w:val="2B2F36"/>
                <w:sz w:val="16"/>
              </w:rPr>
              <w:t>CC495K</w:t>
            </w:r>
          </w:p>
        </w:tc>
        <w:tc>
          <w:tcPr>
            <w:tcW w:type="dxa" w:w="907"/>
            <w:shd w:val="clear" w:color="auto" w:fill="F7F4EE"/>
            <w:vAlign w:val="top"/>
          </w:tcPr>
          <w:p>
            <w:pPr>
              <w:spacing w:after="0" w:line="240" w:lineRule="auto"/>
            </w:pPr>
            <w:r>
              <w:rPr>
                <w:color w:val="2B2F36"/>
                <w:sz w:val="16"/>
              </w:rPr>
              <w:t>LB2</w:t>
            </w:r>
          </w:p>
        </w:tc>
        <w:tc>
          <w:tcPr>
            <w:tcW w:type="dxa" w:w="1134"/>
            <w:shd w:val="clear" w:color="auto" w:fill="F7F4EE"/>
            <w:vAlign w:val="top"/>
          </w:tcPr>
          <w:p>
            <w:pPr>
              <w:spacing w:after="0" w:line="240" w:lineRule="auto"/>
            </w:pPr>
            <w:r>
              <w:rPr>
                <w:color w:val="2B2F36"/>
                <w:sz w:val="16"/>
              </w:rPr>
              <w:t>C93700</w:t>
            </w:r>
          </w:p>
        </w:tc>
        <w:tc>
          <w:tcPr>
            <w:tcW w:type="dxa" w:w="2154"/>
            <w:shd w:val="clear" w:color="auto" w:fill="F7F4EE"/>
            <w:vAlign w:val="top"/>
          </w:tcPr>
          <w:p>
            <w:pPr>
              <w:spacing w:after="0" w:line="240" w:lineRule="auto"/>
            </w:pPr>
            <w:r>
              <w:rPr>
                <w:color w:val="2B2F36"/>
                <w:sz w:val="16"/>
              </w:rPr>
              <w:t>80-10-10, SAE 64</w:t>
            </w:r>
          </w:p>
        </w:tc>
        <w:tc>
          <w:tcPr>
            <w:tcW w:type="dxa" w:w="2041"/>
            <w:shd w:val="clear" w:color="auto" w:fill="F7F4EE"/>
            <w:vAlign w:val="top"/>
          </w:tcPr>
          <w:p>
            <w:pPr>
              <w:spacing w:after="0" w:line="240" w:lineRule="auto"/>
            </w:pPr>
            <w:r>
              <w:rPr>
                <w:color w:val="2B2F36"/>
                <w:sz w:val="16"/>
              </w:rPr>
              <w:t>Equivalent</w:t>
            </w:r>
          </w:p>
        </w:tc>
        <w:tc>
          <w:tcPr>
            <w:tcW w:type="dxa" w:w="2608"/>
            <w:shd w:val="clear" w:color="auto" w:fill="F7F4EE"/>
            <w:vAlign w:val="top"/>
          </w:tcPr>
          <w:p>
            <w:pPr>
              <w:spacing w:after="0" w:line="240" w:lineRule="auto"/>
            </w:pPr>
            <w:r>
              <w:rPr>
                <w:color w:val="2B2F36"/>
                <w:sz w:val="16"/>
              </w:rPr>
              <w:t>Confirm vs IS 318 text</w:t>
            </w:r>
          </w:p>
        </w:tc>
      </w:tr>
    </w:tbl>
    <w:p>
      <w:pPr>
        <w:spacing w:after="40"/>
      </w:pPr>
    </w:p>
    <w:p>
      <w:r>
        <w:rPr>
          <w:sz w:val="19"/>
        </w:rPr>
        <w:t>Only LTB 2 ↔ CC491K could be verified from public sources in this revision. Rev 5 implied other IS 318 matches without a source; those are now marked “confirm”. A UNS or IS number is a cross-reference, not a certificate: certify each heat against the standard named on the order.</w:t>
      </w:r>
    </w:p>
    <w:p>
      <w:pPr>
        <w:pStyle w:val="Heading2"/>
      </w:pPr>
      <w:r>
        <w:t>2.3 Role of each element</w:t>
      </w:r>
    </w:p>
    <w:p>
      <w:pPr>
        <w:keepNext/>
        <w:spacing w:after="40"/>
      </w:pPr>
      <w:r>
        <w:rPr>
          <w:b/>
          <w:color w:val="5B6470"/>
          <w:sz w:val="18"/>
        </w:rPr>
        <w:t>Table 5.</w:t>
      </w:r>
      <w:r>
        <w:rPr>
          <w:color w:val="5B6470"/>
          <w:sz w:val="18"/>
        </w:rPr>
        <w:t xml:space="preserve"> Typical (nominal) contents and roles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134"/>
        <w:gridCol w:w="1247"/>
        <w:gridCol w:w="1361"/>
        <w:gridCol w:w="6009"/>
      </w:tblGrid>
      <w:tr>
        <w:trPr>
          <w:cantSplit/>
          <w:tblHeader/>
        </w:trPr>
        <w:tc>
          <w:tcPr>
            <w:tcW w:type="dxa" w:w="1134"/>
            <w:shd w:val="clear" w:color="auto" w:fill="1F4E79"/>
            <w:vAlign w:val="center"/>
          </w:tcPr>
          <w:p>
            <w:pPr>
              <w:spacing w:after="0" w:line="240" w:lineRule="auto"/>
            </w:pPr>
            <w:r>
              <w:rPr>
                <w:b/>
                <w:color w:val="FFFFFF"/>
                <w:sz w:val="17"/>
              </w:rPr>
              <w:t>Element</w:t>
            </w:r>
          </w:p>
        </w:tc>
        <w:tc>
          <w:tcPr>
            <w:tcW w:type="dxa" w:w="1247"/>
            <w:shd w:val="clear" w:color="auto" w:fill="1F4E79"/>
            <w:vAlign w:val="center"/>
          </w:tcPr>
          <w:p>
            <w:pPr>
              <w:spacing w:after="0" w:line="240" w:lineRule="auto"/>
            </w:pPr>
            <w:r>
              <w:rPr>
                <w:b/>
                <w:color w:val="FFFFFF"/>
                <w:sz w:val="17"/>
              </w:rPr>
              <w:t>Gunmetals</w:t>
            </w:r>
          </w:p>
        </w:tc>
        <w:tc>
          <w:tcPr>
            <w:tcW w:type="dxa" w:w="1361"/>
            <w:shd w:val="clear" w:color="auto" w:fill="1F4E79"/>
            <w:vAlign w:val="center"/>
          </w:tcPr>
          <w:p>
            <w:pPr>
              <w:spacing w:after="0" w:line="240" w:lineRule="auto"/>
            </w:pPr>
            <w:r>
              <w:rPr>
                <w:b/>
                <w:color w:val="FFFFFF"/>
                <w:sz w:val="17"/>
              </w:rPr>
              <w:t>Bearing bronzes</w:t>
            </w:r>
          </w:p>
        </w:tc>
        <w:tc>
          <w:tcPr>
            <w:tcW w:type="dxa" w:w="6009"/>
            <w:shd w:val="clear" w:color="auto" w:fill="1F4E79"/>
            <w:vAlign w:val="center"/>
          </w:tcPr>
          <w:p>
            <w:pPr>
              <w:spacing w:after="0" w:line="240" w:lineRule="auto"/>
            </w:pPr>
            <w:r>
              <w:rPr>
                <w:b/>
                <w:color w:val="FFFFFF"/>
                <w:sz w:val="17"/>
              </w:rPr>
              <w:t>Role</w:t>
            </w:r>
          </w:p>
        </w:tc>
      </w:tr>
      <w:tr>
        <w:trPr>
          <w:cantSplit/>
        </w:trPr>
        <w:tc>
          <w:tcPr>
            <w:tcW w:type="dxa" w:w="1134"/>
            <w:vAlign w:val="top"/>
          </w:tcPr>
          <w:p>
            <w:pPr>
              <w:spacing w:after="0" w:line="240" w:lineRule="auto"/>
            </w:pPr>
            <w:r>
              <w:rPr>
                <w:color w:val="2B2F36"/>
                <w:sz w:val="17"/>
              </w:rPr>
              <w:t>Copper</w:t>
            </w:r>
          </w:p>
        </w:tc>
        <w:tc>
          <w:tcPr>
            <w:tcW w:type="dxa" w:w="1247"/>
            <w:vAlign w:val="top"/>
          </w:tcPr>
          <w:p>
            <w:pPr>
              <w:spacing w:after="0" w:line="240" w:lineRule="auto"/>
            </w:pPr>
            <w:r>
              <w:rPr>
                <w:color w:val="2B2F36"/>
                <w:sz w:val="17"/>
              </w:rPr>
              <w:t>83–88 %</w:t>
            </w:r>
          </w:p>
        </w:tc>
        <w:tc>
          <w:tcPr>
            <w:tcW w:type="dxa" w:w="1361"/>
            <w:vAlign w:val="top"/>
          </w:tcPr>
          <w:p>
            <w:pPr>
              <w:spacing w:after="0" w:line="240" w:lineRule="auto"/>
            </w:pPr>
            <w:r>
              <w:rPr>
                <w:color w:val="2B2F36"/>
                <w:sz w:val="17"/>
              </w:rPr>
              <w:t>80–85 %</w:t>
            </w:r>
          </w:p>
        </w:tc>
        <w:tc>
          <w:tcPr>
            <w:tcW w:type="dxa" w:w="6009"/>
            <w:vAlign w:val="top"/>
          </w:tcPr>
          <w:p>
            <w:pPr>
              <w:spacing w:after="0" w:line="240" w:lineRule="auto"/>
            </w:pPr>
            <w:r>
              <w:rPr>
                <w:color w:val="2B2F36"/>
                <w:sz w:val="17"/>
              </w:rPr>
              <w:t>The base metal; corrosion resistance and heat conduction. Biggest cost item in every grade: 67–86 % of metal value.</w:t>
            </w:r>
          </w:p>
        </w:tc>
      </w:tr>
      <w:tr>
        <w:trPr>
          <w:cantSplit/>
        </w:trPr>
        <w:tc>
          <w:tcPr>
            <w:tcW w:type="dxa" w:w="1134"/>
            <w:shd w:val="clear" w:color="auto" w:fill="F7F4EE"/>
            <w:vAlign w:val="top"/>
          </w:tcPr>
          <w:p>
            <w:pPr>
              <w:spacing w:after="0" w:line="240" w:lineRule="auto"/>
            </w:pPr>
            <w:r>
              <w:rPr>
                <w:color w:val="2B2F36"/>
                <w:sz w:val="17"/>
              </w:rPr>
              <w:t>Tin</w:t>
            </w:r>
          </w:p>
        </w:tc>
        <w:tc>
          <w:tcPr>
            <w:tcW w:type="dxa" w:w="1247"/>
            <w:shd w:val="clear" w:color="auto" w:fill="F7F4EE"/>
            <w:vAlign w:val="top"/>
          </w:tcPr>
          <w:p>
            <w:pPr>
              <w:spacing w:after="0" w:line="240" w:lineRule="auto"/>
            </w:pPr>
            <w:r>
              <w:rPr>
                <w:color w:val="2B2F36"/>
                <w:sz w:val="17"/>
              </w:rPr>
              <w:t>3–7 %</w:t>
            </w:r>
          </w:p>
        </w:tc>
        <w:tc>
          <w:tcPr>
            <w:tcW w:type="dxa" w:w="1361"/>
            <w:shd w:val="clear" w:color="auto" w:fill="F7F4EE"/>
            <w:vAlign w:val="top"/>
          </w:tcPr>
          <w:p>
            <w:pPr>
              <w:spacing w:after="0" w:line="240" w:lineRule="auto"/>
            </w:pPr>
            <w:r>
              <w:rPr>
                <w:color w:val="2B2F36"/>
                <w:sz w:val="17"/>
              </w:rPr>
              <w:t>5–10 %</w:t>
            </w:r>
          </w:p>
        </w:tc>
        <w:tc>
          <w:tcPr>
            <w:tcW w:type="dxa" w:w="6009"/>
            <w:shd w:val="clear" w:color="auto" w:fill="F7F4EE"/>
            <w:vAlign w:val="top"/>
          </w:tcPr>
          <w:p>
            <w:pPr>
              <w:spacing w:after="0" w:line="240" w:lineRule="auto"/>
            </w:pPr>
            <w:r>
              <w:rPr>
                <w:color w:val="2B2F36"/>
                <w:sz w:val="17"/>
              </w:rPr>
              <w:t>Strengthens and forms the hard delta phase that resists wear. 3.8× copper per kg: 32 % of CC495K metal value but 12 % of CC490K.</w:t>
            </w:r>
          </w:p>
        </w:tc>
      </w:tr>
      <w:tr>
        <w:trPr>
          <w:cantSplit/>
        </w:trPr>
        <w:tc>
          <w:tcPr>
            <w:tcW w:type="dxa" w:w="1134"/>
            <w:vAlign w:val="top"/>
          </w:tcPr>
          <w:p>
            <w:pPr>
              <w:spacing w:after="0" w:line="240" w:lineRule="auto"/>
            </w:pPr>
            <w:r>
              <w:rPr>
                <w:color w:val="2B2F36"/>
                <w:sz w:val="17"/>
              </w:rPr>
              <w:t>Lead</w:t>
            </w:r>
          </w:p>
        </w:tc>
        <w:tc>
          <w:tcPr>
            <w:tcW w:type="dxa" w:w="1247"/>
            <w:vAlign w:val="top"/>
          </w:tcPr>
          <w:p>
            <w:pPr>
              <w:spacing w:after="0" w:line="240" w:lineRule="auto"/>
            </w:pPr>
            <w:r>
              <w:rPr>
                <w:color w:val="2B2F36"/>
                <w:sz w:val="17"/>
              </w:rPr>
              <w:t>3–6.5 %</w:t>
            </w:r>
          </w:p>
        </w:tc>
        <w:tc>
          <w:tcPr>
            <w:tcW w:type="dxa" w:w="1361"/>
            <w:vAlign w:val="top"/>
          </w:tcPr>
          <w:p>
            <w:pPr>
              <w:spacing w:after="0" w:line="240" w:lineRule="auto"/>
            </w:pPr>
            <w:r>
              <w:rPr>
                <w:color w:val="2B2F36"/>
                <w:sz w:val="17"/>
              </w:rPr>
              <w:t>9–10 %</w:t>
            </w:r>
          </w:p>
        </w:tc>
        <w:tc>
          <w:tcPr>
            <w:tcW w:type="dxa" w:w="6009"/>
            <w:vAlign w:val="top"/>
          </w:tcPr>
          <w:p>
            <w:pPr>
              <w:spacing w:after="0" w:line="240" w:lineRule="auto"/>
            </w:pPr>
            <w:r>
              <w:rPr>
                <w:color w:val="2B2F36"/>
                <w:sz w:val="17"/>
              </w:rPr>
              <w:t>Insoluble soft islands: free machining, seals porosity, embeds dirt, protects the shaft if lubrication fails.</w:t>
            </w:r>
          </w:p>
        </w:tc>
      </w:tr>
      <w:tr>
        <w:trPr>
          <w:cantSplit/>
        </w:trPr>
        <w:tc>
          <w:tcPr>
            <w:tcW w:type="dxa" w:w="1134"/>
            <w:shd w:val="clear" w:color="auto" w:fill="F7F4EE"/>
            <w:vAlign w:val="top"/>
          </w:tcPr>
          <w:p>
            <w:pPr>
              <w:spacing w:after="0" w:line="240" w:lineRule="auto"/>
            </w:pPr>
            <w:r>
              <w:rPr>
                <w:color w:val="2B2F36"/>
                <w:sz w:val="17"/>
              </w:rPr>
              <w:t>Zinc</w:t>
            </w:r>
          </w:p>
        </w:tc>
        <w:tc>
          <w:tcPr>
            <w:tcW w:type="dxa" w:w="1247"/>
            <w:shd w:val="clear" w:color="auto" w:fill="F7F4EE"/>
            <w:vAlign w:val="top"/>
          </w:tcPr>
          <w:p>
            <w:pPr>
              <w:spacing w:after="0" w:line="240" w:lineRule="auto"/>
            </w:pPr>
            <w:r>
              <w:rPr>
                <w:color w:val="2B2F36"/>
                <w:sz w:val="17"/>
              </w:rPr>
              <w:t>2–8 %</w:t>
            </w:r>
          </w:p>
        </w:tc>
        <w:tc>
          <w:tcPr>
            <w:tcW w:type="dxa" w:w="1361"/>
            <w:shd w:val="clear" w:color="auto" w:fill="F7F4EE"/>
            <w:vAlign w:val="top"/>
          </w:tcPr>
          <w:p>
            <w:pPr>
              <w:spacing w:after="0" w:line="240" w:lineRule="auto"/>
            </w:pPr>
            <w:r>
              <w:rPr>
                <w:color w:val="2B2F36"/>
                <w:sz w:val="17"/>
              </w:rPr>
              <w:t>≤ 1 %</w:t>
            </w:r>
          </w:p>
        </w:tc>
        <w:tc>
          <w:tcPr>
            <w:tcW w:type="dxa" w:w="6009"/>
            <w:shd w:val="clear" w:color="auto" w:fill="F7F4EE"/>
            <w:vAlign w:val="top"/>
          </w:tcPr>
          <w:p>
            <w:pPr>
              <w:spacing w:after="0" w:line="240" w:lineRule="auto"/>
            </w:pPr>
            <w:r>
              <w:rPr>
                <w:color w:val="2B2F36"/>
                <w:sz w:val="17"/>
              </w:rPr>
              <w:t>Cleans the melt and aids flow; CC490K uses ~8 % to replace tin. Zinc also volatilises, so zinc-rich grades lose more metal in the furnace.</w:t>
            </w:r>
          </w:p>
        </w:tc>
      </w:tr>
      <w:tr>
        <w:trPr>
          <w:cantSplit/>
        </w:trPr>
        <w:tc>
          <w:tcPr>
            <w:tcW w:type="dxa" w:w="1134"/>
            <w:vAlign w:val="top"/>
          </w:tcPr>
          <w:p>
            <w:pPr>
              <w:spacing w:after="0" w:line="240" w:lineRule="auto"/>
            </w:pPr>
            <w:r>
              <w:rPr>
                <w:color w:val="2B2F36"/>
                <w:sz w:val="17"/>
              </w:rPr>
              <w:t>Phosphorus</w:t>
            </w:r>
          </w:p>
        </w:tc>
        <w:tc>
          <w:tcPr>
            <w:tcW w:type="dxa" w:w="1247"/>
            <w:vAlign w:val="top"/>
          </w:tcPr>
          <w:p>
            <w:pPr>
              <w:spacing w:after="0" w:line="240" w:lineRule="auto"/>
            </w:pPr>
            <w:r>
              <w:rPr>
                <w:color w:val="2B2F36"/>
                <w:sz w:val="17"/>
              </w:rPr>
              <w:t>≤ 0.10 %</w:t>
            </w:r>
          </w:p>
        </w:tc>
        <w:tc>
          <w:tcPr>
            <w:tcW w:type="dxa" w:w="1361"/>
            <w:vAlign w:val="top"/>
          </w:tcPr>
          <w:p>
            <w:pPr>
              <w:spacing w:after="0" w:line="240" w:lineRule="auto"/>
            </w:pPr>
            <w:r>
              <w:rPr>
                <w:color w:val="2B2F36"/>
                <w:sz w:val="17"/>
              </w:rPr>
              <w:t>≤ 0.10 %</w:t>
            </w:r>
          </w:p>
        </w:tc>
        <w:tc>
          <w:tcPr>
            <w:tcW w:type="dxa" w:w="6009"/>
            <w:vAlign w:val="top"/>
          </w:tcPr>
          <w:p>
            <w:pPr>
              <w:spacing w:after="0" w:line="240" w:lineRule="auto"/>
            </w:pPr>
            <w:r>
              <w:rPr>
                <w:color w:val="2B2F36"/>
                <w:sz w:val="17"/>
              </w:rPr>
              <w:t>Residual deoxidiser; kept low for pressure tightness.</w:t>
            </w:r>
          </w:p>
        </w:tc>
      </w:tr>
      <w:tr>
        <w:trPr>
          <w:cantSplit/>
        </w:trPr>
        <w:tc>
          <w:tcPr>
            <w:tcW w:type="dxa" w:w="1134"/>
            <w:shd w:val="clear" w:color="auto" w:fill="F7F4EE"/>
            <w:vAlign w:val="top"/>
          </w:tcPr>
          <w:p>
            <w:pPr>
              <w:spacing w:after="0" w:line="240" w:lineRule="auto"/>
            </w:pPr>
            <w:r>
              <w:rPr>
                <w:color w:val="2B2F36"/>
                <w:sz w:val="17"/>
              </w:rPr>
              <w:t>Nickel</w:t>
            </w:r>
          </w:p>
        </w:tc>
        <w:tc>
          <w:tcPr>
            <w:tcW w:type="dxa" w:w="1247"/>
            <w:shd w:val="clear" w:color="auto" w:fill="F7F4EE"/>
            <w:vAlign w:val="top"/>
          </w:tcPr>
          <w:p>
            <w:pPr>
              <w:spacing w:after="0" w:line="240" w:lineRule="auto"/>
            </w:pPr>
            <w:r>
              <w:rPr>
                <w:color w:val="2B2F36"/>
                <w:sz w:val="17"/>
              </w:rPr>
              <w:t>≤ 2 %</w:t>
            </w:r>
          </w:p>
        </w:tc>
        <w:tc>
          <w:tcPr>
            <w:tcW w:type="dxa" w:w="1361"/>
            <w:shd w:val="clear" w:color="auto" w:fill="F7F4EE"/>
            <w:vAlign w:val="top"/>
          </w:tcPr>
          <w:p>
            <w:pPr>
              <w:spacing w:after="0" w:line="240" w:lineRule="auto"/>
            </w:pPr>
            <w:r>
              <w:rPr>
                <w:color w:val="2B2F36"/>
                <w:sz w:val="17"/>
              </w:rPr>
              <w:t>≤ 2 %</w:t>
            </w:r>
          </w:p>
        </w:tc>
        <w:tc>
          <w:tcPr>
            <w:tcW w:type="dxa" w:w="6009"/>
            <w:shd w:val="clear" w:color="auto" w:fill="F7F4EE"/>
            <w:vAlign w:val="top"/>
          </w:tcPr>
          <w:p>
            <w:pPr>
              <w:spacing w:after="0" w:line="240" w:lineRule="auto"/>
            </w:pPr>
            <w:r>
              <w:rPr>
                <w:color w:val="2B2F36"/>
                <w:sz w:val="17"/>
              </w:rPr>
              <w:t>Optional; refines grain and helps spread lead evenly.</w:t>
            </w:r>
          </w:p>
        </w:tc>
      </w:tr>
    </w:tbl>
    <w:p>
      <w:pPr>
        <w:spacing w:after="40"/>
      </w:pPr>
    </w:p>
    <w:p>
      <w:pPr>
        <w:pStyle w:val="Heading1"/>
      </w:pPr>
      <w:r>
        <w:t>3. Mechanical properties</w:t>
      </w:r>
    </w:p>
    <w:p>
      <w:r>
        <w:t xml:space="preserve">EN 1982 sets minimum properties by casting method: sand (GS), chill (GM), centrifugal (GZ) and continuous (GC). Continuous and centrifugal minimums apply to most bush and bar stock. </w:t>
      </w:r>
      <w:r>
        <w:rPr>
          <w:b/>
        </w:rPr>
        <w:t>In Rev 6 the GC values for all six grades were checked against a second public source and agree</w:t>
      </w:r>
      <w:r>
        <w:t xml:space="preserve"> (CC491K, CC492K, CC493K, CC494K, CC490K and CC495K). Two details: CC495K elongation is 8 % for GC but 6 % for GZ, and the CC493K sand-cast minimum could not be confirmed (shown n/v).</w:t>
      </w:r>
    </w:p>
    <w:p>
      <w:pPr>
        <w:keepNext/>
        <w:spacing w:after="40"/>
      </w:pPr>
      <w:r>
        <w:rPr>
          <w:b/>
          <w:color w:val="5B6470"/>
          <w:sz w:val="18"/>
        </w:rPr>
        <w:t>Table 6.</w:t>
      </w:r>
      <w:r>
        <w:rPr>
          <w:color w:val="5B6470"/>
          <w:sz w:val="18"/>
        </w:rPr>
        <w:t xml:space="preserve"> EN 1982 minimum properties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926"/>
        <w:gridCol w:w="1049"/>
        <w:gridCol w:w="1173"/>
        <w:gridCol w:w="864"/>
        <w:gridCol w:w="802"/>
        <w:gridCol w:w="1234"/>
        <w:gridCol w:w="1111"/>
        <w:gridCol w:w="987"/>
        <w:gridCol w:w="1605"/>
      </w:tblGrid>
      <w:tr>
        <w:trPr>
          <w:cantSplit/>
          <w:tblHeader/>
        </w:trPr>
        <w:tc>
          <w:tcPr>
            <w:tcW w:type="dxa" w:w="926"/>
            <w:shd w:val="clear" w:color="auto" w:fill="1F4E79"/>
            <w:vAlign w:val="center"/>
          </w:tcPr>
          <w:p>
            <w:pPr>
              <w:spacing w:after="0" w:line="240" w:lineRule="auto"/>
            </w:pPr>
            <w:r>
              <w:rPr>
                <w:b/>
                <w:color w:val="FFFFFF"/>
                <w:sz w:val="17"/>
              </w:rPr>
              <w:t>Grade</w:t>
            </w:r>
          </w:p>
        </w:tc>
        <w:tc>
          <w:tcPr>
            <w:tcW w:type="dxa" w:w="1049"/>
            <w:shd w:val="clear" w:color="auto" w:fill="1F4E79"/>
            <w:vAlign w:val="center"/>
          </w:tcPr>
          <w:p>
            <w:pPr>
              <w:spacing w:after="0" w:line="240" w:lineRule="auto"/>
            </w:pPr>
            <w:r>
              <w:rPr>
                <w:b/>
                <w:color w:val="FFFFFF"/>
                <w:sz w:val="17"/>
              </w:rPr>
              <w:t>Rm GC, MPa</w:t>
            </w:r>
          </w:p>
        </w:tc>
        <w:tc>
          <w:tcPr>
            <w:tcW w:type="dxa" w:w="1173"/>
            <w:shd w:val="clear" w:color="auto" w:fill="1F4E79"/>
            <w:vAlign w:val="center"/>
          </w:tcPr>
          <w:p>
            <w:pPr>
              <w:spacing w:after="0" w:line="240" w:lineRule="auto"/>
            </w:pPr>
            <w:r>
              <w:rPr>
                <w:b/>
                <w:color w:val="FFFFFF"/>
                <w:sz w:val="17"/>
              </w:rPr>
              <w:t>Rp0.2 GC, MPa</w:t>
            </w:r>
          </w:p>
        </w:tc>
        <w:tc>
          <w:tcPr>
            <w:tcW w:type="dxa" w:w="864"/>
            <w:shd w:val="clear" w:color="auto" w:fill="1F4E79"/>
            <w:vAlign w:val="center"/>
          </w:tcPr>
          <w:p>
            <w:pPr>
              <w:spacing w:after="0" w:line="240" w:lineRule="auto"/>
            </w:pPr>
            <w:r>
              <w:rPr>
                <w:b/>
                <w:color w:val="FFFFFF"/>
                <w:sz w:val="17"/>
              </w:rPr>
              <w:t>A GC, %</w:t>
            </w:r>
          </w:p>
        </w:tc>
        <w:tc>
          <w:tcPr>
            <w:tcW w:type="dxa" w:w="802"/>
            <w:shd w:val="clear" w:color="auto" w:fill="1F4E79"/>
            <w:vAlign w:val="center"/>
          </w:tcPr>
          <w:p>
            <w:pPr>
              <w:spacing w:after="0" w:line="240" w:lineRule="auto"/>
            </w:pPr>
            <w:r>
              <w:rPr>
                <w:b/>
                <w:color w:val="FFFFFF"/>
                <w:sz w:val="17"/>
              </w:rPr>
              <w:t>HB GC</w:t>
            </w:r>
          </w:p>
        </w:tc>
        <w:tc>
          <w:tcPr>
            <w:tcW w:type="dxa" w:w="1234"/>
            <w:shd w:val="clear" w:color="auto" w:fill="1F4E79"/>
            <w:vAlign w:val="center"/>
          </w:tcPr>
          <w:p>
            <w:pPr>
              <w:spacing w:after="0" w:line="240" w:lineRule="auto"/>
            </w:pPr>
            <w:r>
              <w:rPr>
                <w:b/>
                <w:color w:val="FFFFFF"/>
                <w:sz w:val="17"/>
              </w:rPr>
              <w:t>Rm sand (GS)</w:t>
            </w:r>
          </w:p>
        </w:tc>
        <w:tc>
          <w:tcPr>
            <w:tcW w:type="dxa" w:w="1111"/>
            <w:shd w:val="clear" w:color="auto" w:fill="1F4E79"/>
            <w:vAlign w:val="center"/>
          </w:tcPr>
          <w:p>
            <w:pPr>
              <w:spacing w:after="0" w:line="240" w:lineRule="auto"/>
            </w:pPr>
            <w:r>
              <w:rPr>
                <w:b/>
                <w:color w:val="FFFFFF"/>
                <w:sz w:val="17"/>
              </w:rPr>
              <w:t>Rp0.2 sand</w:t>
            </w:r>
          </w:p>
        </w:tc>
        <w:tc>
          <w:tcPr>
            <w:tcW w:type="dxa" w:w="987"/>
            <w:shd w:val="clear" w:color="auto" w:fill="1F4E79"/>
            <w:vAlign w:val="center"/>
          </w:tcPr>
          <w:p>
            <w:pPr>
              <w:spacing w:after="0" w:line="240" w:lineRule="auto"/>
            </w:pPr>
            <w:r>
              <w:rPr>
                <w:b/>
                <w:color w:val="FFFFFF"/>
                <w:sz w:val="17"/>
              </w:rPr>
              <w:t>A sand, %</w:t>
            </w:r>
          </w:p>
        </w:tc>
        <w:tc>
          <w:tcPr>
            <w:tcW w:type="dxa" w:w="1605"/>
            <w:shd w:val="clear" w:color="auto" w:fill="1F4E79"/>
            <w:vAlign w:val="center"/>
          </w:tcPr>
          <w:p>
            <w:pPr>
              <w:spacing w:after="0" w:line="240" w:lineRule="auto"/>
            </w:pPr>
            <w:r>
              <w:rPr>
                <w:b/>
                <w:color w:val="FFFFFF"/>
                <w:sz w:val="17"/>
              </w:rPr>
              <w:t>Machinability index*</w:t>
            </w:r>
          </w:p>
        </w:tc>
      </w:tr>
      <w:tr>
        <w:trPr>
          <w:cantSplit/>
        </w:trPr>
        <w:tc>
          <w:tcPr>
            <w:tcW w:type="dxa" w:w="926"/>
            <w:vAlign w:val="top"/>
          </w:tcPr>
          <w:p>
            <w:pPr>
              <w:spacing w:after="0" w:line="240" w:lineRule="auto"/>
            </w:pPr>
            <w:r>
              <w:rPr>
                <w:color w:val="2B2F36"/>
                <w:sz w:val="17"/>
              </w:rPr>
              <w:t>CC490K</w:t>
            </w:r>
          </w:p>
        </w:tc>
        <w:tc>
          <w:tcPr>
            <w:tcW w:type="dxa" w:w="1049"/>
            <w:vAlign w:val="top"/>
          </w:tcPr>
          <w:p>
            <w:pPr>
              <w:spacing w:after="0" w:line="240" w:lineRule="auto"/>
              <w:jc w:val="center"/>
            </w:pPr>
            <w:r>
              <w:rPr>
                <w:color w:val="2B2F36"/>
                <w:sz w:val="17"/>
              </w:rPr>
              <w:t>220</w:t>
            </w:r>
          </w:p>
        </w:tc>
        <w:tc>
          <w:tcPr>
            <w:tcW w:type="dxa" w:w="1173"/>
            <w:vAlign w:val="top"/>
          </w:tcPr>
          <w:p>
            <w:pPr>
              <w:spacing w:after="0" w:line="240" w:lineRule="auto"/>
              <w:jc w:val="center"/>
            </w:pPr>
            <w:r>
              <w:rPr>
                <w:color w:val="2B2F36"/>
                <w:sz w:val="17"/>
              </w:rPr>
              <w:t>100</w:t>
            </w:r>
          </w:p>
        </w:tc>
        <w:tc>
          <w:tcPr>
            <w:tcW w:type="dxa" w:w="864"/>
            <w:vAlign w:val="top"/>
          </w:tcPr>
          <w:p>
            <w:pPr>
              <w:spacing w:after="0" w:line="240" w:lineRule="auto"/>
              <w:jc w:val="center"/>
            </w:pPr>
            <w:r>
              <w:rPr>
                <w:color w:val="2B2F36"/>
                <w:sz w:val="17"/>
              </w:rPr>
              <w:t>12</w:t>
            </w:r>
          </w:p>
        </w:tc>
        <w:tc>
          <w:tcPr>
            <w:tcW w:type="dxa" w:w="802"/>
            <w:vAlign w:val="top"/>
          </w:tcPr>
          <w:p>
            <w:pPr>
              <w:spacing w:after="0" w:line="240" w:lineRule="auto"/>
              <w:jc w:val="center"/>
            </w:pPr>
            <w:r>
              <w:rPr>
                <w:color w:val="2B2F36"/>
                <w:sz w:val="17"/>
              </w:rPr>
              <w:t>70</w:t>
            </w:r>
          </w:p>
        </w:tc>
        <w:tc>
          <w:tcPr>
            <w:tcW w:type="dxa" w:w="1234"/>
            <w:vAlign w:val="top"/>
          </w:tcPr>
          <w:p>
            <w:pPr>
              <w:spacing w:after="0" w:line="240" w:lineRule="auto"/>
              <w:jc w:val="center"/>
            </w:pPr>
            <w:r>
              <w:rPr>
                <w:color w:val="2B2F36"/>
                <w:sz w:val="17"/>
              </w:rPr>
              <w:t>180</w:t>
            </w:r>
          </w:p>
        </w:tc>
        <w:tc>
          <w:tcPr>
            <w:tcW w:type="dxa" w:w="1111"/>
            <w:vAlign w:val="top"/>
          </w:tcPr>
          <w:p>
            <w:pPr>
              <w:spacing w:after="0" w:line="240" w:lineRule="auto"/>
              <w:jc w:val="center"/>
            </w:pPr>
            <w:r>
              <w:rPr>
                <w:color w:val="2B2F36"/>
                <w:sz w:val="17"/>
              </w:rPr>
              <w:t>85</w:t>
            </w:r>
          </w:p>
        </w:tc>
        <w:tc>
          <w:tcPr>
            <w:tcW w:type="dxa" w:w="987"/>
            <w:vAlign w:val="top"/>
          </w:tcPr>
          <w:p>
            <w:pPr>
              <w:spacing w:after="0" w:line="240" w:lineRule="auto"/>
              <w:jc w:val="center"/>
            </w:pPr>
            <w:r>
              <w:rPr>
                <w:color w:val="2B2F36"/>
                <w:sz w:val="17"/>
              </w:rPr>
              <w:t>15</w:t>
            </w:r>
          </w:p>
        </w:tc>
        <w:tc>
          <w:tcPr>
            <w:tcW w:type="dxa" w:w="1605"/>
            <w:vAlign w:val="top"/>
          </w:tcPr>
          <w:p>
            <w:pPr>
              <w:spacing w:after="0" w:line="240" w:lineRule="auto"/>
              <w:jc w:val="center"/>
            </w:pPr>
            <w:r>
              <w:rPr>
                <w:color w:val="2B2F36"/>
                <w:sz w:val="17"/>
              </w:rPr>
              <w:t>90</w:t>
            </w:r>
          </w:p>
        </w:tc>
      </w:tr>
      <w:tr>
        <w:trPr>
          <w:cantSplit/>
        </w:trPr>
        <w:tc>
          <w:tcPr>
            <w:tcW w:type="dxa" w:w="926"/>
            <w:shd w:val="clear" w:color="auto" w:fill="F7F4EE"/>
            <w:vAlign w:val="top"/>
          </w:tcPr>
          <w:p>
            <w:pPr>
              <w:spacing w:after="0" w:line="240" w:lineRule="auto"/>
            </w:pPr>
            <w:r>
              <w:rPr>
                <w:color w:val="2B2F36"/>
                <w:sz w:val="17"/>
              </w:rPr>
              <w:t>CC491K</w:t>
            </w:r>
          </w:p>
        </w:tc>
        <w:tc>
          <w:tcPr>
            <w:tcW w:type="dxa" w:w="1049"/>
            <w:shd w:val="clear" w:color="auto" w:fill="F7F4EE"/>
            <w:vAlign w:val="top"/>
          </w:tcPr>
          <w:p>
            <w:pPr>
              <w:spacing w:after="0" w:line="240" w:lineRule="auto"/>
              <w:jc w:val="center"/>
            </w:pPr>
            <w:r>
              <w:rPr>
                <w:color w:val="2B2F36"/>
                <w:sz w:val="17"/>
              </w:rPr>
              <w:t>250</w:t>
            </w:r>
          </w:p>
        </w:tc>
        <w:tc>
          <w:tcPr>
            <w:tcW w:type="dxa" w:w="1173"/>
            <w:shd w:val="clear" w:color="auto" w:fill="F7F4EE"/>
            <w:vAlign w:val="top"/>
          </w:tcPr>
          <w:p>
            <w:pPr>
              <w:spacing w:after="0" w:line="240" w:lineRule="auto"/>
              <w:jc w:val="center"/>
            </w:pPr>
            <w:r>
              <w:rPr>
                <w:color w:val="2B2F36"/>
                <w:sz w:val="17"/>
              </w:rPr>
              <w:t>110</w:t>
            </w:r>
          </w:p>
        </w:tc>
        <w:tc>
          <w:tcPr>
            <w:tcW w:type="dxa" w:w="864"/>
            <w:shd w:val="clear" w:color="auto" w:fill="F7F4EE"/>
            <w:vAlign w:val="top"/>
          </w:tcPr>
          <w:p>
            <w:pPr>
              <w:spacing w:after="0" w:line="240" w:lineRule="auto"/>
              <w:jc w:val="center"/>
            </w:pPr>
            <w:r>
              <w:rPr>
                <w:color w:val="2B2F36"/>
                <w:sz w:val="17"/>
              </w:rPr>
              <w:t>13</w:t>
            </w:r>
          </w:p>
        </w:tc>
        <w:tc>
          <w:tcPr>
            <w:tcW w:type="dxa" w:w="802"/>
            <w:shd w:val="clear" w:color="auto" w:fill="F7F4EE"/>
            <w:vAlign w:val="top"/>
          </w:tcPr>
          <w:p>
            <w:pPr>
              <w:spacing w:after="0" w:line="240" w:lineRule="auto"/>
              <w:jc w:val="center"/>
            </w:pPr>
            <w:r>
              <w:rPr>
                <w:color w:val="2B2F36"/>
                <w:sz w:val="17"/>
              </w:rPr>
              <w:t>65</w:t>
            </w:r>
          </w:p>
        </w:tc>
        <w:tc>
          <w:tcPr>
            <w:tcW w:type="dxa" w:w="1234"/>
            <w:shd w:val="clear" w:color="auto" w:fill="F7F4EE"/>
            <w:vAlign w:val="top"/>
          </w:tcPr>
          <w:p>
            <w:pPr>
              <w:spacing w:after="0" w:line="240" w:lineRule="auto"/>
              <w:jc w:val="center"/>
            </w:pPr>
            <w:r>
              <w:rPr>
                <w:color w:val="2B2F36"/>
                <w:sz w:val="17"/>
              </w:rPr>
              <w:t>200</w:t>
            </w:r>
          </w:p>
        </w:tc>
        <w:tc>
          <w:tcPr>
            <w:tcW w:type="dxa" w:w="1111"/>
            <w:shd w:val="clear" w:color="auto" w:fill="F7F4EE"/>
            <w:vAlign w:val="top"/>
          </w:tcPr>
          <w:p>
            <w:pPr>
              <w:spacing w:after="0" w:line="240" w:lineRule="auto"/>
              <w:jc w:val="center"/>
            </w:pPr>
            <w:r>
              <w:rPr>
                <w:color w:val="2B2F36"/>
                <w:sz w:val="17"/>
              </w:rPr>
              <w:t>90</w:t>
            </w:r>
          </w:p>
        </w:tc>
        <w:tc>
          <w:tcPr>
            <w:tcW w:type="dxa" w:w="987"/>
            <w:shd w:val="clear" w:color="auto" w:fill="F7F4EE"/>
            <w:vAlign w:val="top"/>
          </w:tcPr>
          <w:p>
            <w:pPr>
              <w:spacing w:after="0" w:line="240" w:lineRule="auto"/>
              <w:jc w:val="center"/>
            </w:pPr>
            <w:r>
              <w:rPr>
                <w:color w:val="2B2F36"/>
                <w:sz w:val="17"/>
              </w:rPr>
              <w:t>13</w:t>
            </w:r>
          </w:p>
        </w:tc>
        <w:tc>
          <w:tcPr>
            <w:tcW w:type="dxa" w:w="1605"/>
            <w:shd w:val="clear" w:color="auto" w:fill="F7F4EE"/>
            <w:vAlign w:val="top"/>
          </w:tcPr>
          <w:p>
            <w:pPr>
              <w:spacing w:after="0" w:line="240" w:lineRule="auto"/>
              <w:jc w:val="center"/>
            </w:pPr>
            <w:r>
              <w:rPr>
                <w:color w:val="2B2F36"/>
                <w:sz w:val="17"/>
              </w:rPr>
              <w:t>84</w:t>
            </w:r>
          </w:p>
        </w:tc>
      </w:tr>
      <w:tr>
        <w:trPr>
          <w:cantSplit/>
        </w:trPr>
        <w:tc>
          <w:tcPr>
            <w:tcW w:type="dxa" w:w="926"/>
            <w:vAlign w:val="top"/>
          </w:tcPr>
          <w:p>
            <w:pPr>
              <w:spacing w:after="0" w:line="240" w:lineRule="auto"/>
            </w:pPr>
            <w:r>
              <w:rPr>
                <w:color w:val="2B2F36"/>
                <w:sz w:val="17"/>
              </w:rPr>
              <w:t>CC492K</w:t>
            </w:r>
          </w:p>
        </w:tc>
        <w:tc>
          <w:tcPr>
            <w:tcW w:type="dxa" w:w="1049"/>
            <w:vAlign w:val="top"/>
          </w:tcPr>
          <w:p>
            <w:pPr>
              <w:spacing w:after="0" w:line="240" w:lineRule="auto"/>
              <w:jc w:val="center"/>
            </w:pPr>
            <w:r>
              <w:rPr>
                <w:color w:val="2B2F36"/>
                <w:sz w:val="17"/>
              </w:rPr>
              <w:t>270</w:t>
            </w:r>
          </w:p>
        </w:tc>
        <w:tc>
          <w:tcPr>
            <w:tcW w:type="dxa" w:w="1173"/>
            <w:vAlign w:val="top"/>
          </w:tcPr>
          <w:p>
            <w:pPr>
              <w:spacing w:after="0" w:line="240" w:lineRule="auto"/>
              <w:jc w:val="center"/>
            </w:pPr>
            <w:r>
              <w:rPr>
                <w:color w:val="2B2F36"/>
                <w:sz w:val="17"/>
              </w:rPr>
              <w:t>130</w:t>
            </w:r>
          </w:p>
        </w:tc>
        <w:tc>
          <w:tcPr>
            <w:tcW w:type="dxa" w:w="864"/>
            <w:vAlign w:val="top"/>
          </w:tcPr>
          <w:p>
            <w:pPr>
              <w:spacing w:after="0" w:line="240" w:lineRule="auto"/>
              <w:jc w:val="center"/>
            </w:pPr>
            <w:r>
              <w:rPr>
                <w:color w:val="2B2F36"/>
                <w:sz w:val="17"/>
              </w:rPr>
              <w:t>12</w:t>
            </w:r>
          </w:p>
        </w:tc>
        <w:tc>
          <w:tcPr>
            <w:tcW w:type="dxa" w:w="802"/>
            <w:vAlign w:val="top"/>
          </w:tcPr>
          <w:p>
            <w:pPr>
              <w:spacing w:after="0" w:line="240" w:lineRule="auto"/>
              <w:jc w:val="center"/>
            </w:pPr>
            <w:r>
              <w:rPr>
                <w:color w:val="2B2F36"/>
                <w:sz w:val="17"/>
              </w:rPr>
              <w:t>70</w:t>
            </w:r>
          </w:p>
        </w:tc>
        <w:tc>
          <w:tcPr>
            <w:tcW w:type="dxa" w:w="1234"/>
            <w:vAlign w:val="top"/>
          </w:tcPr>
          <w:p>
            <w:pPr>
              <w:spacing w:after="0" w:line="240" w:lineRule="auto"/>
              <w:jc w:val="center"/>
            </w:pPr>
            <w:r>
              <w:rPr>
                <w:color w:val="2B2F36"/>
                <w:sz w:val="17"/>
              </w:rPr>
              <w:t>230</w:t>
            </w:r>
          </w:p>
        </w:tc>
        <w:tc>
          <w:tcPr>
            <w:tcW w:type="dxa" w:w="1111"/>
            <w:vAlign w:val="top"/>
          </w:tcPr>
          <w:p>
            <w:pPr>
              <w:spacing w:after="0" w:line="240" w:lineRule="auto"/>
              <w:jc w:val="center"/>
            </w:pPr>
            <w:r>
              <w:rPr>
                <w:color w:val="2B2F36"/>
                <w:sz w:val="17"/>
              </w:rPr>
              <w:t>130</w:t>
            </w:r>
          </w:p>
        </w:tc>
        <w:tc>
          <w:tcPr>
            <w:tcW w:type="dxa" w:w="987"/>
            <w:vAlign w:val="top"/>
          </w:tcPr>
          <w:p>
            <w:pPr>
              <w:spacing w:after="0" w:line="240" w:lineRule="auto"/>
              <w:jc w:val="center"/>
            </w:pPr>
            <w:r>
              <w:rPr>
                <w:color w:val="2B2F36"/>
                <w:sz w:val="17"/>
              </w:rPr>
              <w:t>14</w:t>
            </w:r>
          </w:p>
        </w:tc>
        <w:tc>
          <w:tcPr>
            <w:tcW w:type="dxa" w:w="1605"/>
            <w:vAlign w:val="top"/>
          </w:tcPr>
          <w:p>
            <w:pPr>
              <w:spacing w:after="0" w:line="240" w:lineRule="auto"/>
              <w:jc w:val="center"/>
            </w:pPr>
            <w:r>
              <w:rPr>
                <w:color w:val="2B2F36"/>
                <w:sz w:val="17"/>
              </w:rPr>
              <w:t>≈ 50 (est.)</w:t>
            </w:r>
          </w:p>
        </w:tc>
      </w:tr>
      <w:tr>
        <w:trPr>
          <w:cantSplit/>
        </w:trPr>
        <w:tc>
          <w:tcPr>
            <w:tcW w:type="dxa" w:w="926"/>
            <w:shd w:val="clear" w:color="auto" w:fill="F7F4EE"/>
            <w:vAlign w:val="top"/>
          </w:tcPr>
          <w:p>
            <w:pPr>
              <w:spacing w:after="0" w:line="240" w:lineRule="auto"/>
            </w:pPr>
            <w:r>
              <w:rPr>
                <w:color w:val="2B2F36"/>
                <w:sz w:val="17"/>
              </w:rPr>
              <w:t>CC493K</w:t>
            </w:r>
          </w:p>
        </w:tc>
        <w:tc>
          <w:tcPr>
            <w:tcW w:type="dxa" w:w="1049"/>
            <w:shd w:val="clear" w:color="auto" w:fill="F7F4EE"/>
            <w:vAlign w:val="top"/>
          </w:tcPr>
          <w:p>
            <w:pPr>
              <w:spacing w:after="0" w:line="240" w:lineRule="auto"/>
              <w:jc w:val="center"/>
            </w:pPr>
            <w:r>
              <w:rPr>
                <w:color w:val="2B2F36"/>
                <w:sz w:val="17"/>
              </w:rPr>
              <w:t>260</w:t>
            </w:r>
          </w:p>
        </w:tc>
        <w:tc>
          <w:tcPr>
            <w:tcW w:type="dxa" w:w="1173"/>
            <w:shd w:val="clear" w:color="auto" w:fill="F7F4EE"/>
            <w:vAlign w:val="top"/>
          </w:tcPr>
          <w:p>
            <w:pPr>
              <w:spacing w:after="0" w:line="240" w:lineRule="auto"/>
              <w:jc w:val="center"/>
            </w:pPr>
            <w:r>
              <w:rPr>
                <w:color w:val="2B2F36"/>
                <w:sz w:val="17"/>
              </w:rPr>
              <w:t>120</w:t>
            </w:r>
          </w:p>
        </w:tc>
        <w:tc>
          <w:tcPr>
            <w:tcW w:type="dxa" w:w="864"/>
            <w:shd w:val="clear" w:color="auto" w:fill="F7F4EE"/>
            <w:vAlign w:val="top"/>
          </w:tcPr>
          <w:p>
            <w:pPr>
              <w:spacing w:after="0" w:line="240" w:lineRule="auto"/>
              <w:jc w:val="center"/>
            </w:pPr>
            <w:r>
              <w:rPr>
                <w:color w:val="2B2F36"/>
                <w:sz w:val="17"/>
              </w:rPr>
              <w:t>12</w:t>
            </w:r>
          </w:p>
        </w:tc>
        <w:tc>
          <w:tcPr>
            <w:tcW w:type="dxa" w:w="802"/>
            <w:shd w:val="clear" w:color="auto" w:fill="F7F4EE"/>
            <w:vAlign w:val="top"/>
          </w:tcPr>
          <w:p>
            <w:pPr>
              <w:spacing w:after="0" w:line="240" w:lineRule="auto"/>
              <w:jc w:val="center"/>
            </w:pPr>
            <w:r>
              <w:rPr>
                <w:color w:val="2B2F36"/>
                <w:sz w:val="17"/>
              </w:rPr>
              <w:t>70</w:t>
            </w:r>
          </w:p>
        </w:tc>
        <w:tc>
          <w:tcPr>
            <w:tcW w:type="dxa" w:w="1234"/>
            <w:shd w:val="clear" w:color="auto" w:fill="F7F4EE"/>
            <w:vAlign w:val="top"/>
          </w:tcPr>
          <w:p>
            <w:pPr>
              <w:spacing w:after="0" w:line="240" w:lineRule="auto"/>
              <w:jc w:val="center"/>
            </w:pPr>
            <w:r>
              <w:rPr>
                <w:color w:val="2B2F36"/>
                <w:sz w:val="17"/>
              </w:rPr>
              <w:t>n/v</w:t>
            </w:r>
          </w:p>
        </w:tc>
        <w:tc>
          <w:tcPr>
            <w:tcW w:type="dxa" w:w="1111"/>
            <w:shd w:val="clear" w:color="auto" w:fill="F7F4EE"/>
            <w:vAlign w:val="top"/>
          </w:tcPr>
          <w:p>
            <w:pPr>
              <w:spacing w:after="0" w:line="240" w:lineRule="auto"/>
              <w:jc w:val="center"/>
            </w:pPr>
            <w:r>
              <w:rPr>
                <w:color w:val="2B2F36"/>
                <w:sz w:val="17"/>
              </w:rPr>
              <w:t>n/v</w:t>
            </w:r>
          </w:p>
        </w:tc>
        <w:tc>
          <w:tcPr>
            <w:tcW w:type="dxa" w:w="987"/>
            <w:shd w:val="clear" w:color="auto" w:fill="F7F4EE"/>
            <w:vAlign w:val="top"/>
          </w:tcPr>
          <w:p>
            <w:pPr>
              <w:spacing w:after="0" w:line="240" w:lineRule="auto"/>
              <w:jc w:val="center"/>
            </w:pPr>
            <w:r>
              <w:rPr>
                <w:color w:val="2B2F36"/>
                <w:sz w:val="17"/>
              </w:rPr>
              <w:t>n/v</w:t>
            </w:r>
          </w:p>
        </w:tc>
        <w:tc>
          <w:tcPr>
            <w:tcW w:type="dxa" w:w="1605"/>
            <w:shd w:val="clear" w:color="auto" w:fill="F7F4EE"/>
            <w:vAlign w:val="top"/>
          </w:tcPr>
          <w:p>
            <w:pPr>
              <w:spacing w:after="0" w:line="240" w:lineRule="auto"/>
              <w:jc w:val="center"/>
            </w:pPr>
            <w:r>
              <w:rPr>
                <w:color w:val="2B2F36"/>
                <w:sz w:val="17"/>
              </w:rPr>
              <w:t>70</w:t>
            </w:r>
          </w:p>
        </w:tc>
      </w:tr>
      <w:tr>
        <w:trPr>
          <w:cantSplit/>
        </w:trPr>
        <w:tc>
          <w:tcPr>
            <w:tcW w:type="dxa" w:w="926"/>
            <w:vAlign w:val="top"/>
          </w:tcPr>
          <w:p>
            <w:pPr>
              <w:spacing w:after="0" w:line="240" w:lineRule="auto"/>
            </w:pPr>
            <w:r>
              <w:rPr>
                <w:color w:val="2B2F36"/>
                <w:sz w:val="17"/>
              </w:rPr>
              <w:t>CC494K</w:t>
            </w:r>
          </w:p>
        </w:tc>
        <w:tc>
          <w:tcPr>
            <w:tcW w:type="dxa" w:w="1049"/>
            <w:vAlign w:val="top"/>
          </w:tcPr>
          <w:p>
            <w:pPr>
              <w:spacing w:after="0" w:line="240" w:lineRule="auto"/>
              <w:jc w:val="center"/>
            </w:pPr>
            <w:r>
              <w:rPr>
                <w:color w:val="2B2F36"/>
                <w:sz w:val="17"/>
              </w:rPr>
              <w:t>200</w:t>
            </w:r>
          </w:p>
        </w:tc>
        <w:tc>
          <w:tcPr>
            <w:tcW w:type="dxa" w:w="1173"/>
            <w:vAlign w:val="top"/>
          </w:tcPr>
          <w:p>
            <w:pPr>
              <w:spacing w:after="0" w:line="240" w:lineRule="auto"/>
              <w:jc w:val="center"/>
            </w:pPr>
            <w:r>
              <w:rPr>
                <w:color w:val="2B2F36"/>
                <w:sz w:val="17"/>
              </w:rPr>
              <w:t>100</w:t>
            </w:r>
          </w:p>
        </w:tc>
        <w:tc>
          <w:tcPr>
            <w:tcW w:type="dxa" w:w="864"/>
            <w:vAlign w:val="top"/>
          </w:tcPr>
          <w:p>
            <w:pPr>
              <w:spacing w:after="0" w:line="240" w:lineRule="auto"/>
              <w:jc w:val="center"/>
            </w:pPr>
            <w:r>
              <w:rPr>
                <w:color w:val="2B2F36"/>
                <w:sz w:val="17"/>
              </w:rPr>
              <w:t>9</w:t>
            </w:r>
          </w:p>
        </w:tc>
        <w:tc>
          <w:tcPr>
            <w:tcW w:type="dxa" w:w="802"/>
            <w:vAlign w:val="top"/>
          </w:tcPr>
          <w:p>
            <w:pPr>
              <w:spacing w:after="0" w:line="240" w:lineRule="auto"/>
              <w:jc w:val="center"/>
            </w:pPr>
            <w:r>
              <w:rPr>
                <w:color w:val="2B2F36"/>
                <w:sz w:val="17"/>
              </w:rPr>
              <w:t>60</w:t>
            </w:r>
          </w:p>
        </w:tc>
        <w:tc>
          <w:tcPr>
            <w:tcW w:type="dxa" w:w="1234"/>
            <w:vAlign w:val="top"/>
          </w:tcPr>
          <w:p>
            <w:pPr>
              <w:spacing w:after="0" w:line="240" w:lineRule="auto"/>
              <w:jc w:val="center"/>
            </w:pPr>
            <w:r>
              <w:rPr>
                <w:color w:val="2B2F36"/>
                <w:sz w:val="17"/>
              </w:rPr>
              <w:t>160</w:t>
            </w:r>
          </w:p>
        </w:tc>
        <w:tc>
          <w:tcPr>
            <w:tcW w:type="dxa" w:w="1111"/>
            <w:vAlign w:val="top"/>
          </w:tcPr>
          <w:p>
            <w:pPr>
              <w:spacing w:after="0" w:line="240" w:lineRule="auto"/>
              <w:jc w:val="center"/>
            </w:pPr>
            <w:r>
              <w:rPr>
                <w:color w:val="2B2F36"/>
                <w:sz w:val="17"/>
              </w:rPr>
              <w:t>60</w:t>
            </w:r>
          </w:p>
        </w:tc>
        <w:tc>
          <w:tcPr>
            <w:tcW w:type="dxa" w:w="987"/>
            <w:vAlign w:val="top"/>
          </w:tcPr>
          <w:p>
            <w:pPr>
              <w:spacing w:after="0" w:line="240" w:lineRule="auto"/>
              <w:jc w:val="center"/>
            </w:pPr>
            <w:r>
              <w:rPr>
                <w:color w:val="2B2F36"/>
                <w:sz w:val="17"/>
              </w:rPr>
              <w:t>7</w:t>
            </w:r>
          </w:p>
        </w:tc>
        <w:tc>
          <w:tcPr>
            <w:tcW w:type="dxa" w:w="1605"/>
            <w:vAlign w:val="top"/>
          </w:tcPr>
          <w:p>
            <w:pPr>
              <w:spacing w:after="0" w:line="240" w:lineRule="auto"/>
              <w:jc w:val="center"/>
            </w:pPr>
            <w:r>
              <w:rPr>
                <w:color w:val="2B2F36"/>
                <w:sz w:val="17"/>
              </w:rPr>
              <w:t>70</w:t>
            </w:r>
          </w:p>
        </w:tc>
      </w:tr>
      <w:tr>
        <w:trPr>
          <w:cantSplit/>
        </w:trPr>
        <w:tc>
          <w:tcPr>
            <w:tcW w:type="dxa" w:w="926"/>
            <w:shd w:val="clear" w:color="auto" w:fill="F7F4EE"/>
            <w:vAlign w:val="top"/>
          </w:tcPr>
          <w:p>
            <w:pPr>
              <w:spacing w:after="0" w:line="240" w:lineRule="auto"/>
            </w:pPr>
            <w:r>
              <w:rPr>
                <w:color w:val="2B2F36"/>
                <w:sz w:val="17"/>
              </w:rPr>
              <w:t>CC495K</w:t>
            </w:r>
          </w:p>
        </w:tc>
        <w:tc>
          <w:tcPr>
            <w:tcW w:type="dxa" w:w="1049"/>
            <w:shd w:val="clear" w:color="auto" w:fill="F7F4EE"/>
            <w:vAlign w:val="top"/>
          </w:tcPr>
          <w:p>
            <w:pPr>
              <w:spacing w:after="0" w:line="240" w:lineRule="auto"/>
              <w:jc w:val="center"/>
            </w:pPr>
            <w:r>
              <w:rPr>
                <w:color w:val="2B2F36"/>
                <w:sz w:val="17"/>
              </w:rPr>
              <w:t>220</w:t>
            </w:r>
          </w:p>
        </w:tc>
        <w:tc>
          <w:tcPr>
            <w:tcW w:type="dxa" w:w="1173"/>
            <w:shd w:val="clear" w:color="auto" w:fill="F7F4EE"/>
            <w:vAlign w:val="top"/>
          </w:tcPr>
          <w:p>
            <w:pPr>
              <w:spacing w:after="0" w:line="240" w:lineRule="auto"/>
              <w:jc w:val="center"/>
            </w:pPr>
            <w:r>
              <w:rPr>
                <w:color w:val="2B2F36"/>
                <w:sz w:val="17"/>
              </w:rPr>
              <w:t>110</w:t>
            </w:r>
          </w:p>
        </w:tc>
        <w:tc>
          <w:tcPr>
            <w:tcW w:type="dxa" w:w="864"/>
            <w:shd w:val="clear" w:color="auto" w:fill="F7F4EE"/>
            <w:vAlign w:val="top"/>
          </w:tcPr>
          <w:p>
            <w:pPr>
              <w:spacing w:after="0" w:line="240" w:lineRule="auto"/>
              <w:jc w:val="center"/>
            </w:pPr>
            <w:r>
              <w:rPr>
                <w:color w:val="2B2F36"/>
                <w:sz w:val="17"/>
              </w:rPr>
              <w:t>8</w:t>
            </w:r>
          </w:p>
        </w:tc>
        <w:tc>
          <w:tcPr>
            <w:tcW w:type="dxa" w:w="802"/>
            <w:shd w:val="clear" w:color="auto" w:fill="F7F4EE"/>
            <w:vAlign w:val="top"/>
          </w:tcPr>
          <w:p>
            <w:pPr>
              <w:spacing w:after="0" w:line="240" w:lineRule="auto"/>
              <w:jc w:val="center"/>
            </w:pPr>
            <w:r>
              <w:rPr>
                <w:color w:val="2B2F36"/>
                <w:sz w:val="17"/>
              </w:rPr>
              <w:t>70</w:t>
            </w:r>
          </w:p>
        </w:tc>
        <w:tc>
          <w:tcPr>
            <w:tcW w:type="dxa" w:w="1234"/>
            <w:shd w:val="clear" w:color="auto" w:fill="F7F4EE"/>
            <w:vAlign w:val="top"/>
          </w:tcPr>
          <w:p>
            <w:pPr>
              <w:spacing w:after="0" w:line="240" w:lineRule="auto"/>
              <w:jc w:val="center"/>
            </w:pPr>
            <w:r>
              <w:rPr>
                <w:color w:val="2B2F36"/>
                <w:sz w:val="17"/>
              </w:rPr>
              <w:t>180</w:t>
            </w:r>
          </w:p>
        </w:tc>
        <w:tc>
          <w:tcPr>
            <w:tcW w:type="dxa" w:w="1111"/>
            <w:shd w:val="clear" w:color="auto" w:fill="F7F4EE"/>
            <w:vAlign w:val="top"/>
          </w:tcPr>
          <w:p>
            <w:pPr>
              <w:spacing w:after="0" w:line="240" w:lineRule="auto"/>
              <w:jc w:val="center"/>
            </w:pPr>
            <w:r>
              <w:rPr>
                <w:color w:val="2B2F36"/>
                <w:sz w:val="17"/>
              </w:rPr>
              <w:t>80</w:t>
            </w:r>
          </w:p>
        </w:tc>
        <w:tc>
          <w:tcPr>
            <w:tcW w:type="dxa" w:w="987"/>
            <w:shd w:val="clear" w:color="auto" w:fill="F7F4EE"/>
            <w:vAlign w:val="top"/>
          </w:tcPr>
          <w:p>
            <w:pPr>
              <w:spacing w:after="0" w:line="240" w:lineRule="auto"/>
              <w:jc w:val="center"/>
            </w:pPr>
            <w:r>
              <w:rPr>
                <w:color w:val="2B2F36"/>
                <w:sz w:val="17"/>
              </w:rPr>
              <w:t>8</w:t>
            </w:r>
          </w:p>
        </w:tc>
        <w:tc>
          <w:tcPr>
            <w:tcW w:type="dxa" w:w="1605"/>
            <w:shd w:val="clear" w:color="auto" w:fill="F7F4EE"/>
            <w:vAlign w:val="top"/>
          </w:tcPr>
          <w:p>
            <w:pPr>
              <w:spacing w:after="0" w:line="240" w:lineRule="auto"/>
              <w:jc w:val="center"/>
            </w:pPr>
            <w:r>
              <w:rPr>
                <w:color w:val="2B2F36"/>
                <w:sz w:val="17"/>
              </w:rPr>
              <w:t>80</w:t>
            </w:r>
          </w:p>
        </w:tc>
      </w:tr>
    </w:tbl>
    <w:p>
      <w:pPr>
        <w:spacing w:after="40"/>
      </w:pPr>
    </w:p>
    <w:p>
      <w:r>
        <w:rPr>
          <w:color w:val="5B6470"/>
          <w:sz w:val="17"/>
        </w:rPr>
        <w:t>* Machinability of the nearest UNS alloy, free-cutting brass C36000 = 100 (copper.org): C84400 90, C83600 84, C93200 70, C93500 70, C93700 80. CC492K has no close UNS match; its nearest alloy C92200 is rated 42, but CC492K carries more lead (2.5–3.5 % against 1–2 %), so ≈ 50 is used and flagged as an estimate. Rank grades with it; do not quote it.</w:t>
      </w:r>
    </w:p>
    <w:p>
      <w:pPr>
        <w:keepNext/>
        <w:spacing w:after="40"/>
        <w:jc w:val="center"/>
      </w:pPr>
      <w:r>
        <w:drawing>
          <wp:inline xmlns:a="http://schemas.openxmlformats.org/drawingml/2006/main" xmlns:pic="http://schemas.openxmlformats.org/drawingml/2006/picture">
            <wp:extent cx="6192000" cy="3196847"/>
            <wp:docPr id="4" name="Picture 4"/>
            <wp:cNvGraphicFramePr>
              <a:graphicFrameLocks noChangeAspect="1"/>
            </wp:cNvGraphicFramePr>
            <a:graphic>
              <a:graphicData uri="http://schemas.openxmlformats.org/drawingml/2006/picture">
                <pic:pic>
                  <pic:nvPicPr>
                    <pic:cNvPr id="0" name="c03.png"/>
                    <pic:cNvPicPr/>
                  </pic:nvPicPr>
                  <pic:blipFill>
                    <a:blip r:embed="rId14"/>
                    <a:stretch>
                      <a:fillRect/>
                    </a:stretch>
                  </pic:blipFill>
                  <pic:spPr>
                    <a:xfrm>
                      <a:off x="0" y="0"/>
                      <a:ext cx="6192000" cy="3196847"/>
                    </a:xfrm>
                    <a:prstGeom prst="rect"/>
                  </pic:spPr>
                </pic:pic>
              </a:graphicData>
            </a:graphic>
          </wp:inline>
        </w:drawing>
      </w:r>
    </w:p>
    <w:p>
      <w:pPr>
        <w:spacing w:after="160"/>
      </w:pPr>
      <w:r>
        <w:rPr>
          <w:b/>
          <w:color w:val="5B6470"/>
          <w:sz w:val="17"/>
        </w:rPr>
        <w:t>Figure 4.</w:t>
      </w:r>
      <w:r>
        <w:rPr>
          <w:color w:val="5B6470"/>
          <w:sz w:val="17"/>
        </w:rPr>
        <w:t xml:space="preserve"> Minimum tensile strength by casting route. CC492K leads at 270 MPa (GC); CC494K is lowest at 200 MPa. Sand casting loses 20–50 MPa.</w:t>
      </w:r>
    </w:p>
    <w:p>
      <w:pPr>
        <w:keepNext/>
        <w:spacing w:after="40"/>
        <w:jc w:val="center"/>
      </w:pPr>
      <w:r>
        <w:drawing>
          <wp:inline xmlns:a="http://schemas.openxmlformats.org/drawingml/2006/main" xmlns:pic="http://schemas.openxmlformats.org/drawingml/2006/picture">
            <wp:extent cx="6192000" cy="2466914"/>
            <wp:docPr id="5" name="Picture 5"/>
            <wp:cNvGraphicFramePr>
              <a:graphicFrameLocks noChangeAspect="1"/>
            </wp:cNvGraphicFramePr>
            <a:graphic>
              <a:graphicData uri="http://schemas.openxmlformats.org/drawingml/2006/picture">
                <pic:pic>
                  <pic:nvPicPr>
                    <pic:cNvPr id="0" name="c04.png"/>
                    <pic:cNvPicPr/>
                  </pic:nvPicPr>
                  <pic:blipFill>
                    <a:blip r:embed="rId15"/>
                    <a:stretch>
                      <a:fillRect/>
                    </a:stretch>
                  </pic:blipFill>
                  <pic:spPr>
                    <a:xfrm>
                      <a:off x="0" y="0"/>
                      <a:ext cx="6192000" cy="2466914"/>
                    </a:xfrm>
                    <a:prstGeom prst="rect"/>
                  </pic:spPr>
                </pic:pic>
              </a:graphicData>
            </a:graphic>
          </wp:inline>
        </w:drawing>
      </w:r>
    </w:p>
    <w:p>
      <w:pPr>
        <w:spacing w:after="160"/>
      </w:pPr>
      <w:r>
        <w:rPr>
          <w:b/>
          <w:color w:val="5B6470"/>
          <w:sz w:val="17"/>
        </w:rPr>
        <w:t>Figure 5.</w:t>
      </w:r>
      <w:r>
        <w:rPr>
          <w:color w:val="5B6470"/>
          <w:sz w:val="17"/>
        </w:rPr>
        <w:t xml:space="preserve"> Proof strength, minimum elongation and hardness (GC). Elongation falls from 12–13 % in the gunmetals to 8–9 % in the bearing bronzes.</w:t>
      </w:r>
    </w:p>
    <w:p>
      <w:pPr>
        <w:keepNext/>
        <w:spacing w:after="40"/>
        <w:jc w:val="center"/>
      </w:pPr>
      <w:r>
        <w:drawing>
          <wp:inline xmlns:a="http://schemas.openxmlformats.org/drawingml/2006/main" xmlns:pic="http://schemas.openxmlformats.org/drawingml/2006/picture">
            <wp:extent cx="6192000" cy="4002474"/>
            <wp:docPr id="6" name="Picture 6"/>
            <wp:cNvGraphicFramePr>
              <a:graphicFrameLocks noChangeAspect="1"/>
            </wp:cNvGraphicFramePr>
            <a:graphic>
              <a:graphicData uri="http://schemas.openxmlformats.org/drawingml/2006/picture">
                <pic:pic>
                  <pic:nvPicPr>
                    <pic:cNvPr id="0" name="c05.png"/>
                    <pic:cNvPicPr/>
                  </pic:nvPicPr>
                  <pic:blipFill>
                    <a:blip r:embed="rId16"/>
                    <a:stretch>
                      <a:fillRect/>
                    </a:stretch>
                  </pic:blipFill>
                  <pic:spPr>
                    <a:xfrm>
                      <a:off x="0" y="0"/>
                      <a:ext cx="6192000" cy="4002474"/>
                    </a:xfrm>
                    <a:prstGeom prst="rect"/>
                  </pic:spPr>
                </pic:pic>
              </a:graphicData>
            </a:graphic>
          </wp:inline>
        </w:drawing>
      </w:r>
    </w:p>
    <w:p>
      <w:pPr>
        <w:spacing w:after="160"/>
      </w:pPr>
      <w:r>
        <w:rPr>
          <w:b/>
          <w:color w:val="5B6470"/>
          <w:sz w:val="17"/>
        </w:rPr>
        <w:t>Figure 6.</w:t>
      </w:r>
      <w:r>
        <w:rPr>
          <w:color w:val="5B6470"/>
          <w:sz w:val="17"/>
        </w:rPr>
        <w:t xml:space="preserve"> Strength against tin + lead. CC495K (20 % tin + lead) is no stronger than CC490K (8 %); CC492K, with the lowest lead of the four stronger grades, is the strongest. </w:t>
      </w:r>
      <w:r>
        <w:rPr>
          <w:b/>
          <w:color w:val="5B6470"/>
          <w:sz w:val="17"/>
        </w:rPr>
        <w:t>Rev 5 said strength falls “as lead rises”; the data say tin level and the zinc/lead balance matter as much.</w:t>
      </w:r>
    </w:p>
    <w:p>
      <w:pPr>
        <w:pStyle w:val="Heading1"/>
      </w:pPr>
      <w:r>
        <w:t>4. Market demand and growth</w:t>
      </w:r>
    </w:p>
    <w:p>
      <w:r>
        <w:t>Demand for these alloys follows the pump, valve and bush markets they feed. No publisher reports individual EN grades, so this section uses the feeding markets.</w:t>
      </w:r>
    </w:p>
    <w:p>
      <w:pPr>
        <w:keepNext/>
        <w:spacing w:after="40"/>
      </w:pPr>
      <w:r>
        <w:rPr>
          <w:b/>
          <w:color w:val="5B6470"/>
          <w:sz w:val="18"/>
        </w:rPr>
        <w:t>Table 7.</w:t>
      </w:r>
      <w:r>
        <w:rPr>
          <w:color w:val="5B6470"/>
          <w:sz w:val="18"/>
        </w:rPr>
        <w:t xml:space="preserve"> Market size and growth (publisher figures; CAGR recomputed over 2025–2034)</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141"/>
        <w:gridCol w:w="1308"/>
        <w:gridCol w:w="1308"/>
        <w:gridCol w:w="1427"/>
        <w:gridCol w:w="1665"/>
        <w:gridCol w:w="1903"/>
      </w:tblGrid>
      <w:tr>
        <w:trPr>
          <w:cantSplit/>
          <w:tblHeader/>
        </w:trPr>
        <w:tc>
          <w:tcPr>
            <w:tcW w:type="dxa" w:w="2141"/>
            <w:shd w:val="clear" w:color="auto" w:fill="1F4E79"/>
            <w:vAlign w:val="center"/>
          </w:tcPr>
          <w:p>
            <w:pPr>
              <w:spacing w:after="0" w:line="240" w:lineRule="auto"/>
            </w:pPr>
            <w:r>
              <w:rPr>
                <w:b/>
                <w:color w:val="FFFFFF"/>
                <w:sz w:val="17"/>
              </w:rPr>
              <w:t>Market</w:t>
            </w:r>
          </w:p>
        </w:tc>
        <w:tc>
          <w:tcPr>
            <w:tcW w:type="dxa" w:w="1308"/>
            <w:shd w:val="clear" w:color="auto" w:fill="1F4E79"/>
            <w:vAlign w:val="center"/>
          </w:tcPr>
          <w:p>
            <w:pPr>
              <w:spacing w:after="0" w:line="240" w:lineRule="auto"/>
            </w:pPr>
            <w:r>
              <w:rPr>
                <w:b/>
                <w:color w:val="FFFFFF"/>
                <w:sz w:val="17"/>
              </w:rPr>
              <w:t>2025</w:t>
            </w:r>
          </w:p>
        </w:tc>
        <w:tc>
          <w:tcPr>
            <w:tcW w:type="dxa" w:w="1308"/>
            <w:shd w:val="clear" w:color="auto" w:fill="1F4E79"/>
            <w:vAlign w:val="center"/>
          </w:tcPr>
          <w:p>
            <w:pPr>
              <w:spacing w:after="0" w:line="240" w:lineRule="auto"/>
            </w:pPr>
            <w:r>
              <w:rPr>
                <w:b/>
                <w:color w:val="FFFFFF"/>
                <w:sz w:val="17"/>
              </w:rPr>
              <w:t>2034</w:t>
            </w:r>
          </w:p>
        </w:tc>
        <w:tc>
          <w:tcPr>
            <w:tcW w:type="dxa" w:w="1427"/>
            <w:shd w:val="clear" w:color="auto" w:fill="1F4E79"/>
            <w:vAlign w:val="center"/>
          </w:tcPr>
          <w:p>
            <w:pPr>
              <w:spacing w:after="0" w:line="240" w:lineRule="auto"/>
            </w:pPr>
            <w:r>
              <w:rPr>
                <w:b/>
                <w:color w:val="FFFFFF"/>
                <w:sz w:val="17"/>
              </w:rPr>
              <w:t>Publisher CAGR</w:t>
            </w:r>
          </w:p>
        </w:tc>
        <w:tc>
          <w:tcPr>
            <w:tcW w:type="dxa" w:w="1665"/>
            <w:shd w:val="clear" w:color="auto" w:fill="1F4E79"/>
            <w:vAlign w:val="center"/>
          </w:tcPr>
          <w:p>
            <w:pPr>
              <w:spacing w:after="0" w:line="240" w:lineRule="auto"/>
            </w:pPr>
            <w:r>
              <w:rPr>
                <w:b/>
                <w:color w:val="FFFFFF"/>
                <w:sz w:val="17"/>
              </w:rPr>
              <w:t>Recomputed CAGR</w:t>
            </w:r>
          </w:p>
        </w:tc>
        <w:tc>
          <w:tcPr>
            <w:tcW w:type="dxa" w:w="1903"/>
            <w:shd w:val="clear" w:color="auto" w:fill="1F4E79"/>
            <w:vAlign w:val="center"/>
          </w:tcPr>
          <w:p>
            <w:pPr>
              <w:spacing w:after="0" w:line="240" w:lineRule="auto"/>
            </w:pPr>
            <w:r>
              <w:rPr>
                <w:b/>
                <w:color w:val="FFFFFF"/>
                <w:sz w:val="17"/>
              </w:rPr>
              <w:t>Source</w:t>
            </w:r>
          </w:p>
        </w:tc>
      </w:tr>
      <w:tr>
        <w:trPr>
          <w:cantSplit/>
        </w:trPr>
        <w:tc>
          <w:tcPr>
            <w:tcW w:type="dxa" w:w="2141"/>
            <w:vAlign w:val="top"/>
          </w:tcPr>
          <w:p>
            <w:pPr>
              <w:spacing w:after="0" w:line="240" w:lineRule="auto"/>
            </w:pPr>
            <w:r>
              <w:rPr>
                <w:color w:val="2B2F36"/>
                <w:sz w:val="17"/>
              </w:rPr>
              <w:t>Pumps – Global</w:t>
            </w:r>
          </w:p>
        </w:tc>
        <w:tc>
          <w:tcPr>
            <w:tcW w:type="dxa" w:w="1308"/>
            <w:vAlign w:val="top"/>
          </w:tcPr>
          <w:p>
            <w:pPr>
              <w:spacing w:after="0" w:line="240" w:lineRule="auto"/>
              <w:jc w:val="center"/>
            </w:pPr>
            <w:r>
              <w:rPr>
                <w:color w:val="2B2F36"/>
                <w:sz w:val="17"/>
              </w:rPr>
              <w:t>US$ 79.5 bn</w:t>
            </w:r>
          </w:p>
        </w:tc>
        <w:tc>
          <w:tcPr>
            <w:tcW w:type="dxa" w:w="1308"/>
            <w:vAlign w:val="top"/>
          </w:tcPr>
          <w:p>
            <w:pPr>
              <w:spacing w:after="0" w:line="240" w:lineRule="auto"/>
              <w:jc w:val="center"/>
            </w:pPr>
            <w:r>
              <w:rPr>
                <w:color w:val="2B2F36"/>
                <w:sz w:val="17"/>
              </w:rPr>
              <w:t>US$ 101.5 bn</w:t>
            </w:r>
          </w:p>
        </w:tc>
        <w:tc>
          <w:tcPr>
            <w:tcW w:type="dxa" w:w="1427"/>
            <w:vAlign w:val="top"/>
          </w:tcPr>
          <w:p>
            <w:pPr>
              <w:spacing w:after="0" w:line="240" w:lineRule="auto"/>
              <w:jc w:val="center"/>
            </w:pPr>
            <w:r>
              <w:rPr>
                <w:color w:val="2B2F36"/>
                <w:sz w:val="17"/>
              </w:rPr>
              <w:t>2.7 %</w:t>
            </w:r>
          </w:p>
        </w:tc>
        <w:tc>
          <w:tcPr>
            <w:tcW w:type="dxa" w:w="1665"/>
            <w:vAlign w:val="top"/>
          </w:tcPr>
          <w:p>
            <w:pPr>
              <w:spacing w:after="0" w:line="240" w:lineRule="auto"/>
              <w:jc w:val="center"/>
            </w:pPr>
            <w:r>
              <w:rPr>
                <w:color w:val="2B2F36"/>
                <w:sz w:val="17"/>
              </w:rPr>
              <w:t>2.8 %</w:t>
            </w:r>
          </w:p>
        </w:tc>
        <w:tc>
          <w:tcPr>
            <w:tcW w:type="dxa" w:w="1903"/>
            <w:vAlign w:val="top"/>
          </w:tcPr>
          <w:p>
            <w:pPr>
              <w:spacing w:after="0" w:line="240" w:lineRule="auto"/>
            </w:pPr>
            <w:r>
              <w:rPr>
                <w:color w:val="2B2F36"/>
                <w:sz w:val="17"/>
              </w:rPr>
              <w:t>IMARC</w:t>
            </w:r>
          </w:p>
        </w:tc>
      </w:tr>
      <w:tr>
        <w:trPr>
          <w:cantSplit/>
        </w:trPr>
        <w:tc>
          <w:tcPr>
            <w:tcW w:type="dxa" w:w="2141"/>
            <w:shd w:val="clear" w:color="auto" w:fill="F7F4EE"/>
            <w:vAlign w:val="top"/>
          </w:tcPr>
          <w:p>
            <w:pPr>
              <w:spacing w:after="0" w:line="240" w:lineRule="auto"/>
            </w:pPr>
            <w:r>
              <w:rPr>
                <w:color w:val="2B2F36"/>
                <w:sz w:val="17"/>
              </w:rPr>
              <w:t>Pumps – India</w:t>
            </w:r>
          </w:p>
        </w:tc>
        <w:tc>
          <w:tcPr>
            <w:tcW w:type="dxa" w:w="1308"/>
            <w:shd w:val="clear" w:color="auto" w:fill="F7F4EE"/>
            <w:vAlign w:val="top"/>
          </w:tcPr>
          <w:p>
            <w:pPr>
              <w:spacing w:after="0" w:line="240" w:lineRule="auto"/>
              <w:jc w:val="center"/>
            </w:pPr>
            <w:r>
              <w:rPr>
                <w:color w:val="2B2F36"/>
                <w:sz w:val="17"/>
              </w:rPr>
              <w:t>US$ 7.2 bn</w:t>
            </w:r>
          </w:p>
        </w:tc>
        <w:tc>
          <w:tcPr>
            <w:tcW w:type="dxa" w:w="1308"/>
            <w:shd w:val="clear" w:color="auto" w:fill="F7F4EE"/>
            <w:vAlign w:val="top"/>
          </w:tcPr>
          <w:p>
            <w:pPr>
              <w:spacing w:after="0" w:line="240" w:lineRule="auto"/>
              <w:jc w:val="center"/>
            </w:pPr>
            <w:r>
              <w:rPr>
                <w:color w:val="2B2F36"/>
                <w:sz w:val="17"/>
              </w:rPr>
              <w:t>US$ 8.8 bn</w:t>
            </w:r>
          </w:p>
        </w:tc>
        <w:tc>
          <w:tcPr>
            <w:tcW w:type="dxa" w:w="1427"/>
            <w:shd w:val="clear" w:color="auto" w:fill="F7F4EE"/>
            <w:vAlign w:val="top"/>
          </w:tcPr>
          <w:p>
            <w:pPr>
              <w:spacing w:after="0" w:line="240" w:lineRule="auto"/>
              <w:jc w:val="center"/>
            </w:pPr>
            <w:r>
              <w:rPr>
                <w:color w:val="2B2F36"/>
                <w:sz w:val="17"/>
              </w:rPr>
              <w:t>2.2 %</w:t>
            </w:r>
          </w:p>
        </w:tc>
        <w:tc>
          <w:tcPr>
            <w:tcW w:type="dxa" w:w="1665"/>
            <w:shd w:val="clear" w:color="auto" w:fill="F7F4EE"/>
            <w:vAlign w:val="top"/>
          </w:tcPr>
          <w:p>
            <w:pPr>
              <w:spacing w:after="0" w:line="240" w:lineRule="auto"/>
              <w:jc w:val="center"/>
            </w:pPr>
            <w:r>
              <w:rPr>
                <w:color w:val="2B2F36"/>
                <w:sz w:val="17"/>
              </w:rPr>
              <w:t>2.3 %</w:t>
            </w:r>
          </w:p>
        </w:tc>
        <w:tc>
          <w:tcPr>
            <w:tcW w:type="dxa" w:w="1903"/>
            <w:shd w:val="clear" w:color="auto" w:fill="F7F4EE"/>
            <w:vAlign w:val="top"/>
          </w:tcPr>
          <w:p>
            <w:pPr>
              <w:spacing w:after="0" w:line="240" w:lineRule="auto"/>
            </w:pPr>
            <w:r>
              <w:rPr>
                <w:color w:val="2B2F36"/>
                <w:sz w:val="17"/>
              </w:rPr>
              <w:t>IMARC</w:t>
            </w:r>
          </w:p>
        </w:tc>
      </w:tr>
      <w:tr>
        <w:trPr>
          <w:cantSplit/>
        </w:trPr>
        <w:tc>
          <w:tcPr>
            <w:tcW w:type="dxa" w:w="2141"/>
            <w:vAlign w:val="top"/>
          </w:tcPr>
          <w:p>
            <w:pPr>
              <w:spacing w:after="0" w:line="240" w:lineRule="auto"/>
            </w:pPr>
            <w:r>
              <w:rPr>
                <w:color w:val="2B2F36"/>
                <w:sz w:val="17"/>
              </w:rPr>
              <w:t>Valves – Global</w:t>
            </w:r>
          </w:p>
        </w:tc>
        <w:tc>
          <w:tcPr>
            <w:tcW w:type="dxa" w:w="1308"/>
            <w:vAlign w:val="top"/>
          </w:tcPr>
          <w:p>
            <w:pPr>
              <w:spacing w:after="0" w:line="240" w:lineRule="auto"/>
              <w:jc w:val="center"/>
            </w:pPr>
            <w:r>
              <w:rPr>
                <w:color w:val="2B2F36"/>
                <w:sz w:val="17"/>
              </w:rPr>
              <w:t>US$ 82.9 bn</w:t>
            </w:r>
          </w:p>
        </w:tc>
        <w:tc>
          <w:tcPr>
            <w:tcW w:type="dxa" w:w="1308"/>
            <w:vAlign w:val="top"/>
          </w:tcPr>
          <w:p>
            <w:pPr>
              <w:spacing w:after="0" w:line="240" w:lineRule="auto"/>
              <w:jc w:val="center"/>
            </w:pPr>
            <w:r>
              <w:rPr>
                <w:color w:val="2B2F36"/>
                <w:sz w:val="17"/>
              </w:rPr>
              <w:t>US$ 136 bn</w:t>
            </w:r>
          </w:p>
        </w:tc>
        <w:tc>
          <w:tcPr>
            <w:tcW w:type="dxa" w:w="1427"/>
            <w:vAlign w:val="top"/>
          </w:tcPr>
          <w:p>
            <w:pPr>
              <w:spacing w:after="0" w:line="240" w:lineRule="auto"/>
              <w:jc w:val="center"/>
            </w:pPr>
            <w:r>
              <w:rPr>
                <w:color w:val="2B2F36"/>
                <w:sz w:val="17"/>
              </w:rPr>
              <w:t>5.7 %</w:t>
            </w:r>
          </w:p>
        </w:tc>
        <w:tc>
          <w:tcPr>
            <w:tcW w:type="dxa" w:w="1665"/>
            <w:vAlign w:val="top"/>
          </w:tcPr>
          <w:p>
            <w:pPr>
              <w:spacing w:after="0" w:line="240" w:lineRule="auto"/>
              <w:jc w:val="center"/>
            </w:pPr>
            <w:r>
              <w:rPr>
                <w:color w:val="2B2F36"/>
                <w:sz w:val="17"/>
              </w:rPr>
              <w:t>5.7 %</w:t>
            </w:r>
          </w:p>
        </w:tc>
        <w:tc>
          <w:tcPr>
            <w:tcW w:type="dxa" w:w="1903"/>
            <w:vAlign w:val="top"/>
          </w:tcPr>
          <w:p>
            <w:pPr>
              <w:spacing w:after="0" w:line="240" w:lineRule="auto"/>
            </w:pPr>
            <w:r>
              <w:rPr>
                <w:color w:val="2B2F36"/>
                <w:sz w:val="17"/>
              </w:rPr>
              <w:t>IMARC</w:t>
            </w:r>
          </w:p>
        </w:tc>
      </w:tr>
      <w:tr>
        <w:trPr>
          <w:cantSplit/>
        </w:trPr>
        <w:tc>
          <w:tcPr>
            <w:tcW w:type="dxa" w:w="2141"/>
            <w:shd w:val="clear" w:color="auto" w:fill="F7F4EE"/>
            <w:vAlign w:val="top"/>
          </w:tcPr>
          <w:p>
            <w:pPr>
              <w:spacing w:after="0" w:line="240" w:lineRule="auto"/>
            </w:pPr>
            <w:r>
              <w:rPr>
                <w:color w:val="2B2F36"/>
                <w:sz w:val="17"/>
              </w:rPr>
              <w:t>Valves – India</w:t>
            </w:r>
          </w:p>
        </w:tc>
        <w:tc>
          <w:tcPr>
            <w:tcW w:type="dxa" w:w="1308"/>
            <w:shd w:val="clear" w:color="auto" w:fill="F7F4EE"/>
            <w:vAlign w:val="top"/>
          </w:tcPr>
          <w:p>
            <w:pPr>
              <w:spacing w:after="0" w:line="240" w:lineRule="auto"/>
              <w:jc w:val="center"/>
            </w:pPr>
            <w:r>
              <w:rPr>
                <w:color w:val="2B2F36"/>
                <w:sz w:val="17"/>
              </w:rPr>
              <w:t>US$ 2.8 bn</w:t>
            </w:r>
          </w:p>
        </w:tc>
        <w:tc>
          <w:tcPr>
            <w:tcW w:type="dxa" w:w="1308"/>
            <w:shd w:val="clear" w:color="auto" w:fill="F7F4EE"/>
            <w:vAlign w:val="top"/>
          </w:tcPr>
          <w:p>
            <w:pPr>
              <w:spacing w:after="0" w:line="240" w:lineRule="auto"/>
              <w:jc w:val="center"/>
            </w:pPr>
            <w:r>
              <w:rPr>
                <w:color w:val="2B2F36"/>
                <w:sz w:val="17"/>
              </w:rPr>
              <w:t>US$ 4.8 bn</w:t>
            </w:r>
          </w:p>
        </w:tc>
        <w:tc>
          <w:tcPr>
            <w:tcW w:type="dxa" w:w="1427"/>
            <w:shd w:val="clear" w:color="auto" w:fill="F7F4EE"/>
            <w:vAlign w:val="top"/>
          </w:tcPr>
          <w:p>
            <w:pPr>
              <w:spacing w:after="0" w:line="240" w:lineRule="auto"/>
              <w:jc w:val="center"/>
            </w:pPr>
            <w:r>
              <w:rPr>
                <w:color w:val="2B2F36"/>
                <w:sz w:val="17"/>
              </w:rPr>
              <w:t>6.1 %</w:t>
            </w:r>
          </w:p>
        </w:tc>
        <w:tc>
          <w:tcPr>
            <w:tcW w:type="dxa" w:w="1665"/>
            <w:shd w:val="clear" w:color="auto" w:fill="F7F4EE"/>
            <w:vAlign w:val="top"/>
          </w:tcPr>
          <w:p>
            <w:pPr>
              <w:spacing w:after="0" w:line="240" w:lineRule="auto"/>
              <w:jc w:val="center"/>
            </w:pPr>
            <w:r>
              <w:rPr>
                <w:color w:val="2B2F36"/>
                <w:sz w:val="17"/>
              </w:rPr>
              <w:t>6.2 %</w:t>
            </w:r>
          </w:p>
        </w:tc>
        <w:tc>
          <w:tcPr>
            <w:tcW w:type="dxa" w:w="1903"/>
            <w:shd w:val="clear" w:color="auto" w:fill="F7F4EE"/>
            <w:vAlign w:val="top"/>
          </w:tcPr>
          <w:p>
            <w:pPr>
              <w:spacing w:after="0" w:line="240" w:lineRule="auto"/>
            </w:pPr>
            <w:r>
              <w:rPr>
                <w:color w:val="2B2F36"/>
                <w:sz w:val="17"/>
              </w:rPr>
              <w:t>IMARC</w:t>
            </w:r>
          </w:p>
        </w:tc>
      </w:tr>
      <w:tr>
        <w:trPr>
          <w:cantSplit/>
        </w:trPr>
        <w:tc>
          <w:tcPr>
            <w:tcW w:type="dxa" w:w="2141"/>
            <w:vAlign w:val="top"/>
          </w:tcPr>
          <w:p>
            <w:pPr>
              <w:spacing w:after="0" w:line="240" w:lineRule="auto"/>
            </w:pPr>
            <w:r>
              <w:rPr>
                <w:color w:val="2B2F36"/>
                <w:sz w:val="17"/>
              </w:rPr>
              <w:t>Bronze – Global</w:t>
            </w:r>
          </w:p>
        </w:tc>
        <w:tc>
          <w:tcPr>
            <w:tcW w:type="dxa" w:w="1308"/>
            <w:vAlign w:val="top"/>
          </w:tcPr>
          <w:p>
            <w:pPr>
              <w:spacing w:after="0" w:line="240" w:lineRule="auto"/>
              <w:jc w:val="center"/>
            </w:pPr>
            <w:r>
              <w:rPr>
                <w:color w:val="2B2F36"/>
                <w:sz w:val="17"/>
              </w:rPr>
              <w:t>US$ 13.9 bn</w:t>
            </w:r>
          </w:p>
        </w:tc>
        <w:tc>
          <w:tcPr>
            <w:tcW w:type="dxa" w:w="1308"/>
            <w:vAlign w:val="top"/>
          </w:tcPr>
          <w:p>
            <w:pPr>
              <w:spacing w:after="0" w:line="240" w:lineRule="auto"/>
              <w:jc w:val="center"/>
            </w:pPr>
            <w:r>
              <w:rPr>
                <w:color w:val="2B2F36"/>
                <w:sz w:val="17"/>
              </w:rPr>
              <w:t>US$ 21.2 bn</w:t>
            </w:r>
          </w:p>
        </w:tc>
        <w:tc>
          <w:tcPr>
            <w:tcW w:type="dxa" w:w="1427"/>
            <w:vAlign w:val="top"/>
          </w:tcPr>
          <w:p>
            <w:pPr>
              <w:spacing w:after="0" w:line="240" w:lineRule="auto"/>
              <w:jc w:val="center"/>
            </w:pPr>
            <w:r>
              <w:rPr>
                <w:color w:val="2B2F36"/>
                <w:sz w:val="17"/>
              </w:rPr>
              <w:t>4.8 %</w:t>
            </w:r>
          </w:p>
        </w:tc>
        <w:tc>
          <w:tcPr>
            <w:tcW w:type="dxa" w:w="1665"/>
            <w:vAlign w:val="top"/>
          </w:tcPr>
          <w:p>
            <w:pPr>
              <w:spacing w:after="0" w:line="240" w:lineRule="auto"/>
              <w:jc w:val="center"/>
            </w:pPr>
            <w:r>
              <w:rPr>
                <w:color w:val="2B2F36"/>
                <w:sz w:val="17"/>
              </w:rPr>
              <w:t>4.8 %</w:t>
            </w:r>
          </w:p>
        </w:tc>
        <w:tc>
          <w:tcPr>
            <w:tcW w:type="dxa" w:w="1903"/>
            <w:vAlign w:val="top"/>
          </w:tcPr>
          <w:p>
            <w:pPr>
              <w:spacing w:after="0" w:line="240" w:lineRule="auto"/>
            </w:pPr>
            <w:r>
              <w:rPr>
                <w:color w:val="2B2F36"/>
                <w:sz w:val="17"/>
              </w:rPr>
              <w:t>Market Data Forecast</w:t>
            </w:r>
          </w:p>
        </w:tc>
      </w:tr>
      <w:tr>
        <w:trPr>
          <w:cantSplit/>
        </w:trPr>
        <w:tc>
          <w:tcPr>
            <w:tcW w:type="dxa" w:w="2141"/>
            <w:shd w:val="clear" w:color="auto" w:fill="F7F4EE"/>
            <w:vAlign w:val="top"/>
          </w:tcPr>
          <w:p>
            <w:pPr>
              <w:spacing w:after="0" w:line="240" w:lineRule="auto"/>
            </w:pPr>
            <w:r>
              <w:rPr>
                <w:color w:val="2B2F36"/>
                <w:sz w:val="17"/>
              </w:rPr>
              <w:t>Bearing bronze – Global</w:t>
            </w:r>
          </w:p>
        </w:tc>
        <w:tc>
          <w:tcPr>
            <w:tcW w:type="dxa" w:w="1308"/>
            <w:shd w:val="clear" w:color="auto" w:fill="F7F4EE"/>
            <w:vAlign w:val="top"/>
          </w:tcPr>
          <w:p>
            <w:pPr>
              <w:spacing w:after="0" w:line="240" w:lineRule="auto"/>
              <w:jc w:val="center"/>
            </w:pPr>
            <w:r>
              <w:rPr>
                <w:color w:val="2B2F36"/>
                <w:sz w:val="17"/>
              </w:rPr>
              <w:t>US$ 2.5 bn</w:t>
            </w:r>
          </w:p>
        </w:tc>
        <w:tc>
          <w:tcPr>
            <w:tcW w:type="dxa" w:w="1308"/>
            <w:shd w:val="clear" w:color="auto" w:fill="F7F4EE"/>
            <w:vAlign w:val="top"/>
          </w:tcPr>
          <w:p>
            <w:pPr>
              <w:spacing w:after="0" w:line="240" w:lineRule="auto"/>
              <w:jc w:val="center"/>
            </w:pPr>
            <w:r>
              <w:rPr>
                <w:color w:val="2B2F36"/>
                <w:sz w:val="17"/>
              </w:rPr>
              <w:t>US$ 3.8 bn</w:t>
            </w:r>
          </w:p>
        </w:tc>
        <w:tc>
          <w:tcPr>
            <w:tcW w:type="dxa" w:w="1427"/>
            <w:shd w:val="clear" w:color="auto" w:fill="F7F4EE"/>
            <w:vAlign w:val="top"/>
          </w:tcPr>
          <w:p>
            <w:pPr>
              <w:spacing w:after="0" w:line="240" w:lineRule="auto"/>
              <w:jc w:val="center"/>
            </w:pPr>
            <w:r>
              <w:rPr>
                <w:color w:val="2B2F36"/>
                <w:sz w:val="17"/>
              </w:rPr>
              <w:t>5.0 %</w:t>
            </w:r>
          </w:p>
        </w:tc>
        <w:tc>
          <w:tcPr>
            <w:tcW w:type="dxa" w:w="1665"/>
            <w:shd w:val="clear" w:color="auto" w:fill="F7F4EE"/>
            <w:vAlign w:val="top"/>
          </w:tcPr>
          <w:p>
            <w:pPr>
              <w:spacing w:after="0" w:line="240" w:lineRule="auto"/>
              <w:jc w:val="center"/>
            </w:pPr>
            <w:r>
              <w:rPr>
                <w:color w:val="2B2F36"/>
                <w:sz w:val="17"/>
              </w:rPr>
              <w:t>4.8 %</w:t>
            </w:r>
          </w:p>
        </w:tc>
        <w:tc>
          <w:tcPr>
            <w:tcW w:type="dxa" w:w="1903"/>
            <w:shd w:val="clear" w:color="auto" w:fill="F7F4EE"/>
            <w:vAlign w:val="top"/>
          </w:tcPr>
          <w:p>
            <w:pPr>
              <w:spacing w:after="0" w:line="240" w:lineRule="auto"/>
            </w:pPr>
            <w:r>
              <w:rPr>
                <w:color w:val="2B2F36"/>
                <w:sz w:val="17"/>
              </w:rPr>
              <w:t>Verified Market Reports</w:t>
            </w:r>
          </w:p>
        </w:tc>
      </w:tr>
    </w:tbl>
    <w:p>
      <w:pPr>
        <w:spacing w:after="40"/>
      </w:pPr>
    </w:p>
    <w:p>
      <w:r>
        <w:rPr>
          <w:sz w:val="18"/>
        </w:rPr>
        <w:t>Recomputed and published rates agree within 0.1–0.2 points except bearing bronze (4.8 % vs 5.0 %); the publisher figure is used in text.</w:t>
      </w:r>
    </w:p>
    <w:p>
      <w:pPr>
        <w:keepNext/>
        <w:spacing w:after="40"/>
        <w:jc w:val="center"/>
      </w:pPr>
      <w:r>
        <w:drawing>
          <wp:inline xmlns:a="http://schemas.openxmlformats.org/drawingml/2006/main" xmlns:pic="http://schemas.openxmlformats.org/drawingml/2006/picture">
            <wp:extent cx="6192000" cy="2919020"/>
            <wp:docPr id="7" name="Picture 7"/>
            <wp:cNvGraphicFramePr>
              <a:graphicFrameLocks noChangeAspect="1"/>
            </wp:cNvGraphicFramePr>
            <a:graphic>
              <a:graphicData uri="http://schemas.openxmlformats.org/drawingml/2006/picture">
                <pic:pic>
                  <pic:nvPicPr>
                    <pic:cNvPr id="0" name="c06.png"/>
                    <pic:cNvPicPr/>
                  </pic:nvPicPr>
                  <pic:blipFill>
                    <a:blip r:embed="rId17"/>
                    <a:stretch>
                      <a:fillRect/>
                    </a:stretch>
                  </pic:blipFill>
                  <pic:spPr>
                    <a:xfrm>
                      <a:off x="0" y="0"/>
                      <a:ext cx="6192000" cy="2919020"/>
                    </a:xfrm>
                    <a:prstGeom prst="rect"/>
                  </pic:spPr>
                </pic:pic>
              </a:graphicData>
            </a:graphic>
          </wp:inline>
        </w:drawing>
      </w:r>
    </w:p>
    <w:p>
      <w:pPr>
        <w:spacing w:after="160"/>
      </w:pPr>
      <w:r>
        <w:rPr>
          <w:b/>
          <w:color w:val="5B6470"/>
          <w:sz w:val="17"/>
        </w:rPr>
        <w:t>Figure 7.</w:t>
      </w:r>
      <w:r>
        <w:rPr>
          <w:color w:val="5B6470"/>
          <w:sz w:val="17"/>
        </w:rPr>
        <w:t xml:space="preserve"> Pump, valve and bronze markets, 2025 vs 2034 (publisher estimates), global and India.</w:t>
      </w:r>
    </w:p>
    <w:p>
      <w:pPr>
        <w:keepNext/>
        <w:spacing w:after="40"/>
        <w:jc w:val="center"/>
      </w:pPr>
      <w:r>
        <w:drawing>
          <wp:inline xmlns:a="http://schemas.openxmlformats.org/drawingml/2006/main" xmlns:pic="http://schemas.openxmlformats.org/drawingml/2006/picture">
            <wp:extent cx="6192000" cy="2651147"/>
            <wp:docPr id="8" name="Picture 8"/>
            <wp:cNvGraphicFramePr>
              <a:graphicFrameLocks noChangeAspect="1"/>
            </wp:cNvGraphicFramePr>
            <a:graphic>
              <a:graphicData uri="http://schemas.openxmlformats.org/drawingml/2006/picture">
                <pic:pic>
                  <pic:nvPicPr>
                    <pic:cNvPr id="0" name="c07.png"/>
                    <pic:cNvPicPr/>
                  </pic:nvPicPr>
                  <pic:blipFill>
                    <a:blip r:embed="rId18"/>
                    <a:stretch>
                      <a:fillRect/>
                    </a:stretch>
                  </pic:blipFill>
                  <pic:spPr>
                    <a:xfrm>
                      <a:off x="0" y="0"/>
                      <a:ext cx="6192000" cy="2651147"/>
                    </a:xfrm>
                    <a:prstGeom prst="rect"/>
                  </pic:spPr>
                </pic:pic>
              </a:graphicData>
            </a:graphic>
          </wp:inline>
        </w:drawing>
      </w:r>
    </w:p>
    <w:p>
      <w:pPr>
        <w:spacing w:after="160"/>
      </w:pPr>
      <w:r>
        <w:rPr>
          <w:b/>
          <w:color w:val="5B6470"/>
          <w:sz w:val="17"/>
        </w:rPr>
        <w:t>Figure 8.</w:t>
      </w:r>
      <w:r>
        <w:rPr>
          <w:color w:val="5B6470"/>
          <w:sz w:val="17"/>
        </w:rPr>
        <w:t xml:space="preserve"> Growth rates: valves grow about twice as fast as pumps; India valves (6.1 %) slightly faster than global.</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B26A00"/>
            </w:tcBorders>
            <w:shd w:val="clear" w:color="auto" w:fill="FBF5EA"/>
          </w:tcPr>
          <w:p>
            <w:pPr>
              <w:spacing w:after="60"/>
            </w:pPr>
            <w:r>
              <w:rPr>
                <w:b/>
                <w:color w:val="B26A00"/>
                <w:sz w:val="20"/>
              </w:rPr>
              <w:t>Scope warning (new)</w:t>
            </w:r>
          </w:p>
          <w:p>
            <w:pPr>
              <w:spacing w:after="40" w:line="252" w:lineRule="auto"/>
            </w:pPr>
            <w:r>
              <w:rPr>
                <w:color w:val="2B2F36"/>
                <w:sz w:val="19"/>
              </w:rPr>
              <w:t xml:space="preserve">IMARC's India valve market (US$ 2.8 bn in 2025) is smaller than India's 2023 </w:t>
            </w:r>
            <w:r>
              <w:rPr>
                <w:b/>
                <w:color w:val="2B2F36"/>
                <w:sz w:val="19"/>
              </w:rPr>
              <w:t>exports</w:t>
            </w:r>
            <w:r>
              <w:rPr>
                <w:color w:val="2B2F36"/>
                <w:sz w:val="19"/>
              </w:rPr>
              <w:t xml:space="preserve"> of HS 8481 valves and parts (US$ 2.12 bn) would imply as a share (76 %). The two series do not measure the same thing: HS 8481 includes taps, cocks and valves of all materials, IMARC counts industrial valves. Use each only for its own purpose: IMARC for growth rate, UN Comtrade for export shares. Rev 5 quoted both without this caveat.</w:t>
            </w:r>
          </w:p>
        </w:tc>
      </w:tr>
    </w:tbl>
    <w:p>
      <w:pPr>
        <w:spacing w:after="40"/>
      </w:pPr>
    </w:p>
    <w:p>
      <w:pPr>
        <w:pStyle w:val="Heading2"/>
      </w:pPr>
      <w:r>
        <w:t>What this means for Bajaj Alloys</w:t>
      </w:r>
    </w:p>
    <w:p>
      <w:pPr>
        <w:pStyle w:val="ListBullet"/>
      </w:pPr>
      <w:r>
        <w:rPr>
          <w:b/>
        </w:rPr>
        <w:t>Valves are the growth engine</w:t>
      </w:r>
      <w:r>
        <w:t xml:space="preserve"> (5.7–6.1 %/yr). </w:t>
      </w:r>
      <w:r>
        <w:rPr>
          <w:b/>
        </w:rPr>
        <w:t>Pumps are steady volume</w:t>
      </w:r>
      <w:r>
        <w:t xml:space="preserve"> (2–3 %/yr): India's pump clusters buy gunmetal every month. </w:t>
      </w:r>
      <w:r>
        <w:rPr>
          <w:b/>
        </w:rPr>
        <w:t>Bearing bronze grows ~5 %/yr</w:t>
      </w:r>
      <w:r>
        <w:t xml:space="preserve"> with machinery, mining and infrastructure.</w:t>
      </w:r>
    </w:p>
    <w:p>
      <w:pPr>
        <w:pStyle w:val="ListBullet"/>
      </w:pPr>
      <w:r>
        <w:rPr>
          <w:b/>
        </w:rPr>
        <w:t>India drivers:</w:t>
      </w:r>
      <w:r>
        <w:t xml:space="preserve"> water supply and sanitation (Jal Jeevan Mission, Namami Gange), irrigation, fire-safety rules, industrial plants, railways and shipbuilding.</w:t>
      </w:r>
    </w:p>
    <w:p>
      <w:pPr>
        <w:pStyle w:val="Heading2"/>
      </w:pPr>
      <w:r>
        <w:t>One headwind: lead rules for drinking water</w:t>
      </w:r>
    </w:p>
    <w:p>
      <w:r>
        <w:t>In the USA the “lead-free” rule (≤ 0.25 % weighted-average lead in wetted surfaces) shuts all six grades out of potable-water taps, valves and fittings. The EU is less absolute: the 4MS positive list still accepts a gunmetal (GM1, referenced to CC491K) for drinking-water products subject to leaching tests, but the tap-water lead limit falls from 10 to 5 µg/l by 2036 and buyers are moving to low-lead gunmetal such as CuSn5Zn5Pb2 (CC499K). CC490K is most exposed because plumbing is its main use. Industrial, fire-fighting, marine, agricultural and bearing uses remain open.</w:t>
      </w:r>
    </w:p>
    <w:p>
      <w:pPr>
        <w:pStyle w:val="Heading1"/>
      </w:pPr>
      <w:r>
        <w:t>5. Export markets</w:t>
      </w:r>
    </w:p>
    <w:p>
      <w:r>
        <w:t xml:space="preserve">India exports very little bronze ingot (about US$ 14 m in 2023, HS 7403.22). The real export volume is in the products made from these alloys. </w:t>
      </w:r>
      <w:r>
        <w:rPr>
          <w:b/>
        </w:rPr>
        <w:t>Bajaj's export opportunity is to supply the Indian foundries and OEMs that export.</w:t>
      </w:r>
    </w:p>
    <w:p>
      <w:pPr>
        <w:keepNext/>
        <w:spacing w:after="40"/>
        <w:jc w:val="center"/>
      </w:pPr>
      <w:r>
        <w:drawing>
          <wp:inline xmlns:a="http://schemas.openxmlformats.org/drawingml/2006/main" xmlns:pic="http://schemas.openxmlformats.org/drawingml/2006/picture">
            <wp:extent cx="5400000" cy="2260041"/>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400000" cy="2260041"/>
                    </a:xfrm>
                    <a:prstGeom prst="rect"/>
                  </pic:spPr>
                </pic:pic>
              </a:graphicData>
            </a:graphic>
          </wp:inline>
        </w:drawing>
      </w:r>
    </w:p>
    <w:p>
      <w:pPr>
        <w:spacing w:after="160"/>
      </w:pPr>
      <w:r>
        <w:rPr>
          <w:b/>
          <w:color w:val="5B6470"/>
          <w:sz w:val="17"/>
        </w:rPr>
        <w:t>Figure 9.</w:t>
      </w:r>
      <w:r>
        <w:rPr>
          <w:color w:val="5B6470"/>
          <w:sz w:val="17"/>
        </w:rPr>
        <w:t xml:space="preserve"> India's exports of valves and pumps, 2019–2023 (TrendEconomy, from UN Comtrade). Valves +38 %, pumps +35 % from 2019 to 2023.</w:t>
      </w:r>
    </w:p>
    <w:p>
      <w:pPr>
        <w:keepNext/>
        <w:spacing w:after="40"/>
        <w:jc w:val="center"/>
      </w:pPr>
      <w:r>
        <w:drawing>
          <wp:inline xmlns:a="http://schemas.openxmlformats.org/drawingml/2006/main" xmlns:pic="http://schemas.openxmlformats.org/drawingml/2006/picture">
            <wp:extent cx="5400000" cy="252000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400000" cy="2520000"/>
                    </a:xfrm>
                    <a:prstGeom prst="rect"/>
                  </pic:spPr>
                </pic:pic>
              </a:graphicData>
            </a:graphic>
          </wp:inline>
        </w:drawing>
      </w:r>
    </w:p>
    <w:p>
      <w:pPr>
        <w:spacing w:after="160"/>
      </w:pPr>
      <w:r>
        <w:rPr>
          <w:b/>
          <w:color w:val="5B6470"/>
          <w:sz w:val="17"/>
        </w:rPr>
        <w:t>Figure 10.</w:t>
      </w:r>
      <w:r>
        <w:rPr>
          <w:color w:val="5B6470"/>
          <w:sz w:val="17"/>
        </w:rPr>
        <w:t xml:space="preserve"> Top destinations, 2023. The USA buys more than the next three markets combined in both products.</w:t>
      </w:r>
    </w:p>
    <w:p>
      <w:pPr>
        <w:keepNext/>
        <w:spacing w:after="40"/>
        <w:jc w:val="center"/>
      </w:pPr>
      <w:r>
        <w:drawing>
          <wp:inline xmlns:a="http://schemas.openxmlformats.org/drawingml/2006/main" xmlns:pic="http://schemas.openxmlformats.org/drawingml/2006/picture">
            <wp:extent cx="5040000" cy="2475000"/>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040000" cy="2475000"/>
                    </a:xfrm>
                    <a:prstGeom prst="rect"/>
                  </pic:spPr>
                </pic:pic>
              </a:graphicData>
            </a:graphic>
          </wp:inline>
        </w:drawing>
      </w:r>
    </w:p>
    <w:p>
      <w:pPr>
        <w:spacing w:after="160"/>
      </w:pPr>
      <w:r>
        <w:rPr>
          <w:b/>
          <w:color w:val="5B6470"/>
          <w:sz w:val="17"/>
        </w:rPr>
        <w:t>Figure 11.</w:t>
      </w:r>
      <w:r>
        <w:rPr>
          <w:color w:val="5B6470"/>
          <w:sz w:val="17"/>
        </w:rPr>
        <w:t xml:space="preserve"> What is exported. Parts are 36 % of valve and 44 % of pump exports: impellers, bowls, valve bodies and bushes are where gunmetal and bearing bronze go.</w:t>
      </w:r>
    </w:p>
    <w:p>
      <w:pPr>
        <w:keepNext/>
        <w:spacing w:after="40"/>
        <w:jc w:val="center"/>
      </w:pPr>
      <w:r>
        <w:drawing>
          <wp:inline xmlns:a="http://schemas.openxmlformats.org/drawingml/2006/main" xmlns:pic="http://schemas.openxmlformats.org/drawingml/2006/picture">
            <wp:extent cx="5040000" cy="1624715"/>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040000" cy="1624715"/>
                    </a:xfrm>
                    <a:prstGeom prst="rect"/>
                  </pic:spPr>
                </pic:pic>
              </a:graphicData>
            </a:graphic>
          </wp:inline>
        </w:drawing>
      </w:r>
    </w:p>
    <w:p>
      <w:pPr>
        <w:spacing w:after="160"/>
      </w:pPr>
      <w:r>
        <w:rPr>
          <w:b/>
          <w:color w:val="5B6470"/>
          <w:sz w:val="17"/>
        </w:rPr>
        <w:t>Figure 12.</w:t>
      </w:r>
      <w:r>
        <w:rPr>
          <w:color w:val="5B6470"/>
          <w:sz w:val="17"/>
        </w:rPr>
        <w:t xml:space="preserve"> USA share of India's 2023 exports in each product group linked to these alloys.</w:t>
      </w:r>
    </w:p>
    <w:p>
      <w:pPr>
        <w:keepNext/>
        <w:spacing w:after="40"/>
      </w:pPr>
      <w:r>
        <w:rPr>
          <w:b/>
          <w:color w:val="5B6470"/>
          <w:sz w:val="18"/>
        </w:rPr>
        <w:t>Table 8.</w:t>
      </w:r>
      <w:r>
        <w:rPr>
          <w:color w:val="5B6470"/>
          <w:sz w:val="18"/>
        </w:rPr>
        <w:t xml:space="preserve"> Export products linked to the six grades (2023)</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041"/>
        <w:gridCol w:w="1361"/>
        <w:gridCol w:w="1587"/>
        <w:gridCol w:w="2381"/>
        <w:gridCol w:w="2381"/>
      </w:tblGrid>
      <w:tr>
        <w:trPr>
          <w:cantSplit/>
          <w:tblHeader/>
        </w:trPr>
        <w:tc>
          <w:tcPr>
            <w:tcW w:type="dxa" w:w="2041"/>
            <w:shd w:val="clear" w:color="auto" w:fill="1F4E79"/>
            <w:vAlign w:val="center"/>
          </w:tcPr>
          <w:p>
            <w:pPr>
              <w:spacing w:after="0" w:line="240" w:lineRule="auto"/>
            </w:pPr>
            <w:r>
              <w:rPr>
                <w:b/>
                <w:color w:val="FFFFFF"/>
                <w:sz w:val="16"/>
              </w:rPr>
              <w:t>Export product (HS)</w:t>
            </w:r>
          </w:p>
        </w:tc>
        <w:tc>
          <w:tcPr>
            <w:tcW w:type="dxa" w:w="1361"/>
            <w:shd w:val="clear" w:color="auto" w:fill="1F4E79"/>
            <w:vAlign w:val="center"/>
          </w:tcPr>
          <w:p>
            <w:pPr>
              <w:spacing w:after="0" w:line="240" w:lineRule="auto"/>
            </w:pPr>
            <w:r>
              <w:rPr>
                <w:b/>
                <w:color w:val="FFFFFF"/>
                <w:sz w:val="16"/>
              </w:rPr>
              <w:t>India exports 2023</w:t>
            </w:r>
          </w:p>
        </w:tc>
        <w:tc>
          <w:tcPr>
            <w:tcW w:type="dxa" w:w="1587"/>
            <w:shd w:val="clear" w:color="auto" w:fill="1F4E79"/>
            <w:vAlign w:val="center"/>
          </w:tcPr>
          <w:p>
            <w:pPr>
              <w:spacing w:after="0" w:line="240" w:lineRule="auto"/>
            </w:pPr>
            <w:r>
              <w:rPr>
                <w:b/>
                <w:color w:val="FFFFFF"/>
                <w:sz w:val="16"/>
              </w:rPr>
              <w:t>Grades used</w:t>
            </w:r>
          </w:p>
        </w:tc>
        <w:tc>
          <w:tcPr>
            <w:tcW w:type="dxa" w:w="2381"/>
            <w:shd w:val="clear" w:color="auto" w:fill="1F4E79"/>
            <w:vAlign w:val="center"/>
          </w:tcPr>
          <w:p>
            <w:pPr>
              <w:spacing w:after="0" w:line="240" w:lineRule="auto"/>
            </w:pPr>
            <w:r>
              <w:rPr>
                <w:b/>
                <w:color w:val="FFFFFF"/>
                <w:sz w:val="16"/>
              </w:rPr>
              <w:t>Top buyers</w:t>
            </w:r>
          </w:p>
        </w:tc>
        <w:tc>
          <w:tcPr>
            <w:tcW w:type="dxa" w:w="2381"/>
            <w:shd w:val="clear" w:color="auto" w:fill="1F4E79"/>
            <w:vAlign w:val="center"/>
          </w:tcPr>
          <w:p>
            <w:pPr>
              <w:spacing w:after="0" w:line="240" w:lineRule="auto"/>
            </w:pPr>
            <w:r>
              <w:rPr>
                <w:b/>
                <w:color w:val="FFFFFF"/>
                <w:sz w:val="16"/>
              </w:rPr>
              <w:t>What buyers ask for</w:t>
            </w:r>
          </w:p>
        </w:tc>
      </w:tr>
      <w:tr>
        <w:trPr>
          <w:cantSplit/>
        </w:trPr>
        <w:tc>
          <w:tcPr>
            <w:tcW w:type="dxa" w:w="2041"/>
            <w:vAlign w:val="top"/>
          </w:tcPr>
          <w:p>
            <w:pPr>
              <w:spacing w:after="0" w:line="240" w:lineRule="auto"/>
            </w:pPr>
            <w:r>
              <w:rPr>
                <w:color w:val="2B2F36"/>
                <w:sz w:val="16"/>
              </w:rPr>
              <w:t>Valves &amp; parts (8481)</w:t>
            </w:r>
          </w:p>
        </w:tc>
        <w:tc>
          <w:tcPr>
            <w:tcW w:type="dxa" w:w="1361"/>
            <w:vAlign w:val="top"/>
          </w:tcPr>
          <w:p>
            <w:pPr>
              <w:spacing w:after="0" w:line="240" w:lineRule="auto"/>
            </w:pPr>
            <w:r>
              <w:rPr>
                <w:color w:val="2B2F36"/>
                <w:sz w:val="16"/>
              </w:rPr>
              <w:t>US$ 2.12 bn</w:t>
            </w:r>
          </w:p>
        </w:tc>
        <w:tc>
          <w:tcPr>
            <w:tcW w:type="dxa" w:w="1587"/>
            <w:vAlign w:val="top"/>
          </w:tcPr>
          <w:p>
            <w:pPr>
              <w:spacing w:after="0" w:line="240" w:lineRule="auto"/>
            </w:pPr>
            <w:r>
              <w:rPr>
                <w:color w:val="2B2F36"/>
                <w:sz w:val="16"/>
              </w:rPr>
              <w:t>CC490K–CC493K</w:t>
            </w:r>
          </w:p>
        </w:tc>
        <w:tc>
          <w:tcPr>
            <w:tcW w:type="dxa" w:w="2381"/>
            <w:vAlign w:val="top"/>
          </w:tcPr>
          <w:p>
            <w:pPr>
              <w:spacing w:after="0" w:line="240" w:lineRule="auto"/>
            </w:pPr>
            <w:r>
              <w:rPr>
                <w:color w:val="2B2F36"/>
                <w:sz w:val="16"/>
              </w:rPr>
              <w:t>USA 26 %, UAE 7 %, China 6 %, Saudi 5 %</w:t>
            </w:r>
          </w:p>
        </w:tc>
        <w:tc>
          <w:tcPr>
            <w:tcW w:type="dxa" w:w="2381"/>
            <w:vAlign w:val="top"/>
          </w:tcPr>
          <w:p>
            <w:pPr>
              <w:spacing w:after="0" w:line="240" w:lineRule="auto"/>
            </w:pPr>
            <w:r>
              <w:rPr>
                <w:color w:val="2B2F36"/>
                <w:sz w:val="16"/>
              </w:rPr>
              <w:t>Material certificate to EN 1982 / ASTM; lead-free for US drinking water</w:t>
            </w:r>
          </w:p>
        </w:tc>
      </w:tr>
      <w:tr>
        <w:trPr>
          <w:cantSplit/>
        </w:trPr>
        <w:tc>
          <w:tcPr>
            <w:tcW w:type="dxa" w:w="2041"/>
            <w:shd w:val="clear" w:color="auto" w:fill="F7F4EE"/>
            <w:vAlign w:val="top"/>
          </w:tcPr>
          <w:p>
            <w:pPr>
              <w:spacing w:after="0" w:line="240" w:lineRule="auto"/>
            </w:pPr>
            <w:r>
              <w:rPr>
                <w:color w:val="2B2F36"/>
                <w:sz w:val="16"/>
              </w:rPr>
              <w:t>Pumps &amp; parts (8413)</w:t>
            </w:r>
          </w:p>
        </w:tc>
        <w:tc>
          <w:tcPr>
            <w:tcW w:type="dxa" w:w="1361"/>
            <w:shd w:val="clear" w:color="auto" w:fill="F7F4EE"/>
            <w:vAlign w:val="top"/>
          </w:tcPr>
          <w:p>
            <w:pPr>
              <w:spacing w:after="0" w:line="240" w:lineRule="auto"/>
            </w:pPr>
            <w:r>
              <w:rPr>
                <w:color w:val="2B2F36"/>
                <w:sz w:val="16"/>
              </w:rPr>
              <w:t>US$ 1.32 bn</w:t>
            </w:r>
          </w:p>
        </w:tc>
        <w:tc>
          <w:tcPr>
            <w:tcW w:type="dxa" w:w="1587"/>
            <w:shd w:val="clear" w:color="auto" w:fill="F7F4EE"/>
            <w:vAlign w:val="top"/>
          </w:tcPr>
          <w:p>
            <w:pPr>
              <w:spacing w:after="0" w:line="240" w:lineRule="auto"/>
            </w:pPr>
            <w:r>
              <w:rPr>
                <w:color w:val="2B2F36"/>
                <w:sz w:val="16"/>
              </w:rPr>
              <w:t>CC491K–CC493K, CC495K</w:t>
            </w:r>
          </w:p>
        </w:tc>
        <w:tc>
          <w:tcPr>
            <w:tcW w:type="dxa" w:w="2381"/>
            <w:shd w:val="clear" w:color="auto" w:fill="F7F4EE"/>
            <w:vAlign w:val="top"/>
          </w:tcPr>
          <w:p>
            <w:pPr>
              <w:spacing w:after="0" w:line="240" w:lineRule="auto"/>
            </w:pPr>
            <w:r>
              <w:rPr>
                <w:color w:val="2B2F36"/>
                <w:sz w:val="16"/>
              </w:rPr>
              <w:t>USA 25 %, Germany 7 %, UAE 4 %, Saudi 4 %</w:t>
            </w:r>
          </w:p>
        </w:tc>
        <w:tc>
          <w:tcPr>
            <w:tcW w:type="dxa" w:w="2381"/>
            <w:shd w:val="clear" w:color="auto" w:fill="F7F4EE"/>
            <w:vAlign w:val="top"/>
          </w:tcPr>
          <w:p>
            <w:pPr>
              <w:spacing w:after="0" w:line="240" w:lineRule="auto"/>
            </w:pPr>
            <w:r>
              <w:rPr>
                <w:color w:val="2B2F36"/>
                <w:sz w:val="16"/>
              </w:rPr>
              <w:t>UL/FM listing for fire pumps; traceable chemistry</w:t>
            </w:r>
          </w:p>
        </w:tc>
      </w:tr>
      <w:tr>
        <w:trPr>
          <w:cantSplit/>
        </w:trPr>
        <w:tc>
          <w:tcPr>
            <w:tcW w:type="dxa" w:w="2041"/>
            <w:vAlign w:val="top"/>
          </w:tcPr>
          <w:p>
            <w:pPr>
              <w:spacing w:after="0" w:line="240" w:lineRule="auto"/>
            </w:pPr>
            <w:r>
              <w:rPr>
                <w:color w:val="2B2F36"/>
                <w:sz w:val="16"/>
              </w:rPr>
              <w:t>Plain shaft bearings &amp; housings (8483.30)</w:t>
            </w:r>
          </w:p>
        </w:tc>
        <w:tc>
          <w:tcPr>
            <w:tcW w:type="dxa" w:w="1361"/>
            <w:vAlign w:val="top"/>
          </w:tcPr>
          <w:p>
            <w:pPr>
              <w:spacing w:after="0" w:line="240" w:lineRule="auto"/>
            </w:pPr>
            <w:r>
              <w:rPr>
                <w:color w:val="2B2F36"/>
                <w:sz w:val="16"/>
              </w:rPr>
              <w:t>US$ 143 m</w:t>
            </w:r>
          </w:p>
        </w:tc>
        <w:tc>
          <w:tcPr>
            <w:tcW w:type="dxa" w:w="1587"/>
            <w:vAlign w:val="top"/>
          </w:tcPr>
          <w:p>
            <w:pPr>
              <w:spacing w:after="0" w:line="240" w:lineRule="auto"/>
            </w:pPr>
            <w:r>
              <w:rPr>
                <w:color w:val="2B2F36"/>
                <w:sz w:val="16"/>
              </w:rPr>
              <w:t>CC493K–CC495K</w:t>
            </w:r>
          </w:p>
        </w:tc>
        <w:tc>
          <w:tcPr>
            <w:tcW w:type="dxa" w:w="2381"/>
            <w:vAlign w:val="top"/>
          </w:tcPr>
          <w:p>
            <w:pPr>
              <w:spacing w:after="0" w:line="240" w:lineRule="auto"/>
            </w:pPr>
            <w:r>
              <w:rPr>
                <w:color w:val="2B2F36"/>
                <w:sz w:val="16"/>
              </w:rPr>
              <w:t>HS 8483 overall: USA 43 %, Germany 10 %, Italy 6 %</w:t>
            </w:r>
          </w:p>
        </w:tc>
        <w:tc>
          <w:tcPr>
            <w:tcW w:type="dxa" w:w="2381"/>
            <w:vAlign w:val="top"/>
          </w:tcPr>
          <w:p>
            <w:pPr>
              <w:spacing w:after="0" w:line="240" w:lineRule="auto"/>
            </w:pPr>
            <w:r>
              <w:rPr>
                <w:color w:val="2B2F36"/>
                <w:sz w:val="16"/>
              </w:rPr>
              <w:t>Dimensional and chemistry certificates</w:t>
            </w:r>
          </w:p>
        </w:tc>
      </w:tr>
      <w:tr>
        <w:trPr>
          <w:cantSplit/>
        </w:trPr>
        <w:tc>
          <w:tcPr>
            <w:tcW w:type="dxa" w:w="2041"/>
            <w:shd w:val="clear" w:color="auto" w:fill="F7F4EE"/>
            <w:vAlign w:val="top"/>
          </w:tcPr>
          <w:p>
            <w:pPr>
              <w:spacing w:after="0" w:line="240" w:lineRule="auto"/>
            </w:pPr>
            <w:r>
              <w:rPr>
                <w:color w:val="2B2F36"/>
                <w:sz w:val="16"/>
              </w:rPr>
              <w:t>Other copper articles incl. castings (7419)</w:t>
            </w:r>
          </w:p>
        </w:tc>
        <w:tc>
          <w:tcPr>
            <w:tcW w:type="dxa" w:w="1361"/>
            <w:shd w:val="clear" w:color="auto" w:fill="F7F4EE"/>
            <w:vAlign w:val="top"/>
          </w:tcPr>
          <w:p>
            <w:pPr>
              <w:spacing w:after="0" w:line="240" w:lineRule="auto"/>
            </w:pPr>
            <w:r>
              <w:rPr>
                <w:color w:val="2B2F36"/>
                <w:sz w:val="16"/>
              </w:rPr>
              <w:t>US$ 338 m</w:t>
            </w:r>
          </w:p>
        </w:tc>
        <w:tc>
          <w:tcPr>
            <w:tcW w:type="dxa" w:w="1587"/>
            <w:shd w:val="clear" w:color="auto" w:fill="F7F4EE"/>
            <w:vAlign w:val="top"/>
          </w:tcPr>
          <w:p>
            <w:pPr>
              <w:spacing w:after="0" w:line="240" w:lineRule="auto"/>
            </w:pPr>
            <w:r>
              <w:rPr>
                <w:color w:val="2B2F36"/>
                <w:sz w:val="16"/>
              </w:rPr>
              <w:t>All six</w:t>
            </w:r>
          </w:p>
        </w:tc>
        <w:tc>
          <w:tcPr>
            <w:tcW w:type="dxa" w:w="2381"/>
            <w:shd w:val="clear" w:color="auto" w:fill="F7F4EE"/>
            <w:vAlign w:val="top"/>
          </w:tcPr>
          <w:p>
            <w:pPr>
              <w:spacing w:after="0" w:line="240" w:lineRule="auto"/>
            </w:pPr>
            <w:r>
              <w:rPr>
                <w:color w:val="2B2F36"/>
                <w:sz w:val="16"/>
              </w:rPr>
              <w:t>USA 34 %, Indonesia 13 %, Colombia 6 %</w:t>
            </w:r>
          </w:p>
        </w:tc>
        <w:tc>
          <w:tcPr>
            <w:tcW w:type="dxa" w:w="2381"/>
            <w:shd w:val="clear" w:color="auto" w:fill="F7F4EE"/>
            <w:vAlign w:val="top"/>
          </w:tcPr>
          <w:p>
            <w:pPr>
              <w:spacing w:after="0" w:line="240" w:lineRule="auto"/>
            </w:pPr>
            <w:r>
              <w:rPr>
                <w:color w:val="2B2F36"/>
                <w:sz w:val="16"/>
              </w:rPr>
              <w:t>Spec-grade chemistry</w:t>
            </w:r>
          </w:p>
        </w:tc>
      </w:tr>
      <w:tr>
        <w:trPr>
          <w:cantSplit/>
        </w:trPr>
        <w:tc>
          <w:tcPr>
            <w:tcW w:type="dxa" w:w="2041"/>
            <w:vAlign w:val="top"/>
          </w:tcPr>
          <w:p>
            <w:pPr>
              <w:spacing w:after="0" w:line="240" w:lineRule="auto"/>
            </w:pPr>
            <w:r>
              <w:rPr>
                <w:color w:val="2B2F36"/>
                <w:sz w:val="16"/>
              </w:rPr>
              <w:t>Bronze ingot (7403.22)</w:t>
            </w:r>
          </w:p>
        </w:tc>
        <w:tc>
          <w:tcPr>
            <w:tcW w:type="dxa" w:w="1361"/>
            <w:vAlign w:val="top"/>
          </w:tcPr>
          <w:p>
            <w:pPr>
              <w:spacing w:after="0" w:line="240" w:lineRule="auto"/>
            </w:pPr>
            <w:r>
              <w:rPr>
                <w:color w:val="2B2F36"/>
                <w:sz w:val="16"/>
              </w:rPr>
              <w:t>US$ 14 m</w:t>
            </w:r>
          </w:p>
        </w:tc>
        <w:tc>
          <w:tcPr>
            <w:tcW w:type="dxa" w:w="1587"/>
            <w:vAlign w:val="top"/>
          </w:tcPr>
          <w:p>
            <w:pPr>
              <w:spacing w:after="0" w:line="240" w:lineRule="auto"/>
            </w:pPr>
            <w:r>
              <w:rPr>
                <w:color w:val="2B2F36"/>
                <w:sz w:val="16"/>
              </w:rPr>
              <w:t>All six</w:t>
            </w:r>
          </w:p>
        </w:tc>
        <w:tc>
          <w:tcPr>
            <w:tcW w:type="dxa" w:w="2381"/>
            <w:vAlign w:val="top"/>
          </w:tcPr>
          <w:p>
            <w:pPr>
              <w:spacing w:after="0" w:line="240" w:lineRule="auto"/>
            </w:pPr>
            <w:r>
              <w:rPr>
                <w:color w:val="2B2F36"/>
                <w:sz w:val="16"/>
              </w:rPr>
              <w:t>Small, scattered</w:t>
            </w:r>
          </w:p>
        </w:tc>
        <w:tc>
          <w:tcPr>
            <w:tcW w:type="dxa" w:w="2381"/>
            <w:vAlign w:val="top"/>
          </w:tcPr>
          <w:p>
            <w:pPr>
              <w:spacing w:after="0" w:line="240" w:lineRule="auto"/>
            </w:pPr>
            <w:r>
              <w:rPr>
                <w:color w:val="2B2F36"/>
                <w:sz w:val="16"/>
              </w:rPr>
              <w:t>Spectro certificate</w:t>
            </w:r>
          </w:p>
        </w:tc>
      </w:tr>
    </w:tbl>
    <w:p>
      <w:pPr>
        <w:spacing w:after="40"/>
      </w:pP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1F4E79"/>
            </w:tcBorders>
            <w:shd w:val="clear" w:color="auto" w:fill="EEF3F8"/>
          </w:tcPr>
          <w:p>
            <w:pPr>
              <w:spacing w:after="60"/>
            </w:pPr>
            <w:r>
              <w:rPr>
                <w:b/>
                <w:color w:val="1F4E79"/>
                <w:sz w:val="20"/>
              </w:rPr>
              <w:t>Export takeaways</w:t>
            </w:r>
          </w:p>
          <w:p>
            <w:pPr>
              <w:spacing w:after="40" w:line="252" w:lineRule="auto"/>
              <w:ind w:left="255" w:hanging="255"/>
            </w:pPr>
            <w:r>
              <w:rPr>
                <w:color w:val="2B2F36"/>
                <w:sz w:val="19"/>
              </w:rPr>
              <w:t xml:space="preserve">• </w:t>
            </w:r>
            <w:r>
              <w:rPr>
                <w:b/>
                <w:color w:val="2B2F36"/>
                <w:sz w:val="19"/>
              </w:rPr>
              <w:t>Follow the exporters.</w:t>
            </w:r>
            <w:r>
              <w:rPr>
                <w:color w:val="2B2F36"/>
                <w:sz w:val="19"/>
              </w:rPr>
              <w:t xml:space="preserve"> Pump-part and valve foundries in Coimbatore, Rajkot, Ahmedabad and Kolhapur ship to the USA, Gulf and Europe and need certified, consistent ingot. These clusters are 900–2,300 km from Bhiwadi (Section 9.4), so export-cluster selling is a market-development move after the NCR base is won.</w:t>
            </w:r>
          </w:p>
          <w:p>
            <w:pPr>
              <w:spacing w:after="40" w:line="252" w:lineRule="auto"/>
              <w:ind w:left="255" w:hanging="255"/>
            </w:pPr>
            <w:r>
              <w:rPr>
                <w:color w:val="2B2F36"/>
                <w:sz w:val="19"/>
              </w:rPr>
              <w:t xml:space="preserve">• </w:t>
            </w:r>
            <w:r>
              <w:rPr>
                <w:b/>
                <w:color w:val="2B2F36"/>
                <w:sz w:val="19"/>
              </w:rPr>
              <w:t>Fire safety is a niche worth chasing.</w:t>
            </w:r>
            <w:r>
              <w:rPr>
                <w:color w:val="2B2F36"/>
                <w:sz w:val="19"/>
              </w:rPr>
              <w:t xml:space="preserve"> Bronze-fitted fire pumps and IS 5290 hydrant valves use CC491K/CC492K; Gulf construction keeps demand steady.</w:t>
            </w:r>
          </w:p>
          <w:p>
            <w:pPr>
              <w:spacing w:after="40" w:line="252" w:lineRule="auto"/>
              <w:ind w:left="255" w:hanging="255"/>
            </w:pPr>
            <w:r>
              <w:rPr>
                <w:color w:val="2B2F36"/>
                <w:sz w:val="19"/>
              </w:rPr>
              <w:t xml:space="preserve">• </w:t>
            </w:r>
            <w:r>
              <w:rPr>
                <w:b/>
                <w:color w:val="2B2F36"/>
                <w:sz w:val="19"/>
              </w:rPr>
              <w:t>Watch US trade policy.</w:t>
            </w:r>
            <w:r>
              <w:rPr>
                <w:color w:val="2B2F36"/>
                <w:sz w:val="19"/>
              </w:rPr>
              <w:t xml:space="preserve"> The USA is the largest buyer in every group. US tariffs on Indian goods have changed several times since August 2025 (50 %, then about 18 % after the February 2026 deal, plus a 10 % Section 301 duty on many lines from July 2026). This was not re-verified in Rev 6: check the rate for the exact HS code before relying on US-bound volumes.</w:t>
            </w:r>
          </w:p>
        </w:tc>
      </w:tr>
    </w:tbl>
    <w:p>
      <w:pPr>
        <w:spacing w:after="40"/>
      </w:pPr>
    </w:p>
    <w:p>
      <w:pPr>
        <w:keepNext/>
        <w:spacing w:after="40"/>
        <w:jc w:val="center"/>
      </w:pPr>
      <w:r>
        <w:drawing>
          <wp:inline xmlns:a="http://schemas.openxmlformats.org/drawingml/2006/main" xmlns:pic="http://schemas.openxmlformats.org/drawingml/2006/picture">
            <wp:extent cx="5400000" cy="2305537"/>
            <wp:docPr id="13" name="Picture 13"/>
            <wp:cNvGraphicFramePr>
              <a:graphicFrameLocks noChangeAspect="1"/>
            </wp:cNvGraphicFramePr>
            <a:graphic>
              <a:graphicData uri="http://schemas.openxmlformats.org/drawingml/2006/picture">
                <pic:pic>
                  <pic:nvPicPr>
                    <pic:cNvPr id="0" name="image23.png"/>
                    <pic:cNvPicPr/>
                  </pic:nvPicPr>
                  <pic:blipFill>
                    <a:blip r:embed="rId23"/>
                    <a:stretch>
                      <a:fillRect/>
                    </a:stretch>
                  </pic:blipFill>
                  <pic:spPr>
                    <a:xfrm>
                      <a:off x="0" y="0"/>
                      <a:ext cx="5400000" cy="2305537"/>
                    </a:xfrm>
                    <a:prstGeom prst="rect"/>
                  </pic:spPr>
                </pic:pic>
              </a:graphicData>
            </a:graphic>
          </wp:inline>
        </w:drawing>
      </w:r>
    </w:p>
    <w:p>
      <w:pPr>
        <w:spacing w:after="160"/>
      </w:pPr>
      <w:r>
        <w:rPr>
          <w:b/>
          <w:color w:val="5B6470"/>
          <w:sz w:val="17"/>
        </w:rPr>
        <w:t>Figure 13.</w:t>
      </w:r>
      <w:r>
        <w:rPr>
          <w:color w:val="5B6470"/>
          <w:sz w:val="17"/>
        </w:rPr>
        <w:t xml:space="preserve"> LME cash settlement on the first trading day of each month in 2026: copper +14 %, tin +29 % since 2 Jan.</w:t>
      </w:r>
    </w:p>
    <w:p>
      <w:r>
        <w:br w:type="page"/>
      </w:r>
    </w:p>
    <w:p>
      <w:pPr>
        <w:pStyle w:val="Heading1"/>
      </w:pPr>
      <w:r>
        <w:t>6. Ingot economics (rebuilt)</w:t>
      </w:r>
    </w:p>
    <w:p>
      <w:r>
        <w:t xml:space="preserve">This section replaces Rev 5 Sections 9 and 7.6's ingot lines. Bajaj Alloys sells </w:t>
      </w:r>
      <w:r>
        <w:rPr>
          <w:b/>
        </w:rPr>
        <w:t>ingot</w:t>
      </w:r>
      <w:r>
        <w:t>: cast bars or pigs of a certified alloy that foundries and bush makers remelt. Everything below is per kg of ingot. The model has three layers: (1) the metal value of the alloy at LME prices, (2) the formula price Bajaj quotes, and (3) Bajaj's own metal cost when it feeds the furnace with scrap.</w:t>
      </w:r>
    </w:p>
    <w:p>
      <w:pPr>
        <w:pStyle w:val="Heading2"/>
      </w:pPr>
      <w:r>
        <w:t>6.1 The product: ingot grade sheet and quote formula</w:t>
      </w:r>
    </w:p>
    <w:p>
      <w:pPr>
        <w:keepNext/>
        <w:spacing w:after="40"/>
      </w:pPr>
      <w:r>
        <w:rPr>
          <w:b/>
          <w:color w:val="5B6470"/>
          <w:sz w:val="18"/>
        </w:rPr>
        <w:t>Table 9.</w:t>
      </w:r>
      <w:r>
        <w:rPr>
          <w:color w:val="5B6470"/>
          <w:sz w:val="18"/>
        </w:rPr>
        <w:t xml:space="preserve"> Ingot sheet: what Bajaj certifies and how each grade is priced (nominal % are the coefficients of the price formula)</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361"/>
        <w:gridCol w:w="1417"/>
        <w:gridCol w:w="1361"/>
        <w:gridCol w:w="2381"/>
        <w:gridCol w:w="3231"/>
      </w:tblGrid>
      <w:tr>
        <w:trPr>
          <w:cantSplit/>
          <w:tblHeader/>
        </w:trPr>
        <w:tc>
          <w:tcPr>
            <w:tcW w:type="dxa" w:w="1361"/>
            <w:shd w:val="clear" w:color="auto" w:fill="1F4E79"/>
            <w:vAlign w:val="center"/>
          </w:tcPr>
          <w:p>
            <w:pPr>
              <w:spacing w:after="0" w:line="240" w:lineRule="auto"/>
            </w:pPr>
            <w:r>
              <w:rPr>
                <w:b/>
                <w:color w:val="FFFFFF"/>
                <w:sz w:val="16"/>
              </w:rPr>
              <w:t>Grade (ingot code)</w:t>
            </w:r>
          </w:p>
        </w:tc>
        <w:tc>
          <w:tcPr>
            <w:tcW w:type="dxa" w:w="1417"/>
            <w:shd w:val="clear" w:color="auto" w:fill="1F4E79"/>
            <w:vAlign w:val="center"/>
          </w:tcPr>
          <w:p>
            <w:pPr>
              <w:spacing w:after="0" w:line="240" w:lineRule="auto"/>
            </w:pPr>
            <w:r>
              <w:rPr>
                <w:b/>
                <w:color w:val="FFFFFF"/>
                <w:sz w:val="16"/>
              </w:rPr>
              <w:t>Nominal Cu-Sn-Pb-Zn, %</w:t>
            </w:r>
          </w:p>
        </w:tc>
        <w:tc>
          <w:tcPr>
            <w:tcW w:type="dxa" w:w="1361"/>
            <w:shd w:val="clear" w:color="auto" w:fill="1F4E79"/>
            <w:vAlign w:val="center"/>
          </w:tcPr>
          <w:p>
            <w:pPr>
              <w:spacing w:after="0" w:line="240" w:lineRule="auto"/>
            </w:pPr>
            <w:r>
              <w:rPr>
                <w:b/>
                <w:color w:val="FFFFFF"/>
                <w:sz w:val="16"/>
              </w:rPr>
              <w:t>UNS / IS 318</w:t>
            </w:r>
          </w:p>
        </w:tc>
        <w:tc>
          <w:tcPr>
            <w:tcW w:type="dxa" w:w="2381"/>
            <w:shd w:val="clear" w:color="auto" w:fill="1F4E79"/>
            <w:vAlign w:val="center"/>
          </w:tcPr>
          <w:p>
            <w:pPr>
              <w:spacing w:after="0" w:line="240" w:lineRule="auto"/>
            </w:pPr>
            <w:r>
              <w:rPr>
                <w:b/>
                <w:color w:val="FFFFFF"/>
                <w:sz w:val="16"/>
              </w:rPr>
              <w:t>Main buyers</w:t>
            </w:r>
          </w:p>
        </w:tc>
        <w:tc>
          <w:tcPr>
            <w:tcW w:type="dxa" w:w="3231"/>
            <w:shd w:val="clear" w:color="auto" w:fill="1F4E79"/>
            <w:vAlign w:val="center"/>
          </w:tcPr>
          <w:p>
            <w:pPr>
              <w:spacing w:after="0" w:line="240" w:lineRule="auto"/>
            </w:pPr>
            <w:r>
              <w:rPr>
                <w:b/>
                <w:color w:val="FFFFFF"/>
                <w:sz w:val="16"/>
              </w:rPr>
              <w:t>Quote formula, ₹/kg (metals at LME × ₹/US$ ÷ 1,000)</w:t>
            </w:r>
          </w:p>
        </w:tc>
      </w:tr>
      <w:tr>
        <w:trPr>
          <w:cantSplit/>
        </w:trPr>
        <w:tc>
          <w:tcPr>
            <w:tcW w:type="dxa" w:w="1361"/>
            <w:vAlign w:val="top"/>
          </w:tcPr>
          <w:p>
            <w:pPr>
              <w:spacing w:after="0" w:line="240" w:lineRule="auto"/>
            </w:pPr>
            <w:r>
              <w:rPr>
                <w:color w:val="2B2F36"/>
                <w:sz w:val="16"/>
              </w:rPr>
              <w:t>CC490K (CB490K)</w:t>
            </w:r>
          </w:p>
        </w:tc>
        <w:tc>
          <w:tcPr>
            <w:tcW w:type="dxa" w:w="1417"/>
            <w:vAlign w:val="top"/>
          </w:tcPr>
          <w:p>
            <w:pPr>
              <w:spacing w:after="0" w:line="240" w:lineRule="auto"/>
            </w:pPr>
            <w:r>
              <w:rPr>
                <w:color w:val="2B2F36"/>
                <w:sz w:val="16"/>
              </w:rPr>
              <w:t>84-3-5-8</w:t>
            </w:r>
          </w:p>
        </w:tc>
        <w:tc>
          <w:tcPr>
            <w:tcW w:type="dxa" w:w="1361"/>
            <w:vAlign w:val="top"/>
          </w:tcPr>
          <w:p>
            <w:pPr>
              <w:spacing w:after="0" w:line="240" w:lineRule="auto"/>
            </w:pPr>
            <w:r>
              <w:rPr>
                <w:color w:val="2B2F36"/>
                <w:sz w:val="16"/>
              </w:rPr>
              <w:t>C84400 / confirm</w:t>
            </w:r>
          </w:p>
        </w:tc>
        <w:tc>
          <w:tcPr>
            <w:tcW w:type="dxa" w:w="2381"/>
            <w:vAlign w:val="top"/>
          </w:tcPr>
          <w:p>
            <w:pPr>
              <w:spacing w:after="0" w:line="240" w:lineRule="auto"/>
            </w:pPr>
            <w:r>
              <w:rPr>
                <w:color w:val="2B2F36"/>
                <w:sz w:val="16"/>
              </w:rPr>
              <w:t>Plumbing, general hardware, budget impellers</w:t>
            </w:r>
          </w:p>
        </w:tc>
        <w:tc>
          <w:tcPr>
            <w:tcW w:type="dxa" w:w="3231"/>
            <w:vAlign w:val="top"/>
          </w:tcPr>
          <w:p>
            <w:pPr>
              <w:spacing w:after="0" w:line="240" w:lineRule="auto"/>
            </w:pPr>
            <w:r>
              <w:rPr>
                <w:color w:val="2B2F36"/>
                <w:sz w:val="16"/>
              </w:rPr>
              <w:t>(0.84×Cu + 0.03×Sn + 0.05×Pb + 0.08×Zn) × 1.025 + 50</w:t>
            </w:r>
          </w:p>
        </w:tc>
      </w:tr>
      <w:tr>
        <w:trPr>
          <w:cantSplit/>
        </w:trPr>
        <w:tc>
          <w:tcPr>
            <w:tcW w:type="dxa" w:w="1361"/>
            <w:shd w:val="clear" w:color="auto" w:fill="F7F4EE"/>
            <w:vAlign w:val="top"/>
          </w:tcPr>
          <w:p>
            <w:pPr>
              <w:spacing w:after="0" w:line="240" w:lineRule="auto"/>
            </w:pPr>
            <w:r>
              <w:rPr>
                <w:color w:val="2B2F36"/>
                <w:sz w:val="16"/>
              </w:rPr>
              <w:t>CC491K (CB491K)</w:t>
            </w:r>
          </w:p>
        </w:tc>
        <w:tc>
          <w:tcPr>
            <w:tcW w:type="dxa" w:w="1417"/>
            <w:shd w:val="clear" w:color="auto" w:fill="F7F4EE"/>
            <w:vAlign w:val="top"/>
          </w:tcPr>
          <w:p>
            <w:pPr>
              <w:spacing w:after="0" w:line="240" w:lineRule="auto"/>
            </w:pPr>
            <w:r>
              <w:rPr>
                <w:color w:val="2B2F36"/>
                <w:sz w:val="16"/>
              </w:rPr>
              <w:t>85-5-5-5</w:t>
            </w:r>
          </w:p>
        </w:tc>
        <w:tc>
          <w:tcPr>
            <w:tcW w:type="dxa" w:w="1361"/>
            <w:shd w:val="clear" w:color="auto" w:fill="F7F4EE"/>
            <w:vAlign w:val="top"/>
          </w:tcPr>
          <w:p>
            <w:pPr>
              <w:spacing w:after="0" w:line="240" w:lineRule="auto"/>
            </w:pPr>
            <w:r>
              <w:rPr>
                <w:color w:val="2B2F36"/>
                <w:sz w:val="16"/>
              </w:rPr>
              <w:t>C83600 / LTB 2</w:t>
            </w:r>
          </w:p>
        </w:tc>
        <w:tc>
          <w:tcPr>
            <w:tcW w:type="dxa" w:w="2381"/>
            <w:shd w:val="clear" w:color="auto" w:fill="F7F4EE"/>
            <w:vAlign w:val="top"/>
          </w:tcPr>
          <w:p>
            <w:pPr>
              <w:spacing w:after="0" w:line="240" w:lineRule="auto"/>
            </w:pPr>
            <w:r>
              <w:rPr>
                <w:color w:val="2B2F36"/>
                <w:sz w:val="16"/>
              </w:rPr>
              <w:t>Pump, valve, fire, marine foundries</w:t>
            </w:r>
          </w:p>
        </w:tc>
        <w:tc>
          <w:tcPr>
            <w:tcW w:type="dxa" w:w="3231"/>
            <w:shd w:val="clear" w:color="auto" w:fill="F7F4EE"/>
            <w:vAlign w:val="top"/>
          </w:tcPr>
          <w:p>
            <w:pPr>
              <w:spacing w:after="0" w:line="240" w:lineRule="auto"/>
            </w:pPr>
            <w:r>
              <w:rPr>
                <w:color w:val="2B2F36"/>
                <w:sz w:val="16"/>
              </w:rPr>
              <w:t>(0.85×Cu + 0.05×Sn + 0.05×Pb + 0.05×Zn) × 1.025 + 50</w:t>
            </w:r>
          </w:p>
        </w:tc>
      </w:tr>
      <w:tr>
        <w:trPr>
          <w:cantSplit/>
        </w:trPr>
        <w:tc>
          <w:tcPr>
            <w:tcW w:type="dxa" w:w="1361"/>
            <w:vAlign w:val="top"/>
          </w:tcPr>
          <w:p>
            <w:pPr>
              <w:spacing w:after="0" w:line="240" w:lineRule="auto"/>
            </w:pPr>
            <w:r>
              <w:rPr>
                <w:color w:val="2B2F36"/>
                <w:sz w:val="16"/>
              </w:rPr>
              <w:t>CC492K (CB492K)</w:t>
            </w:r>
          </w:p>
        </w:tc>
        <w:tc>
          <w:tcPr>
            <w:tcW w:type="dxa" w:w="1417"/>
            <w:vAlign w:val="top"/>
          </w:tcPr>
          <w:p>
            <w:pPr>
              <w:spacing w:after="0" w:line="240" w:lineRule="auto"/>
            </w:pPr>
            <w:r>
              <w:rPr>
                <w:color w:val="2B2F36"/>
                <w:sz w:val="16"/>
              </w:rPr>
              <w:t>88-7-3-2</w:t>
            </w:r>
          </w:p>
        </w:tc>
        <w:tc>
          <w:tcPr>
            <w:tcW w:type="dxa" w:w="1361"/>
            <w:vAlign w:val="top"/>
          </w:tcPr>
          <w:p>
            <w:pPr>
              <w:spacing w:after="0" w:line="240" w:lineRule="auto"/>
            </w:pPr>
            <w:r>
              <w:rPr>
                <w:color w:val="2B2F36"/>
                <w:sz w:val="16"/>
              </w:rPr>
              <w:t>≈C92200 / confirm</w:t>
            </w:r>
          </w:p>
        </w:tc>
        <w:tc>
          <w:tcPr>
            <w:tcW w:type="dxa" w:w="2381"/>
            <w:vAlign w:val="top"/>
          </w:tcPr>
          <w:p>
            <w:pPr>
              <w:spacing w:after="0" w:line="240" w:lineRule="auto"/>
            </w:pPr>
            <w:r>
              <w:rPr>
                <w:color w:val="2B2F36"/>
                <w:sz w:val="16"/>
              </w:rPr>
              <w:t>High-duty pump, marine, railway</w:t>
            </w:r>
          </w:p>
        </w:tc>
        <w:tc>
          <w:tcPr>
            <w:tcW w:type="dxa" w:w="3231"/>
            <w:vAlign w:val="top"/>
          </w:tcPr>
          <w:p>
            <w:pPr>
              <w:spacing w:after="0" w:line="240" w:lineRule="auto"/>
            </w:pPr>
            <w:r>
              <w:rPr>
                <w:color w:val="2B2F36"/>
                <w:sz w:val="16"/>
              </w:rPr>
              <w:t>(0.88×Cu + 0.07×Sn + 0.03×Pb + 0.02×Zn) × 1.025 + 50</w:t>
            </w:r>
          </w:p>
        </w:tc>
      </w:tr>
      <w:tr>
        <w:trPr>
          <w:cantSplit/>
        </w:trPr>
        <w:tc>
          <w:tcPr>
            <w:tcW w:type="dxa" w:w="1361"/>
            <w:shd w:val="clear" w:color="auto" w:fill="F7F4EE"/>
            <w:vAlign w:val="top"/>
          </w:tcPr>
          <w:p>
            <w:pPr>
              <w:spacing w:after="0" w:line="240" w:lineRule="auto"/>
            </w:pPr>
            <w:r>
              <w:rPr>
                <w:color w:val="2B2F36"/>
                <w:sz w:val="16"/>
              </w:rPr>
              <w:t>CC493K (CB493K)</w:t>
            </w:r>
          </w:p>
        </w:tc>
        <w:tc>
          <w:tcPr>
            <w:tcW w:type="dxa" w:w="1417"/>
            <w:shd w:val="clear" w:color="auto" w:fill="F7F4EE"/>
            <w:vAlign w:val="top"/>
          </w:tcPr>
          <w:p>
            <w:pPr>
              <w:spacing w:after="0" w:line="240" w:lineRule="auto"/>
            </w:pPr>
            <w:r>
              <w:rPr>
                <w:color w:val="2B2F36"/>
                <w:sz w:val="16"/>
              </w:rPr>
              <w:t>83-7-6.5-3.5</w:t>
            </w:r>
          </w:p>
        </w:tc>
        <w:tc>
          <w:tcPr>
            <w:tcW w:type="dxa" w:w="1361"/>
            <w:shd w:val="clear" w:color="auto" w:fill="F7F4EE"/>
            <w:vAlign w:val="top"/>
          </w:tcPr>
          <w:p>
            <w:pPr>
              <w:spacing w:after="0" w:line="240" w:lineRule="auto"/>
            </w:pPr>
            <w:r>
              <w:rPr>
                <w:color w:val="2B2F36"/>
                <w:sz w:val="16"/>
              </w:rPr>
              <w:t>C93200 / confirm</w:t>
            </w:r>
          </w:p>
        </w:tc>
        <w:tc>
          <w:tcPr>
            <w:tcW w:type="dxa" w:w="2381"/>
            <w:shd w:val="clear" w:color="auto" w:fill="F7F4EE"/>
            <w:vAlign w:val="top"/>
          </w:tcPr>
          <w:p>
            <w:pPr>
              <w:spacing w:after="0" w:line="240" w:lineRule="auto"/>
            </w:pPr>
            <w:r>
              <w:rPr>
                <w:color w:val="2B2F36"/>
                <w:sz w:val="16"/>
              </w:rPr>
              <w:t>Bush makers, valve trim, hydraulics</w:t>
            </w:r>
          </w:p>
        </w:tc>
        <w:tc>
          <w:tcPr>
            <w:tcW w:type="dxa" w:w="3231"/>
            <w:shd w:val="clear" w:color="auto" w:fill="F7F4EE"/>
            <w:vAlign w:val="top"/>
          </w:tcPr>
          <w:p>
            <w:pPr>
              <w:spacing w:after="0" w:line="240" w:lineRule="auto"/>
            </w:pPr>
            <w:r>
              <w:rPr>
                <w:color w:val="2B2F36"/>
                <w:sz w:val="16"/>
              </w:rPr>
              <w:t>(0.83×Cu + 0.07×Sn + 0.065×Pb + 0.035×Zn) × 1.025 + 50</w:t>
            </w:r>
          </w:p>
        </w:tc>
      </w:tr>
      <w:tr>
        <w:trPr>
          <w:cantSplit/>
        </w:trPr>
        <w:tc>
          <w:tcPr>
            <w:tcW w:type="dxa" w:w="1361"/>
            <w:vAlign w:val="top"/>
          </w:tcPr>
          <w:p>
            <w:pPr>
              <w:spacing w:after="0" w:line="240" w:lineRule="auto"/>
            </w:pPr>
            <w:r>
              <w:rPr>
                <w:color w:val="2B2F36"/>
                <w:sz w:val="16"/>
              </w:rPr>
              <w:t>CC494K (CB494K)</w:t>
            </w:r>
          </w:p>
        </w:tc>
        <w:tc>
          <w:tcPr>
            <w:tcW w:type="dxa" w:w="1417"/>
            <w:vAlign w:val="top"/>
          </w:tcPr>
          <w:p>
            <w:pPr>
              <w:spacing w:after="0" w:line="240" w:lineRule="auto"/>
            </w:pPr>
            <w:r>
              <w:rPr>
                <w:color w:val="2B2F36"/>
                <w:sz w:val="16"/>
              </w:rPr>
              <w:t>85-5-9-1</w:t>
            </w:r>
          </w:p>
        </w:tc>
        <w:tc>
          <w:tcPr>
            <w:tcW w:type="dxa" w:w="1361"/>
            <w:vAlign w:val="top"/>
          </w:tcPr>
          <w:p>
            <w:pPr>
              <w:spacing w:after="0" w:line="240" w:lineRule="auto"/>
            </w:pPr>
            <w:r>
              <w:rPr>
                <w:color w:val="2B2F36"/>
                <w:sz w:val="16"/>
              </w:rPr>
              <w:t>C93500 / confirm</w:t>
            </w:r>
          </w:p>
        </w:tc>
        <w:tc>
          <w:tcPr>
            <w:tcW w:type="dxa" w:w="2381"/>
            <w:vAlign w:val="top"/>
          </w:tcPr>
          <w:p>
            <w:pPr>
              <w:spacing w:after="0" w:line="240" w:lineRule="auto"/>
            </w:pPr>
            <w:r>
              <w:rPr>
                <w:color w:val="2B2F36"/>
                <w:sz w:val="16"/>
              </w:rPr>
              <w:t>Tractor, textile, conveyor bushes</w:t>
            </w:r>
          </w:p>
        </w:tc>
        <w:tc>
          <w:tcPr>
            <w:tcW w:type="dxa" w:w="3231"/>
            <w:vAlign w:val="top"/>
          </w:tcPr>
          <w:p>
            <w:pPr>
              <w:spacing w:after="0" w:line="240" w:lineRule="auto"/>
            </w:pPr>
            <w:r>
              <w:rPr>
                <w:color w:val="2B2F36"/>
                <w:sz w:val="16"/>
              </w:rPr>
              <w:t>(0.85×Cu + 0.05×Sn + 0.09×Pb + 0.01×Zn) × 1.025 + 50</w:t>
            </w:r>
          </w:p>
        </w:tc>
      </w:tr>
      <w:tr>
        <w:trPr>
          <w:cantSplit/>
        </w:trPr>
        <w:tc>
          <w:tcPr>
            <w:tcW w:type="dxa" w:w="1361"/>
            <w:shd w:val="clear" w:color="auto" w:fill="F7F4EE"/>
            <w:vAlign w:val="top"/>
          </w:tcPr>
          <w:p>
            <w:pPr>
              <w:spacing w:after="0" w:line="240" w:lineRule="auto"/>
            </w:pPr>
            <w:r>
              <w:rPr>
                <w:color w:val="2B2F36"/>
                <w:sz w:val="16"/>
              </w:rPr>
              <w:t>CC495K (CB495K)</w:t>
            </w:r>
          </w:p>
        </w:tc>
        <w:tc>
          <w:tcPr>
            <w:tcW w:type="dxa" w:w="1417"/>
            <w:shd w:val="clear" w:color="auto" w:fill="F7F4EE"/>
            <w:vAlign w:val="top"/>
          </w:tcPr>
          <w:p>
            <w:pPr>
              <w:spacing w:after="0" w:line="240" w:lineRule="auto"/>
            </w:pPr>
            <w:r>
              <w:rPr>
                <w:color w:val="2B2F36"/>
                <w:sz w:val="16"/>
              </w:rPr>
              <w:t>80-10-10-0</w:t>
            </w:r>
          </w:p>
        </w:tc>
        <w:tc>
          <w:tcPr>
            <w:tcW w:type="dxa" w:w="1361"/>
            <w:shd w:val="clear" w:color="auto" w:fill="F7F4EE"/>
            <w:vAlign w:val="top"/>
          </w:tcPr>
          <w:p>
            <w:pPr>
              <w:spacing w:after="0" w:line="240" w:lineRule="auto"/>
            </w:pPr>
            <w:r>
              <w:rPr>
                <w:color w:val="2B2F36"/>
                <w:sz w:val="16"/>
              </w:rPr>
              <w:t>C93700 / confirm</w:t>
            </w:r>
          </w:p>
        </w:tc>
        <w:tc>
          <w:tcPr>
            <w:tcW w:type="dxa" w:w="2381"/>
            <w:shd w:val="clear" w:color="auto" w:fill="F7F4EE"/>
            <w:vAlign w:val="top"/>
          </w:tcPr>
          <w:p>
            <w:pPr>
              <w:spacing w:after="0" w:line="240" w:lineRule="auto"/>
            </w:pPr>
            <w:r>
              <w:rPr>
                <w:color w:val="2B2F36"/>
                <w:sz w:val="16"/>
              </w:rPr>
              <w:t>Rolling-mill, crusher, sugar-mill, marine bearings</w:t>
            </w:r>
          </w:p>
        </w:tc>
        <w:tc>
          <w:tcPr>
            <w:tcW w:type="dxa" w:w="3231"/>
            <w:shd w:val="clear" w:color="auto" w:fill="F7F4EE"/>
            <w:vAlign w:val="top"/>
          </w:tcPr>
          <w:p>
            <w:pPr>
              <w:spacing w:after="0" w:line="240" w:lineRule="auto"/>
            </w:pPr>
            <w:r>
              <w:rPr>
                <w:color w:val="2B2F36"/>
                <w:sz w:val="16"/>
              </w:rPr>
              <w:t>(0.8×Cu + 0.1×Sn + 0.1×Pb) × 1.025 + 50</w:t>
            </w:r>
          </w:p>
        </w:tc>
      </w:tr>
    </w:tbl>
    <w:p>
      <w:pPr>
        <w:spacing w:after="40"/>
      </w:pPr>
    </w:p>
    <w:p>
      <w:r>
        <w:rPr>
          <w:sz w:val="19"/>
        </w:rPr>
        <w:t>What the buyer checks on every heat: spectrometer analysis against EN 1982 (main elements and the impurity limits Fe, Sb, S, Al, Si, P), lead distribution in the ingot fracture, and for bush makers the freedom from dross and gas. Impurities matter most for continuous-casting dies (Fe, Sb, S) and for pressure tightness (P, Al, Si). Ingot (CB) limits should be taken from the ingot table of EN 1982, not from the casting table shown in Section 2.</w:t>
      </w:r>
    </w:p>
    <w:p>
      <w:pPr>
        <w:pStyle w:val="Heading2"/>
      </w:pPr>
      <w:r>
        <w:t>6.2 What was wrong in Revision 5</w:t>
      </w:r>
    </w:p>
    <w:p>
      <w:pPr>
        <w:pStyle w:val="ListBullet"/>
      </w:pPr>
      <w:r>
        <w:rPr>
          <w:b/>
        </w:rPr>
        <w:t>Cost basis.</w:t>
      </w:r>
      <w:r>
        <w:t xml:space="preserve"> Rev 5 priced every kg from primary LME metal. Bajaj's own procurement work (separate report, 4 Oct 2026) shows it buys copper and brass scrap: Delhi/Mumbai brass scrap was ₹890–990/kg. Primary-metal value is the right *customer price reference* but not Bajaj's *cost*.</w:t>
      </w:r>
    </w:p>
    <w:p>
      <w:pPr>
        <w:pStyle w:val="ListBullet"/>
      </w:pPr>
      <w:r>
        <w:rPr>
          <w:b/>
        </w:rPr>
        <w:t>Placeholders as margin.</w:t>
      </w:r>
      <w:r>
        <w:t xml:space="preserve"> 2.5 % melt loss and ₹50 conversion were stated as placeholders but then used to conclude that “metal is 94 % of price” and that CC495K gives “the highest rupee margin”. With a flat ₹50 conversion every grade earns the same ₹50 per kg; only a percentage mark-up would favour CC495K.</w:t>
      </w:r>
    </w:p>
    <w:p>
      <w:pPr>
        <w:pStyle w:val="ListBullet"/>
      </w:pPr>
      <w:r>
        <w:rPr>
          <w:b/>
        </w:rPr>
        <w:t>Arithmetic.</w:t>
      </w:r>
      <w:r>
        <w:t xml:space="preserve"> “1 % copper error costs more than a quarter of the conversion margin” was false: it is ₹12/kg, 24 % of ₹50.</w:t>
      </w:r>
    </w:p>
    <w:p>
      <w:pPr>
        <w:pStyle w:val="Heading2"/>
      </w:pPr>
      <w:r>
        <w:t>6.3 Metal value by grade (LME, 1 Oct 2026)</w:t>
      </w:r>
    </w:p>
    <w:p>
      <w:pPr>
        <w:keepNext/>
        <w:spacing w:after="40"/>
      </w:pPr>
      <w:r>
        <w:rPr>
          <w:b/>
          <w:color w:val="5B6470"/>
          <w:sz w:val="18"/>
        </w:rPr>
        <w:t>Table 10.</w:t>
      </w:r>
      <w:r>
        <w:rPr>
          <w:color w:val="5B6470"/>
          <w:sz w:val="18"/>
        </w:rPr>
        <w:t xml:space="preserve"> Inputs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247"/>
        <w:gridCol w:w="1247"/>
        <w:gridCol w:w="1247"/>
        <w:gridCol w:w="6009"/>
      </w:tblGrid>
      <w:tr>
        <w:trPr>
          <w:cantSplit/>
          <w:tblHeader/>
        </w:trPr>
        <w:tc>
          <w:tcPr>
            <w:tcW w:type="dxa" w:w="1247"/>
            <w:shd w:val="clear" w:color="auto" w:fill="1F4E79"/>
            <w:vAlign w:val="center"/>
          </w:tcPr>
          <w:p>
            <w:pPr>
              <w:spacing w:after="0" w:line="240" w:lineRule="auto"/>
            </w:pPr>
            <w:r>
              <w:rPr>
                <w:b/>
                <w:color w:val="FFFFFF"/>
                <w:sz w:val="17"/>
              </w:rPr>
              <w:t>Metal</w:t>
            </w:r>
          </w:p>
        </w:tc>
        <w:tc>
          <w:tcPr>
            <w:tcW w:type="dxa" w:w="1247"/>
            <w:shd w:val="clear" w:color="auto" w:fill="1F4E79"/>
            <w:vAlign w:val="center"/>
          </w:tcPr>
          <w:p>
            <w:pPr>
              <w:spacing w:after="0" w:line="240" w:lineRule="auto"/>
            </w:pPr>
            <w:r>
              <w:rPr>
                <w:b/>
                <w:color w:val="FFFFFF"/>
                <w:sz w:val="17"/>
              </w:rPr>
              <w:t>US$/t</w:t>
            </w:r>
          </w:p>
        </w:tc>
        <w:tc>
          <w:tcPr>
            <w:tcW w:type="dxa" w:w="1247"/>
            <w:shd w:val="clear" w:color="auto" w:fill="1F4E79"/>
            <w:vAlign w:val="center"/>
          </w:tcPr>
          <w:p>
            <w:pPr>
              <w:spacing w:after="0" w:line="240" w:lineRule="auto"/>
            </w:pPr>
            <w:r>
              <w:rPr>
                <w:b/>
                <w:color w:val="FFFFFF"/>
                <w:sz w:val="17"/>
              </w:rPr>
              <w:t>₹/kg</w:t>
            </w:r>
          </w:p>
        </w:tc>
        <w:tc>
          <w:tcPr>
            <w:tcW w:type="dxa" w:w="6009"/>
            <w:shd w:val="clear" w:color="auto" w:fill="1F4E79"/>
            <w:vAlign w:val="center"/>
          </w:tcPr>
          <w:p>
            <w:pPr>
              <w:spacing w:after="0" w:line="240" w:lineRule="auto"/>
            </w:pPr>
            <w:r>
              <w:rPr>
                <w:b/>
                <w:color w:val="FFFFFF"/>
                <w:sz w:val="17"/>
              </w:rPr>
              <w:t>Basis</w:t>
            </w:r>
          </w:p>
        </w:tc>
      </w:tr>
      <w:tr>
        <w:trPr>
          <w:cantSplit/>
        </w:trPr>
        <w:tc>
          <w:tcPr>
            <w:tcW w:type="dxa" w:w="1247"/>
            <w:vAlign w:val="top"/>
          </w:tcPr>
          <w:p>
            <w:pPr>
              <w:spacing w:after="0" w:line="240" w:lineRule="auto"/>
            </w:pPr>
            <w:r>
              <w:rPr>
                <w:color w:val="2B2F36"/>
                <w:sz w:val="17"/>
              </w:rPr>
              <w:t>Copper</w:t>
            </w:r>
          </w:p>
        </w:tc>
        <w:tc>
          <w:tcPr>
            <w:tcW w:type="dxa" w:w="1247"/>
            <w:vAlign w:val="top"/>
          </w:tcPr>
          <w:p>
            <w:pPr>
              <w:spacing w:after="0" w:line="240" w:lineRule="auto"/>
              <w:jc w:val="center"/>
            </w:pPr>
            <w:r>
              <w:rPr>
                <w:color w:val="2B2F36"/>
                <w:sz w:val="17"/>
              </w:rPr>
              <w:t>14,335</w:t>
            </w:r>
          </w:p>
        </w:tc>
        <w:tc>
          <w:tcPr>
            <w:tcW w:type="dxa" w:w="1247"/>
            <w:vAlign w:val="top"/>
          </w:tcPr>
          <w:p>
            <w:pPr>
              <w:spacing w:after="0" w:line="240" w:lineRule="auto"/>
              <w:jc w:val="center"/>
            </w:pPr>
            <w:r>
              <w:rPr>
                <w:color w:val="2B2F36"/>
                <w:sz w:val="17"/>
              </w:rPr>
              <w:t>1,378.7</w:t>
            </w:r>
          </w:p>
        </w:tc>
        <w:tc>
          <w:tcPr>
            <w:tcW w:type="dxa" w:w="6009"/>
            <w:vAlign w:val="top"/>
          </w:tcPr>
          <w:p>
            <w:pPr>
              <w:spacing w:after="0" w:line="240" w:lineRule="auto"/>
            </w:pPr>
            <w:r>
              <w:rPr>
                <w:color w:val="2B2F36"/>
                <w:sz w:val="17"/>
              </w:rPr>
              <w:t>LME official cash, 1 Oct 2026</w:t>
            </w:r>
          </w:p>
        </w:tc>
      </w:tr>
      <w:tr>
        <w:trPr>
          <w:cantSplit/>
        </w:trPr>
        <w:tc>
          <w:tcPr>
            <w:tcW w:type="dxa" w:w="1247"/>
            <w:shd w:val="clear" w:color="auto" w:fill="F7F4EE"/>
            <w:vAlign w:val="top"/>
          </w:tcPr>
          <w:p>
            <w:pPr>
              <w:spacing w:after="0" w:line="240" w:lineRule="auto"/>
            </w:pPr>
            <w:r>
              <w:rPr>
                <w:color w:val="2B2F36"/>
                <w:sz w:val="17"/>
              </w:rPr>
              <w:t>Tin</w:t>
            </w:r>
          </w:p>
        </w:tc>
        <w:tc>
          <w:tcPr>
            <w:tcW w:type="dxa" w:w="1247"/>
            <w:shd w:val="clear" w:color="auto" w:fill="F7F4EE"/>
            <w:vAlign w:val="top"/>
          </w:tcPr>
          <w:p>
            <w:pPr>
              <w:spacing w:after="0" w:line="240" w:lineRule="auto"/>
              <w:jc w:val="center"/>
            </w:pPr>
            <w:r>
              <w:rPr>
                <w:color w:val="2B2F36"/>
                <w:sz w:val="17"/>
              </w:rPr>
              <w:t>54,400</w:t>
            </w:r>
          </w:p>
        </w:tc>
        <w:tc>
          <w:tcPr>
            <w:tcW w:type="dxa" w:w="1247"/>
            <w:shd w:val="clear" w:color="auto" w:fill="F7F4EE"/>
            <w:vAlign w:val="top"/>
          </w:tcPr>
          <w:p>
            <w:pPr>
              <w:spacing w:after="0" w:line="240" w:lineRule="auto"/>
              <w:jc w:val="center"/>
            </w:pPr>
            <w:r>
              <w:rPr>
                <w:color w:val="2B2F36"/>
                <w:sz w:val="17"/>
              </w:rPr>
              <w:t>5,232.2</w:t>
            </w:r>
          </w:p>
        </w:tc>
        <w:tc>
          <w:tcPr>
            <w:tcW w:type="dxa" w:w="6009"/>
            <w:shd w:val="clear" w:color="auto" w:fill="F7F4EE"/>
            <w:vAlign w:val="top"/>
          </w:tcPr>
          <w:p>
            <w:pPr>
              <w:spacing w:after="0" w:line="240" w:lineRule="auto"/>
            </w:pPr>
            <w:r>
              <w:rPr>
                <w:color w:val="2B2F36"/>
                <w:sz w:val="17"/>
              </w:rPr>
              <w:t>LME official cash, 1 Oct 2026</w:t>
            </w:r>
          </w:p>
        </w:tc>
      </w:tr>
      <w:tr>
        <w:trPr>
          <w:cantSplit/>
        </w:trPr>
        <w:tc>
          <w:tcPr>
            <w:tcW w:type="dxa" w:w="1247"/>
            <w:vAlign w:val="top"/>
          </w:tcPr>
          <w:p>
            <w:pPr>
              <w:spacing w:after="0" w:line="240" w:lineRule="auto"/>
            </w:pPr>
            <w:r>
              <w:rPr>
                <w:color w:val="2B2F36"/>
                <w:sz w:val="17"/>
              </w:rPr>
              <w:t>Lead</w:t>
            </w:r>
          </w:p>
        </w:tc>
        <w:tc>
          <w:tcPr>
            <w:tcW w:type="dxa" w:w="1247"/>
            <w:vAlign w:val="top"/>
          </w:tcPr>
          <w:p>
            <w:pPr>
              <w:spacing w:after="0" w:line="240" w:lineRule="auto"/>
              <w:jc w:val="center"/>
            </w:pPr>
            <w:r>
              <w:rPr>
                <w:color w:val="2B2F36"/>
                <w:sz w:val="17"/>
              </w:rPr>
              <w:t>1,837</w:t>
            </w:r>
          </w:p>
        </w:tc>
        <w:tc>
          <w:tcPr>
            <w:tcW w:type="dxa" w:w="1247"/>
            <w:vAlign w:val="top"/>
          </w:tcPr>
          <w:p>
            <w:pPr>
              <w:spacing w:after="0" w:line="240" w:lineRule="auto"/>
              <w:jc w:val="center"/>
            </w:pPr>
            <w:r>
              <w:rPr>
                <w:color w:val="2B2F36"/>
                <w:sz w:val="17"/>
              </w:rPr>
              <w:t>176.7</w:t>
            </w:r>
          </w:p>
        </w:tc>
        <w:tc>
          <w:tcPr>
            <w:tcW w:type="dxa" w:w="6009"/>
            <w:vAlign w:val="top"/>
          </w:tcPr>
          <w:p>
            <w:pPr>
              <w:spacing w:after="0" w:line="240" w:lineRule="auto"/>
            </w:pPr>
            <w:r>
              <w:rPr>
                <w:color w:val="2B2F36"/>
                <w:sz w:val="17"/>
              </w:rPr>
              <w:t>LME official cash, 1 Oct 2026</w:t>
            </w:r>
          </w:p>
        </w:tc>
      </w:tr>
      <w:tr>
        <w:trPr>
          <w:cantSplit/>
        </w:trPr>
        <w:tc>
          <w:tcPr>
            <w:tcW w:type="dxa" w:w="1247"/>
            <w:shd w:val="clear" w:color="auto" w:fill="F7F4EE"/>
            <w:vAlign w:val="top"/>
          </w:tcPr>
          <w:p>
            <w:pPr>
              <w:spacing w:after="0" w:line="240" w:lineRule="auto"/>
            </w:pPr>
            <w:r>
              <w:rPr>
                <w:color w:val="2B2F36"/>
                <w:sz w:val="17"/>
              </w:rPr>
              <w:t>Zinc</w:t>
            </w:r>
          </w:p>
        </w:tc>
        <w:tc>
          <w:tcPr>
            <w:tcW w:type="dxa" w:w="1247"/>
            <w:shd w:val="clear" w:color="auto" w:fill="F7F4EE"/>
            <w:vAlign w:val="top"/>
          </w:tcPr>
          <w:p>
            <w:pPr>
              <w:spacing w:after="0" w:line="240" w:lineRule="auto"/>
              <w:jc w:val="center"/>
            </w:pPr>
            <w:r>
              <w:rPr>
                <w:color w:val="2B2F36"/>
                <w:sz w:val="17"/>
              </w:rPr>
              <w:t>3,834</w:t>
            </w:r>
          </w:p>
        </w:tc>
        <w:tc>
          <w:tcPr>
            <w:tcW w:type="dxa" w:w="1247"/>
            <w:shd w:val="clear" w:color="auto" w:fill="F7F4EE"/>
            <w:vAlign w:val="top"/>
          </w:tcPr>
          <w:p>
            <w:pPr>
              <w:spacing w:after="0" w:line="240" w:lineRule="auto"/>
              <w:jc w:val="center"/>
            </w:pPr>
            <w:r>
              <w:rPr>
                <w:color w:val="2B2F36"/>
                <w:sz w:val="17"/>
              </w:rPr>
              <w:t>368.8</w:t>
            </w:r>
          </w:p>
        </w:tc>
        <w:tc>
          <w:tcPr>
            <w:tcW w:type="dxa" w:w="6009"/>
            <w:shd w:val="clear" w:color="auto" w:fill="F7F4EE"/>
            <w:vAlign w:val="top"/>
          </w:tcPr>
          <w:p>
            <w:pPr>
              <w:spacing w:after="0" w:line="240" w:lineRule="auto"/>
            </w:pPr>
            <w:r>
              <w:rPr>
                <w:color w:val="2B2F36"/>
                <w:sz w:val="17"/>
              </w:rPr>
              <w:t>LME official cash, 1 Oct 2026</w:t>
            </w:r>
          </w:p>
        </w:tc>
      </w:tr>
      <w:tr>
        <w:trPr>
          <w:cantSplit/>
        </w:trPr>
        <w:tc>
          <w:tcPr>
            <w:tcW w:type="dxa" w:w="1247"/>
            <w:vAlign w:val="top"/>
          </w:tcPr>
          <w:p>
            <w:pPr>
              <w:spacing w:after="0" w:line="240" w:lineRule="auto"/>
            </w:pPr>
            <w:r>
              <w:rPr>
                <w:color w:val="2B2F36"/>
                <w:sz w:val="17"/>
              </w:rPr>
              <w:t>US$/INR</w:t>
            </w:r>
          </w:p>
        </w:tc>
        <w:tc>
          <w:tcPr>
            <w:tcW w:type="dxa" w:w="1247"/>
            <w:vAlign w:val="top"/>
          </w:tcPr>
          <w:p>
            <w:pPr>
              <w:spacing w:after="0" w:line="240" w:lineRule="auto"/>
              <w:jc w:val="center"/>
            </w:pPr>
            <w:r>
              <w:rPr>
                <w:color w:val="2B2F36"/>
                <w:sz w:val="17"/>
              </w:rPr>
              <w:t>—</w:t>
            </w:r>
          </w:p>
        </w:tc>
        <w:tc>
          <w:tcPr>
            <w:tcW w:type="dxa" w:w="1247"/>
            <w:vAlign w:val="top"/>
          </w:tcPr>
          <w:p>
            <w:pPr>
              <w:spacing w:after="0" w:line="240" w:lineRule="auto"/>
              <w:jc w:val="center"/>
            </w:pPr>
            <w:r>
              <w:rPr>
                <w:color w:val="2B2F36"/>
                <w:sz w:val="17"/>
              </w:rPr>
              <w:t>96.18</w:t>
            </w:r>
          </w:p>
        </w:tc>
        <w:tc>
          <w:tcPr>
            <w:tcW w:type="dxa" w:w="6009"/>
            <w:vAlign w:val="top"/>
          </w:tcPr>
          <w:p>
            <w:pPr>
              <w:spacing w:after="0" w:line="240" w:lineRule="auto"/>
            </w:pPr>
            <w:r>
              <w:rPr>
                <w:color w:val="2B2F36"/>
                <w:sz w:val="17"/>
              </w:rPr>
              <w:t>Market rate, 2 Oct 2026 (cross-check 5 Oct: copper 3M ≈ 14,259, tin ≈ 54,277)</w:t>
            </w:r>
          </w:p>
        </w:tc>
      </w:tr>
    </w:tbl>
    <w:p>
      <w:pPr>
        <w:spacing w:after="40"/>
      </w:pPr>
    </w:p>
    <w:p>
      <w:pPr>
        <w:keepNext/>
        <w:spacing w:after="40"/>
      </w:pPr>
      <w:r>
        <w:rPr>
          <w:b/>
          <w:color w:val="5B6470"/>
          <w:sz w:val="18"/>
        </w:rPr>
        <w:t>Table 11.</w:t>
      </w:r>
      <w:r>
        <w:rPr>
          <w:color w:val="5B6470"/>
          <w:sz w:val="18"/>
        </w:rPr>
        <w:t xml:space="preserve"> Metal value of one kg of alloy at nominal composition</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310"/>
        <w:gridCol w:w="1164"/>
        <w:gridCol w:w="1164"/>
        <w:gridCol w:w="1019"/>
        <w:gridCol w:w="1019"/>
        <w:gridCol w:w="1455"/>
        <w:gridCol w:w="1310"/>
        <w:gridCol w:w="1310"/>
      </w:tblGrid>
      <w:tr>
        <w:trPr>
          <w:cantSplit/>
          <w:tblHeader/>
        </w:trPr>
        <w:tc>
          <w:tcPr>
            <w:tcW w:type="dxa" w:w="1310"/>
            <w:shd w:val="clear" w:color="auto" w:fill="1F4E79"/>
            <w:vAlign w:val="center"/>
          </w:tcPr>
          <w:p>
            <w:pPr>
              <w:spacing w:after="0" w:line="240" w:lineRule="auto"/>
            </w:pPr>
            <w:r>
              <w:rPr>
                <w:b/>
                <w:color w:val="FFFFFF"/>
                <w:sz w:val="17"/>
              </w:rPr>
              <w:t>Grade</w:t>
            </w:r>
          </w:p>
        </w:tc>
        <w:tc>
          <w:tcPr>
            <w:tcW w:type="dxa" w:w="1164"/>
            <w:shd w:val="clear" w:color="auto" w:fill="1F4E79"/>
            <w:vAlign w:val="center"/>
          </w:tcPr>
          <w:p>
            <w:pPr>
              <w:spacing w:after="0" w:line="240" w:lineRule="auto"/>
            </w:pPr>
            <w:r>
              <w:rPr>
                <w:b/>
                <w:color w:val="FFFFFF"/>
                <w:sz w:val="17"/>
              </w:rPr>
              <w:t>Cu ₹</w:t>
            </w:r>
          </w:p>
        </w:tc>
        <w:tc>
          <w:tcPr>
            <w:tcW w:type="dxa" w:w="1164"/>
            <w:shd w:val="clear" w:color="auto" w:fill="1F4E79"/>
            <w:vAlign w:val="center"/>
          </w:tcPr>
          <w:p>
            <w:pPr>
              <w:spacing w:after="0" w:line="240" w:lineRule="auto"/>
            </w:pPr>
            <w:r>
              <w:rPr>
                <w:b/>
                <w:color w:val="FFFFFF"/>
                <w:sz w:val="17"/>
              </w:rPr>
              <w:t>Sn ₹</w:t>
            </w:r>
          </w:p>
        </w:tc>
        <w:tc>
          <w:tcPr>
            <w:tcW w:type="dxa" w:w="1019"/>
            <w:shd w:val="clear" w:color="auto" w:fill="1F4E79"/>
            <w:vAlign w:val="center"/>
          </w:tcPr>
          <w:p>
            <w:pPr>
              <w:spacing w:after="0" w:line="240" w:lineRule="auto"/>
            </w:pPr>
            <w:r>
              <w:rPr>
                <w:b/>
                <w:color w:val="FFFFFF"/>
                <w:sz w:val="17"/>
              </w:rPr>
              <w:t>Pb ₹</w:t>
            </w:r>
          </w:p>
        </w:tc>
        <w:tc>
          <w:tcPr>
            <w:tcW w:type="dxa" w:w="1019"/>
            <w:shd w:val="clear" w:color="auto" w:fill="1F4E79"/>
            <w:vAlign w:val="center"/>
          </w:tcPr>
          <w:p>
            <w:pPr>
              <w:spacing w:after="0" w:line="240" w:lineRule="auto"/>
            </w:pPr>
            <w:r>
              <w:rPr>
                <w:b/>
                <w:color w:val="FFFFFF"/>
                <w:sz w:val="17"/>
              </w:rPr>
              <w:t>Zn ₹</w:t>
            </w:r>
          </w:p>
        </w:tc>
        <w:tc>
          <w:tcPr>
            <w:tcW w:type="dxa" w:w="1455"/>
            <w:shd w:val="clear" w:color="auto" w:fill="1F4E79"/>
            <w:vAlign w:val="center"/>
          </w:tcPr>
          <w:p>
            <w:pPr>
              <w:spacing w:after="0" w:line="240" w:lineRule="auto"/>
            </w:pPr>
            <w:r>
              <w:rPr>
                <w:b/>
                <w:color w:val="FFFFFF"/>
                <w:sz w:val="17"/>
              </w:rPr>
              <w:t>Total ₹/kg</w:t>
            </w:r>
          </w:p>
        </w:tc>
        <w:tc>
          <w:tcPr>
            <w:tcW w:type="dxa" w:w="1310"/>
            <w:shd w:val="clear" w:color="auto" w:fill="1F4E79"/>
            <w:vAlign w:val="center"/>
          </w:tcPr>
          <w:p>
            <w:pPr>
              <w:spacing w:after="0" w:line="240" w:lineRule="auto"/>
            </w:pPr>
            <w:r>
              <w:rPr>
                <w:b/>
                <w:color w:val="FFFFFF"/>
                <w:sz w:val="17"/>
              </w:rPr>
              <w:t>Cu share</w:t>
            </w:r>
          </w:p>
        </w:tc>
        <w:tc>
          <w:tcPr>
            <w:tcW w:type="dxa" w:w="1310"/>
            <w:shd w:val="clear" w:color="auto" w:fill="1F4E79"/>
            <w:vAlign w:val="center"/>
          </w:tcPr>
          <w:p>
            <w:pPr>
              <w:spacing w:after="0" w:line="240" w:lineRule="auto"/>
            </w:pPr>
            <w:r>
              <w:rPr>
                <w:b/>
                <w:color w:val="FFFFFF"/>
                <w:sz w:val="17"/>
              </w:rPr>
              <w:t>Sn share</w:t>
            </w:r>
          </w:p>
        </w:tc>
      </w:tr>
      <w:tr>
        <w:trPr>
          <w:cantSplit/>
        </w:trPr>
        <w:tc>
          <w:tcPr>
            <w:tcW w:type="dxa" w:w="1310"/>
            <w:vAlign w:val="top"/>
          </w:tcPr>
          <w:p>
            <w:pPr>
              <w:spacing w:after="0" w:line="240" w:lineRule="auto"/>
            </w:pPr>
            <w:r>
              <w:rPr>
                <w:color w:val="2B2F36"/>
                <w:sz w:val="17"/>
              </w:rPr>
              <w:t>CC490K</w:t>
            </w:r>
          </w:p>
        </w:tc>
        <w:tc>
          <w:tcPr>
            <w:tcW w:type="dxa" w:w="1164"/>
            <w:vAlign w:val="top"/>
          </w:tcPr>
          <w:p>
            <w:pPr>
              <w:spacing w:after="0" w:line="240" w:lineRule="auto"/>
              <w:jc w:val="center"/>
            </w:pPr>
            <w:r>
              <w:rPr>
                <w:color w:val="2B2F36"/>
                <w:sz w:val="17"/>
              </w:rPr>
              <w:t>1,158</w:t>
            </w:r>
          </w:p>
        </w:tc>
        <w:tc>
          <w:tcPr>
            <w:tcW w:type="dxa" w:w="1164"/>
            <w:vAlign w:val="top"/>
          </w:tcPr>
          <w:p>
            <w:pPr>
              <w:spacing w:after="0" w:line="240" w:lineRule="auto"/>
              <w:jc w:val="center"/>
            </w:pPr>
            <w:r>
              <w:rPr>
                <w:color w:val="2B2F36"/>
                <w:sz w:val="17"/>
              </w:rPr>
              <w:t>157</w:t>
            </w:r>
          </w:p>
        </w:tc>
        <w:tc>
          <w:tcPr>
            <w:tcW w:type="dxa" w:w="1019"/>
            <w:vAlign w:val="top"/>
          </w:tcPr>
          <w:p>
            <w:pPr>
              <w:spacing w:after="0" w:line="240" w:lineRule="auto"/>
              <w:jc w:val="center"/>
            </w:pPr>
            <w:r>
              <w:rPr>
                <w:color w:val="2B2F36"/>
                <w:sz w:val="17"/>
              </w:rPr>
              <w:t>9</w:t>
            </w:r>
          </w:p>
        </w:tc>
        <w:tc>
          <w:tcPr>
            <w:tcW w:type="dxa" w:w="1019"/>
            <w:vAlign w:val="top"/>
          </w:tcPr>
          <w:p>
            <w:pPr>
              <w:spacing w:after="0" w:line="240" w:lineRule="auto"/>
              <w:jc w:val="center"/>
            </w:pPr>
            <w:r>
              <w:rPr>
                <w:color w:val="2B2F36"/>
                <w:sz w:val="17"/>
              </w:rPr>
              <w:t>30</w:t>
            </w:r>
          </w:p>
        </w:tc>
        <w:tc>
          <w:tcPr>
            <w:tcW w:type="dxa" w:w="1455"/>
            <w:vAlign w:val="top"/>
          </w:tcPr>
          <w:p>
            <w:pPr>
              <w:spacing w:after="0" w:line="240" w:lineRule="auto"/>
              <w:jc w:val="center"/>
            </w:pPr>
            <w:r>
              <w:rPr>
                <w:b/>
                <w:color w:val="2B2F36"/>
                <w:sz w:val="17"/>
              </w:rPr>
              <w:t>1,353</w:t>
            </w:r>
          </w:p>
        </w:tc>
        <w:tc>
          <w:tcPr>
            <w:tcW w:type="dxa" w:w="1310"/>
            <w:vAlign w:val="top"/>
          </w:tcPr>
          <w:p>
            <w:pPr>
              <w:spacing w:after="0" w:line="240" w:lineRule="auto"/>
              <w:jc w:val="center"/>
            </w:pPr>
            <w:r>
              <w:rPr>
                <w:color w:val="2B2F36"/>
                <w:sz w:val="17"/>
              </w:rPr>
              <w:t>86 %</w:t>
            </w:r>
          </w:p>
        </w:tc>
        <w:tc>
          <w:tcPr>
            <w:tcW w:type="dxa" w:w="1310"/>
            <w:vAlign w:val="top"/>
          </w:tcPr>
          <w:p>
            <w:pPr>
              <w:spacing w:after="0" w:line="240" w:lineRule="auto"/>
              <w:jc w:val="center"/>
            </w:pPr>
            <w:r>
              <w:rPr>
                <w:color w:val="2B2F36"/>
                <w:sz w:val="17"/>
              </w:rPr>
              <w:t>12 %</w:t>
            </w:r>
          </w:p>
        </w:tc>
      </w:tr>
      <w:tr>
        <w:trPr>
          <w:cantSplit/>
        </w:trPr>
        <w:tc>
          <w:tcPr>
            <w:tcW w:type="dxa" w:w="1310"/>
            <w:shd w:val="clear" w:color="auto" w:fill="F7F4EE"/>
            <w:vAlign w:val="top"/>
          </w:tcPr>
          <w:p>
            <w:pPr>
              <w:spacing w:after="0" w:line="240" w:lineRule="auto"/>
            </w:pPr>
            <w:r>
              <w:rPr>
                <w:color w:val="2B2F36"/>
                <w:sz w:val="17"/>
              </w:rPr>
              <w:t>CC491K</w:t>
            </w:r>
          </w:p>
        </w:tc>
        <w:tc>
          <w:tcPr>
            <w:tcW w:type="dxa" w:w="1164"/>
            <w:shd w:val="clear" w:color="auto" w:fill="F7F4EE"/>
            <w:vAlign w:val="top"/>
          </w:tcPr>
          <w:p>
            <w:pPr>
              <w:spacing w:after="0" w:line="240" w:lineRule="auto"/>
              <w:jc w:val="center"/>
            </w:pPr>
            <w:r>
              <w:rPr>
                <w:color w:val="2B2F36"/>
                <w:sz w:val="17"/>
              </w:rPr>
              <w:t>1,172</w:t>
            </w:r>
          </w:p>
        </w:tc>
        <w:tc>
          <w:tcPr>
            <w:tcW w:type="dxa" w:w="1164"/>
            <w:shd w:val="clear" w:color="auto" w:fill="F7F4EE"/>
            <w:vAlign w:val="top"/>
          </w:tcPr>
          <w:p>
            <w:pPr>
              <w:spacing w:after="0" w:line="240" w:lineRule="auto"/>
              <w:jc w:val="center"/>
            </w:pPr>
            <w:r>
              <w:rPr>
                <w:color w:val="2B2F36"/>
                <w:sz w:val="17"/>
              </w:rPr>
              <w:t>262</w:t>
            </w:r>
          </w:p>
        </w:tc>
        <w:tc>
          <w:tcPr>
            <w:tcW w:type="dxa" w:w="1019"/>
            <w:shd w:val="clear" w:color="auto" w:fill="F7F4EE"/>
            <w:vAlign w:val="top"/>
          </w:tcPr>
          <w:p>
            <w:pPr>
              <w:spacing w:after="0" w:line="240" w:lineRule="auto"/>
              <w:jc w:val="center"/>
            </w:pPr>
            <w:r>
              <w:rPr>
                <w:color w:val="2B2F36"/>
                <w:sz w:val="17"/>
              </w:rPr>
              <w:t>9</w:t>
            </w:r>
          </w:p>
        </w:tc>
        <w:tc>
          <w:tcPr>
            <w:tcW w:type="dxa" w:w="1019"/>
            <w:shd w:val="clear" w:color="auto" w:fill="F7F4EE"/>
            <w:vAlign w:val="top"/>
          </w:tcPr>
          <w:p>
            <w:pPr>
              <w:spacing w:after="0" w:line="240" w:lineRule="auto"/>
              <w:jc w:val="center"/>
            </w:pPr>
            <w:r>
              <w:rPr>
                <w:color w:val="2B2F36"/>
                <w:sz w:val="17"/>
              </w:rPr>
              <w:t>18</w:t>
            </w:r>
          </w:p>
        </w:tc>
        <w:tc>
          <w:tcPr>
            <w:tcW w:type="dxa" w:w="1455"/>
            <w:shd w:val="clear" w:color="auto" w:fill="F7F4EE"/>
            <w:vAlign w:val="top"/>
          </w:tcPr>
          <w:p>
            <w:pPr>
              <w:spacing w:after="0" w:line="240" w:lineRule="auto"/>
              <w:jc w:val="center"/>
            </w:pPr>
            <w:r>
              <w:rPr>
                <w:b/>
                <w:color w:val="2B2F36"/>
                <w:sz w:val="17"/>
              </w:rPr>
              <w:t>1,461</w:t>
            </w:r>
          </w:p>
        </w:tc>
        <w:tc>
          <w:tcPr>
            <w:tcW w:type="dxa" w:w="1310"/>
            <w:shd w:val="clear" w:color="auto" w:fill="F7F4EE"/>
            <w:vAlign w:val="top"/>
          </w:tcPr>
          <w:p>
            <w:pPr>
              <w:spacing w:after="0" w:line="240" w:lineRule="auto"/>
              <w:jc w:val="center"/>
            </w:pPr>
            <w:r>
              <w:rPr>
                <w:color w:val="2B2F36"/>
                <w:sz w:val="17"/>
              </w:rPr>
              <w:t>80 %</w:t>
            </w:r>
          </w:p>
        </w:tc>
        <w:tc>
          <w:tcPr>
            <w:tcW w:type="dxa" w:w="1310"/>
            <w:shd w:val="clear" w:color="auto" w:fill="F7F4EE"/>
            <w:vAlign w:val="top"/>
          </w:tcPr>
          <w:p>
            <w:pPr>
              <w:spacing w:after="0" w:line="240" w:lineRule="auto"/>
              <w:jc w:val="center"/>
            </w:pPr>
            <w:r>
              <w:rPr>
                <w:color w:val="2B2F36"/>
                <w:sz w:val="17"/>
              </w:rPr>
              <w:t>18 %</w:t>
            </w:r>
          </w:p>
        </w:tc>
      </w:tr>
      <w:tr>
        <w:trPr>
          <w:cantSplit/>
        </w:trPr>
        <w:tc>
          <w:tcPr>
            <w:tcW w:type="dxa" w:w="1310"/>
            <w:vAlign w:val="top"/>
          </w:tcPr>
          <w:p>
            <w:pPr>
              <w:spacing w:after="0" w:line="240" w:lineRule="auto"/>
            </w:pPr>
            <w:r>
              <w:rPr>
                <w:color w:val="2B2F36"/>
                <w:sz w:val="17"/>
              </w:rPr>
              <w:t>CC492K</w:t>
            </w:r>
          </w:p>
        </w:tc>
        <w:tc>
          <w:tcPr>
            <w:tcW w:type="dxa" w:w="1164"/>
            <w:vAlign w:val="top"/>
          </w:tcPr>
          <w:p>
            <w:pPr>
              <w:spacing w:after="0" w:line="240" w:lineRule="auto"/>
              <w:jc w:val="center"/>
            </w:pPr>
            <w:r>
              <w:rPr>
                <w:color w:val="2B2F36"/>
                <w:sz w:val="17"/>
              </w:rPr>
              <w:t>1,213</w:t>
            </w:r>
          </w:p>
        </w:tc>
        <w:tc>
          <w:tcPr>
            <w:tcW w:type="dxa" w:w="1164"/>
            <w:vAlign w:val="top"/>
          </w:tcPr>
          <w:p>
            <w:pPr>
              <w:spacing w:after="0" w:line="240" w:lineRule="auto"/>
              <w:jc w:val="center"/>
            </w:pPr>
            <w:r>
              <w:rPr>
                <w:color w:val="2B2F36"/>
                <w:sz w:val="17"/>
              </w:rPr>
              <w:t>366</w:t>
            </w:r>
          </w:p>
        </w:tc>
        <w:tc>
          <w:tcPr>
            <w:tcW w:type="dxa" w:w="1019"/>
            <w:vAlign w:val="top"/>
          </w:tcPr>
          <w:p>
            <w:pPr>
              <w:spacing w:after="0" w:line="240" w:lineRule="auto"/>
              <w:jc w:val="center"/>
            </w:pPr>
            <w:r>
              <w:rPr>
                <w:color w:val="2B2F36"/>
                <w:sz w:val="17"/>
              </w:rPr>
              <w:t>5</w:t>
            </w:r>
          </w:p>
        </w:tc>
        <w:tc>
          <w:tcPr>
            <w:tcW w:type="dxa" w:w="1019"/>
            <w:vAlign w:val="top"/>
          </w:tcPr>
          <w:p>
            <w:pPr>
              <w:spacing w:after="0" w:line="240" w:lineRule="auto"/>
              <w:jc w:val="center"/>
            </w:pPr>
            <w:r>
              <w:rPr>
                <w:color w:val="2B2F36"/>
                <w:sz w:val="17"/>
              </w:rPr>
              <w:t>7</w:t>
            </w:r>
          </w:p>
        </w:tc>
        <w:tc>
          <w:tcPr>
            <w:tcW w:type="dxa" w:w="1455"/>
            <w:vAlign w:val="top"/>
          </w:tcPr>
          <w:p>
            <w:pPr>
              <w:spacing w:after="0" w:line="240" w:lineRule="auto"/>
              <w:jc w:val="center"/>
            </w:pPr>
            <w:r>
              <w:rPr>
                <w:b/>
                <w:color w:val="2B2F36"/>
                <w:sz w:val="17"/>
              </w:rPr>
              <w:t>1,592</w:t>
            </w:r>
          </w:p>
        </w:tc>
        <w:tc>
          <w:tcPr>
            <w:tcW w:type="dxa" w:w="1310"/>
            <w:vAlign w:val="top"/>
          </w:tcPr>
          <w:p>
            <w:pPr>
              <w:spacing w:after="0" w:line="240" w:lineRule="auto"/>
              <w:jc w:val="center"/>
            </w:pPr>
            <w:r>
              <w:rPr>
                <w:color w:val="2B2F36"/>
                <w:sz w:val="17"/>
              </w:rPr>
              <w:t>76 %</w:t>
            </w:r>
          </w:p>
        </w:tc>
        <w:tc>
          <w:tcPr>
            <w:tcW w:type="dxa" w:w="1310"/>
            <w:vAlign w:val="top"/>
          </w:tcPr>
          <w:p>
            <w:pPr>
              <w:spacing w:after="0" w:line="240" w:lineRule="auto"/>
              <w:jc w:val="center"/>
            </w:pPr>
            <w:r>
              <w:rPr>
                <w:color w:val="2B2F36"/>
                <w:sz w:val="17"/>
              </w:rPr>
              <w:t>23 %</w:t>
            </w:r>
          </w:p>
        </w:tc>
      </w:tr>
      <w:tr>
        <w:trPr>
          <w:cantSplit/>
        </w:trPr>
        <w:tc>
          <w:tcPr>
            <w:tcW w:type="dxa" w:w="1310"/>
            <w:shd w:val="clear" w:color="auto" w:fill="F7F4EE"/>
            <w:vAlign w:val="top"/>
          </w:tcPr>
          <w:p>
            <w:pPr>
              <w:spacing w:after="0" w:line="240" w:lineRule="auto"/>
            </w:pPr>
            <w:r>
              <w:rPr>
                <w:color w:val="2B2F36"/>
                <w:sz w:val="17"/>
              </w:rPr>
              <w:t>CC493K</w:t>
            </w:r>
          </w:p>
        </w:tc>
        <w:tc>
          <w:tcPr>
            <w:tcW w:type="dxa" w:w="1164"/>
            <w:shd w:val="clear" w:color="auto" w:fill="F7F4EE"/>
            <w:vAlign w:val="top"/>
          </w:tcPr>
          <w:p>
            <w:pPr>
              <w:spacing w:after="0" w:line="240" w:lineRule="auto"/>
              <w:jc w:val="center"/>
            </w:pPr>
            <w:r>
              <w:rPr>
                <w:color w:val="2B2F36"/>
                <w:sz w:val="17"/>
              </w:rPr>
              <w:t>1,144</w:t>
            </w:r>
          </w:p>
        </w:tc>
        <w:tc>
          <w:tcPr>
            <w:tcW w:type="dxa" w:w="1164"/>
            <w:shd w:val="clear" w:color="auto" w:fill="F7F4EE"/>
            <w:vAlign w:val="top"/>
          </w:tcPr>
          <w:p>
            <w:pPr>
              <w:spacing w:after="0" w:line="240" w:lineRule="auto"/>
              <w:jc w:val="center"/>
            </w:pPr>
            <w:r>
              <w:rPr>
                <w:color w:val="2B2F36"/>
                <w:sz w:val="17"/>
              </w:rPr>
              <w:t>366</w:t>
            </w:r>
          </w:p>
        </w:tc>
        <w:tc>
          <w:tcPr>
            <w:tcW w:type="dxa" w:w="1019"/>
            <w:shd w:val="clear" w:color="auto" w:fill="F7F4EE"/>
            <w:vAlign w:val="top"/>
          </w:tcPr>
          <w:p>
            <w:pPr>
              <w:spacing w:after="0" w:line="240" w:lineRule="auto"/>
              <w:jc w:val="center"/>
            </w:pPr>
            <w:r>
              <w:rPr>
                <w:color w:val="2B2F36"/>
                <w:sz w:val="17"/>
              </w:rPr>
              <w:t>11</w:t>
            </w:r>
          </w:p>
        </w:tc>
        <w:tc>
          <w:tcPr>
            <w:tcW w:type="dxa" w:w="1019"/>
            <w:shd w:val="clear" w:color="auto" w:fill="F7F4EE"/>
            <w:vAlign w:val="top"/>
          </w:tcPr>
          <w:p>
            <w:pPr>
              <w:spacing w:after="0" w:line="240" w:lineRule="auto"/>
              <w:jc w:val="center"/>
            </w:pPr>
            <w:r>
              <w:rPr>
                <w:color w:val="2B2F36"/>
                <w:sz w:val="17"/>
              </w:rPr>
              <w:t>13</w:t>
            </w:r>
          </w:p>
        </w:tc>
        <w:tc>
          <w:tcPr>
            <w:tcW w:type="dxa" w:w="1455"/>
            <w:shd w:val="clear" w:color="auto" w:fill="F7F4EE"/>
            <w:vAlign w:val="top"/>
          </w:tcPr>
          <w:p>
            <w:pPr>
              <w:spacing w:after="0" w:line="240" w:lineRule="auto"/>
              <w:jc w:val="center"/>
            </w:pPr>
            <w:r>
              <w:rPr>
                <w:b/>
                <w:color w:val="2B2F36"/>
                <w:sz w:val="17"/>
              </w:rPr>
              <w:t>1,535</w:t>
            </w:r>
          </w:p>
        </w:tc>
        <w:tc>
          <w:tcPr>
            <w:tcW w:type="dxa" w:w="1310"/>
            <w:shd w:val="clear" w:color="auto" w:fill="F7F4EE"/>
            <w:vAlign w:val="top"/>
          </w:tcPr>
          <w:p>
            <w:pPr>
              <w:spacing w:after="0" w:line="240" w:lineRule="auto"/>
              <w:jc w:val="center"/>
            </w:pPr>
            <w:r>
              <w:rPr>
                <w:color w:val="2B2F36"/>
                <w:sz w:val="17"/>
              </w:rPr>
              <w:t>75 %</w:t>
            </w:r>
          </w:p>
        </w:tc>
        <w:tc>
          <w:tcPr>
            <w:tcW w:type="dxa" w:w="1310"/>
            <w:shd w:val="clear" w:color="auto" w:fill="F7F4EE"/>
            <w:vAlign w:val="top"/>
          </w:tcPr>
          <w:p>
            <w:pPr>
              <w:spacing w:after="0" w:line="240" w:lineRule="auto"/>
              <w:jc w:val="center"/>
            </w:pPr>
            <w:r>
              <w:rPr>
                <w:color w:val="2B2F36"/>
                <w:sz w:val="17"/>
              </w:rPr>
              <w:t>24 %</w:t>
            </w:r>
          </w:p>
        </w:tc>
      </w:tr>
      <w:tr>
        <w:trPr>
          <w:cantSplit/>
        </w:trPr>
        <w:tc>
          <w:tcPr>
            <w:tcW w:type="dxa" w:w="1310"/>
            <w:vAlign w:val="top"/>
          </w:tcPr>
          <w:p>
            <w:pPr>
              <w:spacing w:after="0" w:line="240" w:lineRule="auto"/>
            </w:pPr>
            <w:r>
              <w:rPr>
                <w:color w:val="2B2F36"/>
                <w:sz w:val="17"/>
              </w:rPr>
              <w:t>CC494K</w:t>
            </w:r>
          </w:p>
        </w:tc>
        <w:tc>
          <w:tcPr>
            <w:tcW w:type="dxa" w:w="1164"/>
            <w:vAlign w:val="top"/>
          </w:tcPr>
          <w:p>
            <w:pPr>
              <w:spacing w:after="0" w:line="240" w:lineRule="auto"/>
              <w:jc w:val="center"/>
            </w:pPr>
            <w:r>
              <w:rPr>
                <w:color w:val="2B2F36"/>
                <w:sz w:val="17"/>
              </w:rPr>
              <w:t>1,172</w:t>
            </w:r>
          </w:p>
        </w:tc>
        <w:tc>
          <w:tcPr>
            <w:tcW w:type="dxa" w:w="1164"/>
            <w:vAlign w:val="top"/>
          </w:tcPr>
          <w:p>
            <w:pPr>
              <w:spacing w:after="0" w:line="240" w:lineRule="auto"/>
              <w:jc w:val="center"/>
            </w:pPr>
            <w:r>
              <w:rPr>
                <w:color w:val="2B2F36"/>
                <w:sz w:val="17"/>
              </w:rPr>
              <w:t>262</w:t>
            </w:r>
          </w:p>
        </w:tc>
        <w:tc>
          <w:tcPr>
            <w:tcW w:type="dxa" w:w="1019"/>
            <w:vAlign w:val="top"/>
          </w:tcPr>
          <w:p>
            <w:pPr>
              <w:spacing w:after="0" w:line="240" w:lineRule="auto"/>
              <w:jc w:val="center"/>
            </w:pPr>
            <w:r>
              <w:rPr>
                <w:color w:val="2B2F36"/>
                <w:sz w:val="17"/>
              </w:rPr>
              <w:t>16</w:t>
            </w:r>
          </w:p>
        </w:tc>
        <w:tc>
          <w:tcPr>
            <w:tcW w:type="dxa" w:w="1019"/>
            <w:vAlign w:val="top"/>
          </w:tcPr>
          <w:p>
            <w:pPr>
              <w:spacing w:after="0" w:line="240" w:lineRule="auto"/>
              <w:jc w:val="center"/>
            </w:pPr>
            <w:r>
              <w:rPr>
                <w:color w:val="2B2F36"/>
                <w:sz w:val="17"/>
              </w:rPr>
              <w:t>4</w:t>
            </w:r>
          </w:p>
        </w:tc>
        <w:tc>
          <w:tcPr>
            <w:tcW w:type="dxa" w:w="1455"/>
            <w:vAlign w:val="top"/>
          </w:tcPr>
          <w:p>
            <w:pPr>
              <w:spacing w:after="0" w:line="240" w:lineRule="auto"/>
              <w:jc w:val="center"/>
            </w:pPr>
            <w:r>
              <w:rPr>
                <w:b/>
                <w:color w:val="2B2F36"/>
                <w:sz w:val="17"/>
              </w:rPr>
              <w:t>1,453</w:t>
            </w:r>
          </w:p>
        </w:tc>
        <w:tc>
          <w:tcPr>
            <w:tcW w:type="dxa" w:w="1310"/>
            <w:vAlign w:val="top"/>
          </w:tcPr>
          <w:p>
            <w:pPr>
              <w:spacing w:after="0" w:line="240" w:lineRule="auto"/>
              <w:jc w:val="center"/>
            </w:pPr>
            <w:r>
              <w:rPr>
                <w:color w:val="2B2F36"/>
                <w:sz w:val="17"/>
              </w:rPr>
              <w:t>81 %</w:t>
            </w:r>
          </w:p>
        </w:tc>
        <w:tc>
          <w:tcPr>
            <w:tcW w:type="dxa" w:w="1310"/>
            <w:vAlign w:val="top"/>
          </w:tcPr>
          <w:p>
            <w:pPr>
              <w:spacing w:after="0" w:line="240" w:lineRule="auto"/>
              <w:jc w:val="center"/>
            </w:pPr>
            <w:r>
              <w:rPr>
                <w:color w:val="2B2F36"/>
                <w:sz w:val="17"/>
              </w:rPr>
              <w:t>18 %</w:t>
            </w:r>
          </w:p>
        </w:tc>
      </w:tr>
      <w:tr>
        <w:trPr>
          <w:cantSplit/>
        </w:trPr>
        <w:tc>
          <w:tcPr>
            <w:tcW w:type="dxa" w:w="1310"/>
            <w:shd w:val="clear" w:color="auto" w:fill="F7F4EE"/>
            <w:vAlign w:val="top"/>
          </w:tcPr>
          <w:p>
            <w:pPr>
              <w:spacing w:after="0" w:line="240" w:lineRule="auto"/>
            </w:pPr>
            <w:r>
              <w:rPr>
                <w:color w:val="2B2F36"/>
                <w:sz w:val="17"/>
              </w:rPr>
              <w:t>CC495K</w:t>
            </w:r>
          </w:p>
        </w:tc>
        <w:tc>
          <w:tcPr>
            <w:tcW w:type="dxa" w:w="1164"/>
            <w:shd w:val="clear" w:color="auto" w:fill="F7F4EE"/>
            <w:vAlign w:val="top"/>
          </w:tcPr>
          <w:p>
            <w:pPr>
              <w:spacing w:after="0" w:line="240" w:lineRule="auto"/>
              <w:jc w:val="center"/>
            </w:pPr>
            <w:r>
              <w:rPr>
                <w:color w:val="2B2F36"/>
                <w:sz w:val="17"/>
              </w:rPr>
              <w:t>1,103</w:t>
            </w:r>
          </w:p>
        </w:tc>
        <w:tc>
          <w:tcPr>
            <w:tcW w:type="dxa" w:w="1164"/>
            <w:shd w:val="clear" w:color="auto" w:fill="F7F4EE"/>
            <w:vAlign w:val="top"/>
          </w:tcPr>
          <w:p>
            <w:pPr>
              <w:spacing w:after="0" w:line="240" w:lineRule="auto"/>
              <w:jc w:val="center"/>
            </w:pPr>
            <w:r>
              <w:rPr>
                <w:color w:val="2B2F36"/>
                <w:sz w:val="17"/>
              </w:rPr>
              <w:t>523</w:t>
            </w:r>
          </w:p>
        </w:tc>
        <w:tc>
          <w:tcPr>
            <w:tcW w:type="dxa" w:w="1019"/>
            <w:shd w:val="clear" w:color="auto" w:fill="F7F4EE"/>
            <w:vAlign w:val="top"/>
          </w:tcPr>
          <w:p>
            <w:pPr>
              <w:spacing w:after="0" w:line="240" w:lineRule="auto"/>
              <w:jc w:val="center"/>
            </w:pPr>
            <w:r>
              <w:rPr>
                <w:color w:val="2B2F36"/>
                <w:sz w:val="17"/>
              </w:rPr>
              <w:t>18</w:t>
            </w:r>
          </w:p>
        </w:tc>
        <w:tc>
          <w:tcPr>
            <w:tcW w:type="dxa" w:w="1019"/>
            <w:shd w:val="clear" w:color="auto" w:fill="F7F4EE"/>
            <w:vAlign w:val="top"/>
          </w:tcPr>
          <w:p>
            <w:pPr>
              <w:spacing w:after="0" w:line="240" w:lineRule="auto"/>
              <w:jc w:val="center"/>
            </w:pPr>
            <w:r>
              <w:rPr>
                <w:color w:val="2B2F36"/>
                <w:sz w:val="17"/>
              </w:rPr>
              <w:t>0</w:t>
            </w:r>
          </w:p>
        </w:tc>
        <w:tc>
          <w:tcPr>
            <w:tcW w:type="dxa" w:w="1455"/>
            <w:shd w:val="clear" w:color="auto" w:fill="F7F4EE"/>
            <w:vAlign w:val="top"/>
          </w:tcPr>
          <w:p>
            <w:pPr>
              <w:spacing w:after="0" w:line="240" w:lineRule="auto"/>
              <w:jc w:val="center"/>
            </w:pPr>
            <w:r>
              <w:rPr>
                <w:b/>
                <w:color w:val="2B2F36"/>
                <w:sz w:val="17"/>
              </w:rPr>
              <w:t>1,644</w:t>
            </w:r>
          </w:p>
        </w:tc>
        <w:tc>
          <w:tcPr>
            <w:tcW w:type="dxa" w:w="1310"/>
            <w:shd w:val="clear" w:color="auto" w:fill="F7F4EE"/>
            <w:vAlign w:val="top"/>
          </w:tcPr>
          <w:p>
            <w:pPr>
              <w:spacing w:after="0" w:line="240" w:lineRule="auto"/>
              <w:jc w:val="center"/>
            </w:pPr>
            <w:r>
              <w:rPr>
                <w:color w:val="2B2F36"/>
                <w:sz w:val="17"/>
              </w:rPr>
              <w:t>67 %</w:t>
            </w:r>
          </w:p>
        </w:tc>
        <w:tc>
          <w:tcPr>
            <w:tcW w:type="dxa" w:w="1310"/>
            <w:shd w:val="clear" w:color="auto" w:fill="F7F4EE"/>
            <w:vAlign w:val="top"/>
          </w:tcPr>
          <w:p>
            <w:pPr>
              <w:spacing w:after="0" w:line="240" w:lineRule="auto"/>
              <w:jc w:val="center"/>
            </w:pPr>
            <w:r>
              <w:rPr>
                <w:color w:val="2B2F36"/>
                <w:sz w:val="17"/>
              </w:rPr>
              <w:t>32 %</w:t>
            </w:r>
          </w:p>
        </w:tc>
      </w:tr>
    </w:tbl>
    <w:p>
      <w:pPr>
        <w:spacing w:after="40"/>
      </w:pPr>
    </w:p>
    <w:p>
      <w:pPr>
        <w:keepNext/>
        <w:spacing w:after="40"/>
        <w:jc w:val="center"/>
      </w:pPr>
      <w:r>
        <w:drawing>
          <wp:inline xmlns:a="http://schemas.openxmlformats.org/drawingml/2006/main" xmlns:pic="http://schemas.openxmlformats.org/drawingml/2006/picture">
            <wp:extent cx="6192000" cy="2631079"/>
            <wp:docPr id="14" name="Picture 14"/>
            <wp:cNvGraphicFramePr>
              <a:graphicFrameLocks noChangeAspect="1"/>
            </wp:cNvGraphicFramePr>
            <a:graphic>
              <a:graphicData uri="http://schemas.openxmlformats.org/drawingml/2006/picture">
                <pic:pic>
                  <pic:nvPicPr>
                    <pic:cNvPr id="0" name="c09.png"/>
                    <pic:cNvPicPr/>
                  </pic:nvPicPr>
                  <pic:blipFill>
                    <a:blip r:embed="rId24"/>
                    <a:stretch>
                      <a:fillRect/>
                    </a:stretch>
                  </pic:blipFill>
                  <pic:spPr>
                    <a:xfrm>
                      <a:off x="0" y="0"/>
                      <a:ext cx="6192000" cy="2631079"/>
                    </a:xfrm>
                    <a:prstGeom prst="rect"/>
                  </pic:spPr>
                </pic:pic>
              </a:graphicData>
            </a:graphic>
          </wp:inline>
        </w:drawing>
      </w:r>
    </w:p>
    <w:p>
      <w:pPr>
        <w:spacing w:after="160"/>
      </w:pPr>
      <w:r>
        <w:rPr>
          <w:b/>
          <w:color w:val="5B6470"/>
          <w:sz w:val="17"/>
        </w:rPr>
        <w:t>Figure 14.</w:t>
      </w:r>
      <w:r>
        <w:rPr>
          <w:color w:val="5B6470"/>
          <w:sz w:val="17"/>
        </w:rPr>
        <w:t xml:space="preserve"> Metal value by element (left) and each element's share (right). Tin is a small share by weight but 12–32 % of value; copper is 67–86 %.</w:t>
      </w:r>
    </w:p>
    <w:p>
      <w:pPr>
        <w:pStyle w:val="Heading2"/>
      </w:pPr>
      <w:r>
        <w:t>6.4 Formula price: what Bajaj quotes</w:t>
      </w:r>
    </w:p>
    <w:p>
      <w:r>
        <w:t xml:space="preserve">Ex-works price = metal value × (1 + melt loss) + conversion premium. Melt loss (2.5 %) and conversion (₹50/kg) are </w:t>
      </w:r>
      <w:r>
        <w:rPr>
          <w:b/>
        </w:rPr>
        <w:t>placeholders</w:t>
      </w:r>
      <w:r>
        <w:t>. GST is 18 %.</w:t>
      </w:r>
    </w:p>
    <w:p>
      <w:pPr>
        <w:keepNext/>
        <w:spacing w:after="40"/>
      </w:pPr>
      <w:r>
        <w:rPr>
          <w:b/>
          <w:color w:val="5B6470"/>
          <w:sz w:val="18"/>
        </w:rPr>
        <w:t>Table 12.</w:t>
      </w:r>
      <w:r>
        <w:rPr>
          <w:color w:val="5B6470"/>
          <w:sz w:val="18"/>
        </w:rPr>
        <w:t xml:space="preserve"> Formula price per grade</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140"/>
        <w:gridCol w:w="1266"/>
        <w:gridCol w:w="1266"/>
        <w:gridCol w:w="1393"/>
        <w:gridCol w:w="1520"/>
        <w:gridCol w:w="1646"/>
        <w:gridCol w:w="1520"/>
      </w:tblGrid>
      <w:tr>
        <w:trPr>
          <w:cantSplit/>
          <w:tblHeader/>
        </w:trPr>
        <w:tc>
          <w:tcPr>
            <w:tcW w:type="dxa" w:w="1140"/>
            <w:shd w:val="clear" w:color="auto" w:fill="1F4E79"/>
            <w:vAlign w:val="center"/>
          </w:tcPr>
          <w:p>
            <w:pPr>
              <w:spacing w:after="0" w:line="240" w:lineRule="auto"/>
            </w:pPr>
            <w:r>
              <w:rPr>
                <w:b/>
                <w:color w:val="FFFFFF"/>
                <w:sz w:val="17"/>
              </w:rPr>
              <w:t>Grade</w:t>
            </w:r>
          </w:p>
        </w:tc>
        <w:tc>
          <w:tcPr>
            <w:tcW w:type="dxa" w:w="1266"/>
            <w:shd w:val="clear" w:color="auto" w:fill="1F4E79"/>
            <w:vAlign w:val="center"/>
          </w:tcPr>
          <w:p>
            <w:pPr>
              <w:spacing w:after="0" w:line="240" w:lineRule="auto"/>
            </w:pPr>
            <w:r>
              <w:rPr>
                <w:b/>
                <w:color w:val="FFFFFF"/>
                <w:sz w:val="17"/>
              </w:rPr>
              <w:t>Metal ₹/kg</w:t>
            </w:r>
          </w:p>
        </w:tc>
        <w:tc>
          <w:tcPr>
            <w:tcW w:type="dxa" w:w="1266"/>
            <w:shd w:val="clear" w:color="auto" w:fill="1F4E79"/>
            <w:vAlign w:val="center"/>
          </w:tcPr>
          <w:p>
            <w:pPr>
              <w:spacing w:after="0" w:line="240" w:lineRule="auto"/>
            </w:pPr>
            <w:r>
              <w:rPr>
                <w:b/>
                <w:color w:val="FFFFFF"/>
                <w:sz w:val="17"/>
              </w:rPr>
              <w:t>+ melt loss</w:t>
            </w:r>
          </w:p>
        </w:tc>
        <w:tc>
          <w:tcPr>
            <w:tcW w:type="dxa" w:w="1393"/>
            <w:shd w:val="clear" w:color="auto" w:fill="1F4E79"/>
            <w:vAlign w:val="center"/>
          </w:tcPr>
          <w:p>
            <w:pPr>
              <w:spacing w:after="0" w:line="240" w:lineRule="auto"/>
            </w:pPr>
            <w:r>
              <w:rPr>
                <w:b/>
                <w:color w:val="FFFFFF"/>
                <w:sz w:val="17"/>
              </w:rPr>
              <w:t>+ conversion</w:t>
            </w:r>
          </w:p>
        </w:tc>
        <w:tc>
          <w:tcPr>
            <w:tcW w:type="dxa" w:w="1520"/>
            <w:shd w:val="clear" w:color="auto" w:fill="1F4E79"/>
            <w:vAlign w:val="center"/>
          </w:tcPr>
          <w:p>
            <w:pPr>
              <w:spacing w:after="0" w:line="240" w:lineRule="auto"/>
            </w:pPr>
            <w:r>
              <w:rPr>
                <w:b/>
                <w:color w:val="FFFFFF"/>
                <w:sz w:val="17"/>
              </w:rPr>
              <w:t>Ex-works ₹/kg</w:t>
            </w:r>
          </w:p>
        </w:tc>
        <w:tc>
          <w:tcPr>
            <w:tcW w:type="dxa" w:w="1646"/>
            <w:shd w:val="clear" w:color="auto" w:fill="1F4E79"/>
            <w:vAlign w:val="center"/>
          </w:tcPr>
          <w:p>
            <w:pPr>
              <w:spacing w:after="0" w:line="240" w:lineRule="auto"/>
            </w:pPr>
            <w:r>
              <w:rPr>
                <w:b/>
                <w:color w:val="FFFFFF"/>
                <w:sz w:val="17"/>
              </w:rPr>
              <w:t>With 18 % GST</w:t>
            </w:r>
          </w:p>
        </w:tc>
        <w:tc>
          <w:tcPr>
            <w:tcW w:type="dxa" w:w="1520"/>
            <w:shd w:val="clear" w:color="auto" w:fill="1F4E79"/>
            <w:vAlign w:val="center"/>
          </w:tcPr>
          <w:p>
            <w:pPr>
              <w:spacing w:after="0" w:line="240" w:lineRule="auto"/>
            </w:pPr>
            <w:r>
              <w:rPr>
                <w:b/>
                <w:color w:val="FFFFFF"/>
                <w:sz w:val="17"/>
              </w:rPr>
              <w:t>Ex-works ₹ lakh/tonne</w:t>
            </w:r>
          </w:p>
        </w:tc>
      </w:tr>
      <w:tr>
        <w:trPr>
          <w:cantSplit/>
        </w:trPr>
        <w:tc>
          <w:tcPr>
            <w:tcW w:type="dxa" w:w="1140"/>
            <w:vAlign w:val="top"/>
          </w:tcPr>
          <w:p>
            <w:pPr>
              <w:spacing w:after="0" w:line="240" w:lineRule="auto"/>
            </w:pPr>
            <w:r>
              <w:rPr>
                <w:color w:val="2B2F36"/>
                <w:sz w:val="17"/>
              </w:rPr>
              <w:t>CC490K</w:t>
            </w:r>
          </w:p>
        </w:tc>
        <w:tc>
          <w:tcPr>
            <w:tcW w:type="dxa" w:w="1266"/>
            <w:vAlign w:val="top"/>
          </w:tcPr>
          <w:p>
            <w:pPr>
              <w:spacing w:after="0" w:line="240" w:lineRule="auto"/>
              <w:jc w:val="center"/>
            </w:pPr>
            <w:r>
              <w:rPr>
                <w:color w:val="2B2F36"/>
                <w:sz w:val="17"/>
              </w:rPr>
              <w:t>1,353</w:t>
            </w:r>
          </w:p>
        </w:tc>
        <w:tc>
          <w:tcPr>
            <w:tcW w:type="dxa" w:w="1266"/>
            <w:vAlign w:val="top"/>
          </w:tcPr>
          <w:p>
            <w:pPr>
              <w:spacing w:after="0" w:line="240" w:lineRule="auto"/>
              <w:jc w:val="center"/>
            </w:pPr>
            <w:r>
              <w:rPr>
                <w:color w:val="2B2F36"/>
                <w:sz w:val="17"/>
              </w:rPr>
              <w:t>34</w:t>
            </w:r>
          </w:p>
        </w:tc>
        <w:tc>
          <w:tcPr>
            <w:tcW w:type="dxa" w:w="1393"/>
            <w:vAlign w:val="top"/>
          </w:tcPr>
          <w:p>
            <w:pPr>
              <w:spacing w:after="0" w:line="240" w:lineRule="auto"/>
              <w:jc w:val="center"/>
            </w:pPr>
            <w:r>
              <w:rPr>
                <w:color w:val="2B2F36"/>
                <w:sz w:val="17"/>
              </w:rPr>
              <w:t>50</w:t>
            </w:r>
          </w:p>
        </w:tc>
        <w:tc>
          <w:tcPr>
            <w:tcW w:type="dxa" w:w="1520"/>
            <w:vAlign w:val="top"/>
          </w:tcPr>
          <w:p>
            <w:pPr>
              <w:spacing w:after="0" w:line="240" w:lineRule="auto"/>
              <w:jc w:val="center"/>
            </w:pPr>
            <w:r>
              <w:rPr>
                <w:b/>
                <w:color w:val="2B2F36"/>
                <w:sz w:val="17"/>
              </w:rPr>
              <w:t>1,437</w:t>
            </w:r>
          </w:p>
        </w:tc>
        <w:tc>
          <w:tcPr>
            <w:tcW w:type="dxa" w:w="1646"/>
            <w:vAlign w:val="top"/>
          </w:tcPr>
          <w:p>
            <w:pPr>
              <w:spacing w:after="0" w:line="240" w:lineRule="auto"/>
              <w:jc w:val="center"/>
            </w:pPr>
            <w:r>
              <w:rPr>
                <w:color w:val="2B2F36"/>
                <w:sz w:val="17"/>
              </w:rPr>
              <w:t>1,696</w:t>
            </w:r>
          </w:p>
        </w:tc>
        <w:tc>
          <w:tcPr>
            <w:tcW w:type="dxa" w:w="1520"/>
            <w:vAlign w:val="top"/>
          </w:tcPr>
          <w:p>
            <w:pPr>
              <w:spacing w:after="0" w:line="240" w:lineRule="auto"/>
              <w:jc w:val="center"/>
            </w:pPr>
            <w:r>
              <w:rPr>
                <w:color w:val="2B2F36"/>
                <w:sz w:val="17"/>
              </w:rPr>
              <w:t>14.37</w:t>
            </w:r>
          </w:p>
        </w:tc>
      </w:tr>
      <w:tr>
        <w:trPr>
          <w:cantSplit/>
        </w:trPr>
        <w:tc>
          <w:tcPr>
            <w:tcW w:type="dxa" w:w="1140"/>
            <w:shd w:val="clear" w:color="auto" w:fill="F7F4EE"/>
            <w:vAlign w:val="top"/>
          </w:tcPr>
          <w:p>
            <w:pPr>
              <w:spacing w:after="0" w:line="240" w:lineRule="auto"/>
            </w:pPr>
            <w:r>
              <w:rPr>
                <w:color w:val="2B2F36"/>
                <w:sz w:val="17"/>
              </w:rPr>
              <w:t>CC491K</w:t>
            </w:r>
          </w:p>
        </w:tc>
        <w:tc>
          <w:tcPr>
            <w:tcW w:type="dxa" w:w="1266"/>
            <w:shd w:val="clear" w:color="auto" w:fill="F7F4EE"/>
            <w:vAlign w:val="top"/>
          </w:tcPr>
          <w:p>
            <w:pPr>
              <w:spacing w:after="0" w:line="240" w:lineRule="auto"/>
              <w:jc w:val="center"/>
            </w:pPr>
            <w:r>
              <w:rPr>
                <w:color w:val="2B2F36"/>
                <w:sz w:val="17"/>
              </w:rPr>
              <w:t>1,461</w:t>
            </w:r>
          </w:p>
        </w:tc>
        <w:tc>
          <w:tcPr>
            <w:tcW w:type="dxa" w:w="1266"/>
            <w:shd w:val="clear" w:color="auto" w:fill="F7F4EE"/>
            <w:vAlign w:val="top"/>
          </w:tcPr>
          <w:p>
            <w:pPr>
              <w:spacing w:after="0" w:line="240" w:lineRule="auto"/>
              <w:jc w:val="center"/>
            </w:pPr>
            <w:r>
              <w:rPr>
                <w:color w:val="2B2F36"/>
                <w:sz w:val="17"/>
              </w:rPr>
              <w:t>37</w:t>
            </w:r>
          </w:p>
        </w:tc>
        <w:tc>
          <w:tcPr>
            <w:tcW w:type="dxa" w:w="1393"/>
            <w:shd w:val="clear" w:color="auto" w:fill="F7F4EE"/>
            <w:vAlign w:val="top"/>
          </w:tcPr>
          <w:p>
            <w:pPr>
              <w:spacing w:after="0" w:line="240" w:lineRule="auto"/>
              <w:jc w:val="center"/>
            </w:pPr>
            <w:r>
              <w:rPr>
                <w:color w:val="2B2F36"/>
                <w:sz w:val="17"/>
              </w:rPr>
              <w:t>50</w:t>
            </w:r>
          </w:p>
        </w:tc>
        <w:tc>
          <w:tcPr>
            <w:tcW w:type="dxa" w:w="1520"/>
            <w:shd w:val="clear" w:color="auto" w:fill="F7F4EE"/>
            <w:vAlign w:val="top"/>
          </w:tcPr>
          <w:p>
            <w:pPr>
              <w:spacing w:after="0" w:line="240" w:lineRule="auto"/>
              <w:jc w:val="center"/>
            </w:pPr>
            <w:r>
              <w:rPr>
                <w:b/>
                <w:color w:val="2B2F36"/>
                <w:sz w:val="17"/>
              </w:rPr>
              <w:t>1,547</w:t>
            </w:r>
          </w:p>
        </w:tc>
        <w:tc>
          <w:tcPr>
            <w:tcW w:type="dxa" w:w="1646"/>
            <w:shd w:val="clear" w:color="auto" w:fill="F7F4EE"/>
            <w:vAlign w:val="top"/>
          </w:tcPr>
          <w:p>
            <w:pPr>
              <w:spacing w:after="0" w:line="240" w:lineRule="auto"/>
              <w:jc w:val="center"/>
            </w:pPr>
            <w:r>
              <w:rPr>
                <w:color w:val="2B2F36"/>
                <w:sz w:val="17"/>
              </w:rPr>
              <w:t>1,826</w:t>
            </w:r>
          </w:p>
        </w:tc>
        <w:tc>
          <w:tcPr>
            <w:tcW w:type="dxa" w:w="1520"/>
            <w:shd w:val="clear" w:color="auto" w:fill="F7F4EE"/>
            <w:vAlign w:val="top"/>
          </w:tcPr>
          <w:p>
            <w:pPr>
              <w:spacing w:after="0" w:line="240" w:lineRule="auto"/>
              <w:jc w:val="center"/>
            </w:pPr>
            <w:r>
              <w:rPr>
                <w:color w:val="2B2F36"/>
                <w:sz w:val="17"/>
              </w:rPr>
              <w:t>15.47</w:t>
            </w:r>
          </w:p>
        </w:tc>
      </w:tr>
      <w:tr>
        <w:trPr>
          <w:cantSplit/>
        </w:trPr>
        <w:tc>
          <w:tcPr>
            <w:tcW w:type="dxa" w:w="1140"/>
            <w:vAlign w:val="top"/>
          </w:tcPr>
          <w:p>
            <w:pPr>
              <w:spacing w:after="0" w:line="240" w:lineRule="auto"/>
            </w:pPr>
            <w:r>
              <w:rPr>
                <w:color w:val="2B2F36"/>
                <w:sz w:val="17"/>
              </w:rPr>
              <w:t>CC492K</w:t>
            </w:r>
          </w:p>
        </w:tc>
        <w:tc>
          <w:tcPr>
            <w:tcW w:type="dxa" w:w="1266"/>
            <w:vAlign w:val="top"/>
          </w:tcPr>
          <w:p>
            <w:pPr>
              <w:spacing w:after="0" w:line="240" w:lineRule="auto"/>
              <w:jc w:val="center"/>
            </w:pPr>
            <w:r>
              <w:rPr>
                <w:color w:val="2B2F36"/>
                <w:sz w:val="17"/>
              </w:rPr>
              <w:t>1,592</w:t>
            </w:r>
          </w:p>
        </w:tc>
        <w:tc>
          <w:tcPr>
            <w:tcW w:type="dxa" w:w="1266"/>
            <w:vAlign w:val="top"/>
          </w:tcPr>
          <w:p>
            <w:pPr>
              <w:spacing w:after="0" w:line="240" w:lineRule="auto"/>
              <w:jc w:val="center"/>
            </w:pPr>
            <w:r>
              <w:rPr>
                <w:color w:val="2B2F36"/>
                <w:sz w:val="17"/>
              </w:rPr>
              <w:t>40</w:t>
            </w:r>
          </w:p>
        </w:tc>
        <w:tc>
          <w:tcPr>
            <w:tcW w:type="dxa" w:w="1393"/>
            <w:vAlign w:val="top"/>
          </w:tcPr>
          <w:p>
            <w:pPr>
              <w:spacing w:after="0" w:line="240" w:lineRule="auto"/>
              <w:jc w:val="center"/>
            </w:pPr>
            <w:r>
              <w:rPr>
                <w:color w:val="2B2F36"/>
                <w:sz w:val="17"/>
              </w:rPr>
              <w:t>50</w:t>
            </w:r>
          </w:p>
        </w:tc>
        <w:tc>
          <w:tcPr>
            <w:tcW w:type="dxa" w:w="1520"/>
            <w:vAlign w:val="top"/>
          </w:tcPr>
          <w:p>
            <w:pPr>
              <w:spacing w:after="0" w:line="240" w:lineRule="auto"/>
              <w:jc w:val="center"/>
            </w:pPr>
            <w:r>
              <w:rPr>
                <w:b/>
                <w:color w:val="2B2F36"/>
                <w:sz w:val="17"/>
              </w:rPr>
              <w:t>1,682</w:t>
            </w:r>
          </w:p>
        </w:tc>
        <w:tc>
          <w:tcPr>
            <w:tcW w:type="dxa" w:w="1646"/>
            <w:vAlign w:val="top"/>
          </w:tcPr>
          <w:p>
            <w:pPr>
              <w:spacing w:after="0" w:line="240" w:lineRule="auto"/>
              <w:jc w:val="center"/>
            </w:pPr>
            <w:r>
              <w:rPr>
                <w:color w:val="2B2F36"/>
                <w:sz w:val="17"/>
              </w:rPr>
              <w:t>1,985</w:t>
            </w:r>
          </w:p>
        </w:tc>
        <w:tc>
          <w:tcPr>
            <w:tcW w:type="dxa" w:w="1520"/>
            <w:vAlign w:val="top"/>
          </w:tcPr>
          <w:p>
            <w:pPr>
              <w:spacing w:after="0" w:line="240" w:lineRule="auto"/>
              <w:jc w:val="center"/>
            </w:pPr>
            <w:r>
              <w:rPr>
                <w:color w:val="2B2F36"/>
                <w:sz w:val="17"/>
              </w:rPr>
              <w:t>16.82</w:t>
            </w:r>
          </w:p>
        </w:tc>
      </w:tr>
      <w:tr>
        <w:trPr>
          <w:cantSplit/>
        </w:trPr>
        <w:tc>
          <w:tcPr>
            <w:tcW w:type="dxa" w:w="1140"/>
            <w:shd w:val="clear" w:color="auto" w:fill="F7F4EE"/>
            <w:vAlign w:val="top"/>
          </w:tcPr>
          <w:p>
            <w:pPr>
              <w:spacing w:after="0" w:line="240" w:lineRule="auto"/>
            </w:pPr>
            <w:r>
              <w:rPr>
                <w:color w:val="2B2F36"/>
                <w:sz w:val="17"/>
              </w:rPr>
              <w:t>CC493K</w:t>
            </w:r>
          </w:p>
        </w:tc>
        <w:tc>
          <w:tcPr>
            <w:tcW w:type="dxa" w:w="1266"/>
            <w:shd w:val="clear" w:color="auto" w:fill="F7F4EE"/>
            <w:vAlign w:val="top"/>
          </w:tcPr>
          <w:p>
            <w:pPr>
              <w:spacing w:after="0" w:line="240" w:lineRule="auto"/>
              <w:jc w:val="center"/>
            </w:pPr>
            <w:r>
              <w:rPr>
                <w:color w:val="2B2F36"/>
                <w:sz w:val="17"/>
              </w:rPr>
              <w:t>1,535</w:t>
            </w:r>
          </w:p>
        </w:tc>
        <w:tc>
          <w:tcPr>
            <w:tcW w:type="dxa" w:w="1266"/>
            <w:shd w:val="clear" w:color="auto" w:fill="F7F4EE"/>
            <w:vAlign w:val="top"/>
          </w:tcPr>
          <w:p>
            <w:pPr>
              <w:spacing w:after="0" w:line="240" w:lineRule="auto"/>
              <w:jc w:val="center"/>
            </w:pPr>
            <w:r>
              <w:rPr>
                <w:color w:val="2B2F36"/>
                <w:sz w:val="17"/>
              </w:rPr>
              <w:t>38</w:t>
            </w:r>
          </w:p>
        </w:tc>
        <w:tc>
          <w:tcPr>
            <w:tcW w:type="dxa" w:w="1393"/>
            <w:shd w:val="clear" w:color="auto" w:fill="F7F4EE"/>
            <w:vAlign w:val="top"/>
          </w:tcPr>
          <w:p>
            <w:pPr>
              <w:spacing w:after="0" w:line="240" w:lineRule="auto"/>
              <w:jc w:val="center"/>
            </w:pPr>
            <w:r>
              <w:rPr>
                <w:color w:val="2B2F36"/>
                <w:sz w:val="17"/>
              </w:rPr>
              <w:t>50</w:t>
            </w:r>
          </w:p>
        </w:tc>
        <w:tc>
          <w:tcPr>
            <w:tcW w:type="dxa" w:w="1520"/>
            <w:shd w:val="clear" w:color="auto" w:fill="F7F4EE"/>
            <w:vAlign w:val="top"/>
          </w:tcPr>
          <w:p>
            <w:pPr>
              <w:spacing w:after="0" w:line="240" w:lineRule="auto"/>
              <w:jc w:val="center"/>
            </w:pPr>
            <w:r>
              <w:rPr>
                <w:b/>
                <w:color w:val="2B2F36"/>
                <w:sz w:val="17"/>
              </w:rPr>
              <w:t>1,623</w:t>
            </w:r>
          </w:p>
        </w:tc>
        <w:tc>
          <w:tcPr>
            <w:tcW w:type="dxa" w:w="1646"/>
            <w:shd w:val="clear" w:color="auto" w:fill="F7F4EE"/>
            <w:vAlign w:val="top"/>
          </w:tcPr>
          <w:p>
            <w:pPr>
              <w:spacing w:after="0" w:line="240" w:lineRule="auto"/>
              <w:jc w:val="center"/>
            </w:pPr>
            <w:r>
              <w:rPr>
                <w:color w:val="2B2F36"/>
                <w:sz w:val="17"/>
              </w:rPr>
              <w:t>1,916</w:t>
            </w:r>
          </w:p>
        </w:tc>
        <w:tc>
          <w:tcPr>
            <w:tcW w:type="dxa" w:w="1520"/>
            <w:shd w:val="clear" w:color="auto" w:fill="F7F4EE"/>
            <w:vAlign w:val="top"/>
          </w:tcPr>
          <w:p>
            <w:pPr>
              <w:spacing w:after="0" w:line="240" w:lineRule="auto"/>
              <w:jc w:val="center"/>
            </w:pPr>
            <w:r>
              <w:rPr>
                <w:color w:val="2B2F36"/>
                <w:sz w:val="17"/>
              </w:rPr>
              <w:t>16.23</w:t>
            </w:r>
          </w:p>
        </w:tc>
      </w:tr>
      <w:tr>
        <w:trPr>
          <w:cantSplit/>
        </w:trPr>
        <w:tc>
          <w:tcPr>
            <w:tcW w:type="dxa" w:w="1140"/>
            <w:vAlign w:val="top"/>
          </w:tcPr>
          <w:p>
            <w:pPr>
              <w:spacing w:after="0" w:line="240" w:lineRule="auto"/>
            </w:pPr>
            <w:r>
              <w:rPr>
                <w:color w:val="2B2F36"/>
                <w:sz w:val="17"/>
              </w:rPr>
              <w:t>CC494K</w:t>
            </w:r>
          </w:p>
        </w:tc>
        <w:tc>
          <w:tcPr>
            <w:tcW w:type="dxa" w:w="1266"/>
            <w:vAlign w:val="top"/>
          </w:tcPr>
          <w:p>
            <w:pPr>
              <w:spacing w:after="0" w:line="240" w:lineRule="auto"/>
              <w:jc w:val="center"/>
            </w:pPr>
            <w:r>
              <w:rPr>
                <w:color w:val="2B2F36"/>
                <w:sz w:val="17"/>
              </w:rPr>
              <w:t>1,453</w:t>
            </w:r>
          </w:p>
        </w:tc>
        <w:tc>
          <w:tcPr>
            <w:tcW w:type="dxa" w:w="1266"/>
            <w:vAlign w:val="top"/>
          </w:tcPr>
          <w:p>
            <w:pPr>
              <w:spacing w:after="0" w:line="240" w:lineRule="auto"/>
              <w:jc w:val="center"/>
            </w:pPr>
            <w:r>
              <w:rPr>
                <w:color w:val="2B2F36"/>
                <w:sz w:val="17"/>
              </w:rPr>
              <w:t>36</w:t>
            </w:r>
          </w:p>
        </w:tc>
        <w:tc>
          <w:tcPr>
            <w:tcW w:type="dxa" w:w="1393"/>
            <w:vAlign w:val="top"/>
          </w:tcPr>
          <w:p>
            <w:pPr>
              <w:spacing w:after="0" w:line="240" w:lineRule="auto"/>
              <w:jc w:val="center"/>
            </w:pPr>
            <w:r>
              <w:rPr>
                <w:color w:val="2B2F36"/>
                <w:sz w:val="17"/>
              </w:rPr>
              <w:t>50</w:t>
            </w:r>
          </w:p>
        </w:tc>
        <w:tc>
          <w:tcPr>
            <w:tcW w:type="dxa" w:w="1520"/>
            <w:vAlign w:val="top"/>
          </w:tcPr>
          <w:p>
            <w:pPr>
              <w:spacing w:after="0" w:line="240" w:lineRule="auto"/>
              <w:jc w:val="center"/>
            </w:pPr>
            <w:r>
              <w:rPr>
                <w:b/>
                <w:color w:val="2B2F36"/>
                <w:sz w:val="17"/>
              </w:rPr>
              <w:t>1,539</w:t>
            </w:r>
          </w:p>
        </w:tc>
        <w:tc>
          <w:tcPr>
            <w:tcW w:type="dxa" w:w="1646"/>
            <w:vAlign w:val="top"/>
          </w:tcPr>
          <w:p>
            <w:pPr>
              <w:spacing w:after="0" w:line="240" w:lineRule="auto"/>
              <w:jc w:val="center"/>
            </w:pPr>
            <w:r>
              <w:rPr>
                <w:color w:val="2B2F36"/>
                <w:sz w:val="17"/>
              </w:rPr>
              <w:t>1,817</w:t>
            </w:r>
          </w:p>
        </w:tc>
        <w:tc>
          <w:tcPr>
            <w:tcW w:type="dxa" w:w="1520"/>
            <w:vAlign w:val="top"/>
          </w:tcPr>
          <w:p>
            <w:pPr>
              <w:spacing w:after="0" w:line="240" w:lineRule="auto"/>
              <w:jc w:val="center"/>
            </w:pPr>
            <w:r>
              <w:rPr>
                <w:color w:val="2B2F36"/>
                <w:sz w:val="17"/>
              </w:rPr>
              <w:t>15.39</w:t>
            </w:r>
          </w:p>
        </w:tc>
      </w:tr>
      <w:tr>
        <w:trPr>
          <w:cantSplit/>
        </w:trPr>
        <w:tc>
          <w:tcPr>
            <w:tcW w:type="dxa" w:w="1140"/>
            <w:shd w:val="clear" w:color="auto" w:fill="F7F4EE"/>
            <w:vAlign w:val="top"/>
          </w:tcPr>
          <w:p>
            <w:pPr>
              <w:spacing w:after="0" w:line="240" w:lineRule="auto"/>
            </w:pPr>
            <w:r>
              <w:rPr>
                <w:color w:val="2B2F36"/>
                <w:sz w:val="17"/>
              </w:rPr>
              <w:t>CC495K</w:t>
            </w:r>
          </w:p>
        </w:tc>
        <w:tc>
          <w:tcPr>
            <w:tcW w:type="dxa" w:w="1266"/>
            <w:shd w:val="clear" w:color="auto" w:fill="F7F4EE"/>
            <w:vAlign w:val="top"/>
          </w:tcPr>
          <w:p>
            <w:pPr>
              <w:spacing w:after="0" w:line="240" w:lineRule="auto"/>
              <w:jc w:val="center"/>
            </w:pPr>
            <w:r>
              <w:rPr>
                <w:color w:val="2B2F36"/>
                <w:sz w:val="17"/>
              </w:rPr>
              <w:t>1,644</w:t>
            </w:r>
          </w:p>
        </w:tc>
        <w:tc>
          <w:tcPr>
            <w:tcW w:type="dxa" w:w="1266"/>
            <w:shd w:val="clear" w:color="auto" w:fill="F7F4EE"/>
            <w:vAlign w:val="top"/>
          </w:tcPr>
          <w:p>
            <w:pPr>
              <w:spacing w:after="0" w:line="240" w:lineRule="auto"/>
              <w:jc w:val="center"/>
            </w:pPr>
            <w:r>
              <w:rPr>
                <w:color w:val="2B2F36"/>
                <w:sz w:val="17"/>
              </w:rPr>
              <w:t>41</w:t>
            </w:r>
          </w:p>
        </w:tc>
        <w:tc>
          <w:tcPr>
            <w:tcW w:type="dxa" w:w="1393"/>
            <w:shd w:val="clear" w:color="auto" w:fill="F7F4EE"/>
            <w:vAlign w:val="top"/>
          </w:tcPr>
          <w:p>
            <w:pPr>
              <w:spacing w:after="0" w:line="240" w:lineRule="auto"/>
              <w:jc w:val="center"/>
            </w:pPr>
            <w:r>
              <w:rPr>
                <w:color w:val="2B2F36"/>
                <w:sz w:val="17"/>
              </w:rPr>
              <w:t>50</w:t>
            </w:r>
          </w:p>
        </w:tc>
        <w:tc>
          <w:tcPr>
            <w:tcW w:type="dxa" w:w="1520"/>
            <w:shd w:val="clear" w:color="auto" w:fill="F7F4EE"/>
            <w:vAlign w:val="top"/>
          </w:tcPr>
          <w:p>
            <w:pPr>
              <w:spacing w:after="0" w:line="240" w:lineRule="auto"/>
              <w:jc w:val="center"/>
            </w:pPr>
            <w:r>
              <w:rPr>
                <w:b/>
                <w:color w:val="2B2F36"/>
                <w:sz w:val="17"/>
              </w:rPr>
              <w:t>1,735</w:t>
            </w:r>
          </w:p>
        </w:tc>
        <w:tc>
          <w:tcPr>
            <w:tcW w:type="dxa" w:w="1646"/>
            <w:shd w:val="clear" w:color="auto" w:fill="F7F4EE"/>
            <w:vAlign w:val="top"/>
          </w:tcPr>
          <w:p>
            <w:pPr>
              <w:spacing w:after="0" w:line="240" w:lineRule="auto"/>
              <w:jc w:val="center"/>
            </w:pPr>
            <w:r>
              <w:rPr>
                <w:color w:val="2B2F36"/>
                <w:sz w:val="17"/>
              </w:rPr>
              <w:t>2,047</w:t>
            </w:r>
          </w:p>
        </w:tc>
        <w:tc>
          <w:tcPr>
            <w:tcW w:type="dxa" w:w="1520"/>
            <w:shd w:val="clear" w:color="auto" w:fill="F7F4EE"/>
            <w:vAlign w:val="top"/>
          </w:tcPr>
          <w:p>
            <w:pPr>
              <w:spacing w:after="0" w:line="240" w:lineRule="auto"/>
              <w:jc w:val="center"/>
            </w:pPr>
            <w:r>
              <w:rPr>
                <w:color w:val="2B2F36"/>
                <w:sz w:val="17"/>
              </w:rPr>
              <w:t>17.35</w:t>
            </w:r>
          </w:p>
        </w:tc>
      </w:tr>
    </w:tbl>
    <w:p>
      <w:pPr>
        <w:spacing w:after="40"/>
      </w:pPr>
    </w:p>
    <w:p>
      <w:pPr>
        <w:keepNext/>
        <w:spacing w:after="40"/>
        <w:jc w:val="center"/>
      </w:pPr>
      <w:r>
        <w:drawing>
          <wp:inline xmlns:a="http://schemas.openxmlformats.org/drawingml/2006/main" xmlns:pic="http://schemas.openxmlformats.org/drawingml/2006/picture">
            <wp:extent cx="6192000" cy="3220437"/>
            <wp:docPr id="15" name="Picture 15"/>
            <wp:cNvGraphicFramePr>
              <a:graphicFrameLocks noChangeAspect="1"/>
            </wp:cNvGraphicFramePr>
            <a:graphic>
              <a:graphicData uri="http://schemas.openxmlformats.org/drawingml/2006/picture">
                <pic:pic>
                  <pic:nvPicPr>
                    <pic:cNvPr id="0" name="c11.png"/>
                    <pic:cNvPicPr/>
                  </pic:nvPicPr>
                  <pic:blipFill>
                    <a:blip r:embed="rId25"/>
                    <a:stretch>
                      <a:fillRect/>
                    </a:stretch>
                  </pic:blipFill>
                  <pic:spPr>
                    <a:xfrm>
                      <a:off x="0" y="0"/>
                      <a:ext cx="6192000" cy="3220437"/>
                    </a:xfrm>
                    <a:prstGeom prst="rect"/>
                  </pic:spPr>
                </pic:pic>
              </a:graphicData>
            </a:graphic>
          </wp:inline>
        </w:drawing>
      </w:r>
    </w:p>
    <w:p>
      <w:pPr>
        <w:spacing w:after="160"/>
      </w:pPr>
      <w:r>
        <w:rPr>
          <w:b/>
          <w:color w:val="5B6470"/>
          <w:sz w:val="17"/>
        </w:rPr>
        <w:t>Figure 15.</w:t>
      </w:r>
      <w:r>
        <w:rPr>
          <w:color w:val="5B6470"/>
          <w:sz w:val="17"/>
        </w:rPr>
        <w:t xml:space="preserve"> How a kilogram of CC491K ingot is priced on the primary-metal basis. Metal including melt loss is 97 % of the ex-works price; conversion is 3 %.</w:t>
      </w:r>
    </w:p>
    <w:p>
      <w:pPr>
        <w:keepNext/>
        <w:spacing w:after="40"/>
        <w:jc w:val="center"/>
      </w:pPr>
      <w:r>
        <w:drawing>
          <wp:inline xmlns:a="http://schemas.openxmlformats.org/drawingml/2006/main" xmlns:pic="http://schemas.openxmlformats.org/drawingml/2006/picture">
            <wp:extent cx="6192000" cy="3494132"/>
            <wp:docPr id="16" name="Picture 16"/>
            <wp:cNvGraphicFramePr>
              <a:graphicFrameLocks noChangeAspect="1"/>
            </wp:cNvGraphicFramePr>
            <a:graphic>
              <a:graphicData uri="http://schemas.openxmlformats.org/drawingml/2006/picture">
                <pic:pic>
                  <pic:nvPicPr>
                    <pic:cNvPr id="0" name="c14.png"/>
                    <pic:cNvPicPr/>
                  </pic:nvPicPr>
                  <pic:blipFill>
                    <a:blip r:embed="rId26"/>
                    <a:stretch>
                      <a:fillRect/>
                    </a:stretch>
                  </pic:blipFill>
                  <pic:spPr>
                    <a:xfrm>
                      <a:off x="0" y="0"/>
                      <a:ext cx="6192000" cy="3494132"/>
                    </a:xfrm>
                    <a:prstGeom prst="rect"/>
                  </pic:spPr>
                </pic:pic>
              </a:graphicData>
            </a:graphic>
          </wp:inline>
        </w:drawing>
      </w:r>
    </w:p>
    <w:p>
      <w:pPr>
        <w:spacing w:after="160"/>
      </w:pPr>
      <w:r>
        <w:rPr>
          <w:b/>
          <w:color w:val="5B6470"/>
          <w:sz w:val="17"/>
        </w:rPr>
        <w:t>Figure 16.</w:t>
      </w:r>
      <w:r>
        <w:rPr>
          <w:color w:val="5B6470"/>
          <w:sz w:val="17"/>
        </w:rPr>
        <w:t xml:space="preserve"> Formula price against LME copper, tin/lead/zinc and rupee held. A 20 % copper move shifts an ingot by about ₹225–250/kg, roughly five times the conversion premium.</w:t>
      </w:r>
    </w:p>
    <w:p>
      <w:pPr>
        <w:pStyle w:val="Heading2"/>
      </w:pPr>
      <w:r>
        <w:t>6.5 Scrap route: Bajaj's real metal cost</w:t>
      </w:r>
    </w:p>
    <w:p>
      <w:r>
        <w:t xml:space="preserve">Bajaj feeds the furnace with copper, brass and gunmetal scrap plus make-up tin, lead and zinc. The model keeps it deliberately simple: </w:t>
      </w:r>
      <w:r>
        <w:rPr>
          <w:b/>
        </w:rPr>
        <w:t>copper, lead and zinc enter at p × their contained LME value; tin enters at full LME value</w:t>
      </w:r>
      <w:r>
        <w:t xml:space="preserve"> (fresh tin, or tin in scrap that is assumed to be paid at LME). Melt loss then applies as before.</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B26A00"/>
            </w:tcBorders>
            <w:shd w:val="clear" w:color="auto" w:fill="FBF5EA"/>
          </w:tcPr>
          <w:p>
            <w:pPr>
              <w:spacing w:after="60"/>
            </w:pPr>
            <w:r>
              <w:rPr>
                <w:b/>
                <w:color w:val="B26A00"/>
                <w:sz w:val="20"/>
              </w:rPr>
              <w:t>Evidence for the payable factor p</w:t>
            </w:r>
          </w:p>
          <w:p>
            <w:pPr>
              <w:spacing w:after="40" w:line="252" w:lineRule="auto"/>
            </w:pPr>
            <w:r>
              <w:rPr>
                <w:color w:val="2B2F36"/>
                <w:sz w:val="19"/>
              </w:rPr>
              <w:t xml:space="preserve">Typical brass scrap (honey/yellow brass, assumed 63 % Cu / 37 % Zn) has a contained LME value of 0.63 × ₹1,378.7 + 0.37 × ₹368.8 = ₹1,005/kg. Delhi/Mumbai dealer quotes in the procurement report were ₹890–990/kg, i.e. </w:t>
            </w:r>
            <w:r>
              <w:rPr>
                <w:b/>
                <w:color w:val="2B2F36"/>
                <w:sz w:val="19"/>
              </w:rPr>
              <w:t>89–99 % of contained value (mid-point 94 %)</w:t>
            </w:r>
            <w:r>
              <w:rPr>
                <w:color w:val="2B2F36"/>
                <w:sz w:val="19"/>
              </w:rPr>
              <w:t>. These are indicative dealer quotes, not auction clearing prices. The base case uses 94 %; the charts show 89 % and 99 %. Replace p with the actual payable on Bajaj's scrap mix after freight and sorting losses.</w:t>
            </w:r>
          </w:p>
        </w:tc>
      </w:tr>
    </w:tbl>
    <w:p>
      <w:pPr>
        <w:spacing w:after="40"/>
      </w:pPr>
    </w:p>
    <w:p>
      <w:pPr>
        <w:keepNext/>
        <w:spacing w:after="40"/>
      </w:pPr>
      <w:r>
        <w:rPr>
          <w:b/>
          <w:color w:val="5B6470"/>
          <w:sz w:val="18"/>
        </w:rPr>
        <w:t>Table 13.</w:t>
      </w:r>
      <w:r>
        <w:rPr>
          <w:color w:val="5B6470"/>
          <w:sz w:val="18"/>
        </w:rPr>
        <w:t xml:space="preserve"> Gross spread, ₹ per kg of ingot (formula price minus scrap-route metal cost; includes the ₹50 conversion premium)</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981"/>
        <w:gridCol w:w="1165"/>
        <w:gridCol w:w="1411"/>
        <w:gridCol w:w="1349"/>
        <w:gridCol w:w="981"/>
        <w:gridCol w:w="1288"/>
        <w:gridCol w:w="1288"/>
        <w:gridCol w:w="1288"/>
      </w:tblGrid>
      <w:tr>
        <w:trPr>
          <w:cantSplit/>
          <w:tblHeader/>
        </w:trPr>
        <w:tc>
          <w:tcPr>
            <w:tcW w:type="dxa" w:w="981"/>
            <w:shd w:val="clear" w:color="auto" w:fill="1F4E79"/>
            <w:vAlign w:val="center"/>
          </w:tcPr>
          <w:p>
            <w:pPr>
              <w:spacing w:after="0" w:line="240" w:lineRule="auto"/>
            </w:pPr>
            <w:r>
              <w:rPr>
                <w:b/>
                <w:color w:val="FFFFFF"/>
                <w:sz w:val="16"/>
              </w:rPr>
              <w:t>Grade</w:t>
            </w:r>
          </w:p>
        </w:tc>
        <w:tc>
          <w:tcPr>
            <w:tcW w:type="dxa" w:w="1165"/>
            <w:shd w:val="clear" w:color="auto" w:fill="1F4E79"/>
            <w:vAlign w:val="center"/>
          </w:tcPr>
          <w:p>
            <w:pPr>
              <w:spacing w:after="0" w:line="240" w:lineRule="auto"/>
            </w:pPr>
            <w:r>
              <w:rPr>
                <w:b/>
                <w:color w:val="FFFFFF"/>
                <w:sz w:val="16"/>
              </w:rPr>
              <w:t>Formula price</w:t>
            </w:r>
          </w:p>
        </w:tc>
        <w:tc>
          <w:tcPr>
            <w:tcW w:type="dxa" w:w="1411"/>
            <w:shd w:val="clear" w:color="auto" w:fill="1F4E79"/>
            <w:vAlign w:val="center"/>
          </w:tcPr>
          <w:p>
            <w:pPr>
              <w:spacing w:after="0" w:line="240" w:lineRule="auto"/>
            </w:pPr>
            <w:r>
              <w:rPr>
                <w:b/>
                <w:color w:val="FFFFFF"/>
                <w:sz w:val="16"/>
              </w:rPr>
              <w:t>Metal cost @ 99 %</w:t>
            </w:r>
          </w:p>
        </w:tc>
        <w:tc>
          <w:tcPr>
            <w:tcW w:type="dxa" w:w="1349"/>
            <w:shd w:val="clear" w:color="auto" w:fill="1F4E79"/>
            <w:vAlign w:val="center"/>
          </w:tcPr>
          <w:p>
            <w:pPr>
              <w:spacing w:after="0" w:line="240" w:lineRule="auto"/>
            </w:pPr>
            <w:r>
              <w:rPr>
                <w:b/>
                <w:color w:val="FFFFFF"/>
                <w:sz w:val="16"/>
              </w:rPr>
              <w:t>@ 94 % (base)</w:t>
            </w:r>
          </w:p>
        </w:tc>
        <w:tc>
          <w:tcPr>
            <w:tcW w:type="dxa" w:w="981"/>
            <w:shd w:val="clear" w:color="auto" w:fill="1F4E79"/>
            <w:vAlign w:val="center"/>
          </w:tcPr>
          <w:p>
            <w:pPr>
              <w:spacing w:after="0" w:line="240" w:lineRule="auto"/>
            </w:pPr>
            <w:r>
              <w:rPr>
                <w:b/>
                <w:color w:val="FFFFFF"/>
                <w:sz w:val="16"/>
              </w:rPr>
              <w:t>@ 89 %</w:t>
            </w:r>
          </w:p>
        </w:tc>
        <w:tc>
          <w:tcPr>
            <w:tcW w:type="dxa" w:w="1288"/>
            <w:shd w:val="clear" w:color="auto" w:fill="1F4E79"/>
            <w:vAlign w:val="center"/>
          </w:tcPr>
          <w:p>
            <w:pPr>
              <w:spacing w:after="0" w:line="240" w:lineRule="auto"/>
            </w:pPr>
            <w:r>
              <w:rPr>
                <w:b/>
                <w:color w:val="FFFFFF"/>
                <w:sz w:val="16"/>
              </w:rPr>
              <w:t>Spread @ 99 %</w:t>
            </w:r>
          </w:p>
        </w:tc>
        <w:tc>
          <w:tcPr>
            <w:tcW w:type="dxa" w:w="1288"/>
            <w:shd w:val="clear" w:color="auto" w:fill="1F4E79"/>
            <w:vAlign w:val="center"/>
          </w:tcPr>
          <w:p>
            <w:pPr>
              <w:spacing w:after="0" w:line="240" w:lineRule="auto"/>
            </w:pPr>
            <w:r>
              <w:rPr>
                <w:b/>
                <w:color w:val="FFFFFF"/>
                <w:sz w:val="16"/>
              </w:rPr>
              <w:t>Spread @ 94 %</w:t>
            </w:r>
          </w:p>
        </w:tc>
        <w:tc>
          <w:tcPr>
            <w:tcW w:type="dxa" w:w="1288"/>
            <w:shd w:val="clear" w:color="auto" w:fill="1F4E79"/>
            <w:vAlign w:val="center"/>
          </w:tcPr>
          <w:p>
            <w:pPr>
              <w:spacing w:after="0" w:line="240" w:lineRule="auto"/>
            </w:pPr>
            <w:r>
              <w:rPr>
                <w:b/>
                <w:color w:val="FFFFFF"/>
                <w:sz w:val="16"/>
              </w:rPr>
              <w:t>Spread @ 89 %</w:t>
            </w:r>
          </w:p>
        </w:tc>
      </w:tr>
      <w:tr>
        <w:trPr>
          <w:cantSplit/>
        </w:trPr>
        <w:tc>
          <w:tcPr>
            <w:tcW w:type="dxa" w:w="981"/>
            <w:vAlign w:val="top"/>
          </w:tcPr>
          <w:p>
            <w:pPr>
              <w:spacing w:after="0" w:line="240" w:lineRule="auto"/>
            </w:pPr>
            <w:r>
              <w:rPr>
                <w:color w:val="2B2F36"/>
                <w:sz w:val="16"/>
              </w:rPr>
              <w:t>CC490K</w:t>
            </w:r>
          </w:p>
        </w:tc>
        <w:tc>
          <w:tcPr>
            <w:tcW w:type="dxa" w:w="1165"/>
            <w:vAlign w:val="top"/>
          </w:tcPr>
          <w:p>
            <w:pPr>
              <w:spacing w:after="0" w:line="240" w:lineRule="auto"/>
              <w:jc w:val="center"/>
            </w:pPr>
            <w:r>
              <w:rPr>
                <w:color w:val="2B2F36"/>
                <w:sz w:val="16"/>
              </w:rPr>
              <w:t>1,437</w:t>
            </w:r>
          </w:p>
        </w:tc>
        <w:tc>
          <w:tcPr>
            <w:tcW w:type="dxa" w:w="1411"/>
            <w:vAlign w:val="top"/>
          </w:tcPr>
          <w:p>
            <w:pPr>
              <w:spacing w:after="0" w:line="240" w:lineRule="auto"/>
              <w:jc w:val="center"/>
            </w:pPr>
            <w:r>
              <w:rPr>
                <w:color w:val="2B2F36"/>
                <w:sz w:val="16"/>
              </w:rPr>
              <w:t>1,375</w:t>
            </w:r>
          </w:p>
        </w:tc>
        <w:tc>
          <w:tcPr>
            <w:tcW w:type="dxa" w:w="1349"/>
            <w:vAlign w:val="top"/>
          </w:tcPr>
          <w:p>
            <w:pPr>
              <w:spacing w:after="0" w:line="240" w:lineRule="auto"/>
              <w:jc w:val="center"/>
            </w:pPr>
            <w:r>
              <w:rPr>
                <w:color w:val="2B2F36"/>
                <w:sz w:val="16"/>
              </w:rPr>
              <w:t>1,314</w:t>
            </w:r>
          </w:p>
        </w:tc>
        <w:tc>
          <w:tcPr>
            <w:tcW w:type="dxa" w:w="981"/>
            <w:vAlign w:val="top"/>
          </w:tcPr>
          <w:p>
            <w:pPr>
              <w:spacing w:after="0" w:line="240" w:lineRule="auto"/>
              <w:jc w:val="center"/>
            </w:pPr>
            <w:r>
              <w:rPr>
                <w:color w:val="2B2F36"/>
                <w:sz w:val="16"/>
              </w:rPr>
              <w:t>1,252</w:t>
            </w:r>
          </w:p>
        </w:tc>
        <w:tc>
          <w:tcPr>
            <w:tcW w:type="dxa" w:w="1288"/>
            <w:vAlign w:val="top"/>
          </w:tcPr>
          <w:p>
            <w:pPr>
              <w:spacing w:after="0" w:line="240" w:lineRule="auto"/>
              <w:jc w:val="center"/>
            </w:pPr>
            <w:r>
              <w:rPr>
                <w:color w:val="2B2F36"/>
                <w:sz w:val="16"/>
              </w:rPr>
              <w:t>62</w:t>
            </w:r>
          </w:p>
        </w:tc>
        <w:tc>
          <w:tcPr>
            <w:tcW w:type="dxa" w:w="1288"/>
            <w:vAlign w:val="top"/>
          </w:tcPr>
          <w:p>
            <w:pPr>
              <w:spacing w:after="0" w:line="240" w:lineRule="auto"/>
              <w:jc w:val="center"/>
            </w:pPr>
            <w:r>
              <w:rPr>
                <w:b/>
                <w:color w:val="2B2F36"/>
                <w:sz w:val="16"/>
              </w:rPr>
              <w:t>124</w:t>
            </w:r>
          </w:p>
        </w:tc>
        <w:tc>
          <w:tcPr>
            <w:tcW w:type="dxa" w:w="1288"/>
            <w:vAlign w:val="top"/>
          </w:tcPr>
          <w:p>
            <w:pPr>
              <w:spacing w:after="0" w:line="240" w:lineRule="auto"/>
              <w:jc w:val="center"/>
            </w:pPr>
            <w:r>
              <w:rPr>
                <w:color w:val="2B2F36"/>
                <w:sz w:val="16"/>
              </w:rPr>
              <w:t>185</w:t>
            </w:r>
          </w:p>
        </w:tc>
      </w:tr>
      <w:tr>
        <w:trPr>
          <w:cantSplit/>
        </w:trPr>
        <w:tc>
          <w:tcPr>
            <w:tcW w:type="dxa" w:w="981"/>
            <w:shd w:val="clear" w:color="auto" w:fill="F7F4EE"/>
            <w:vAlign w:val="top"/>
          </w:tcPr>
          <w:p>
            <w:pPr>
              <w:spacing w:after="0" w:line="240" w:lineRule="auto"/>
            </w:pPr>
            <w:r>
              <w:rPr>
                <w:color w:val="2B2F36"/>
                <w:sz w:val="16"/>
              </w:rPr>
              <w:t>CC491K</w:t>
            </w:r>
          </w:p>
        </w:tc>
        <w:tc>
          <w:tcPr>
            <w:tcW w:type="dxa" w:w="1165"/>
            <w:shd w:val="clear" w:color="auto" w:fill="F7F4EE"/>
            <w:vAlign w:val="top"/>
          </w:tcPr>
          <w:p>
            <w:pPr>
              <w:spacing w:after="0" w:line="240" w:lineRule="auto"/>
              <w:jc w:val="center"/>
            </w:pPr>
            <w:r>
              <w:rPr>
                <w:color w:val="2B2F36"/>
                <w:sz w:val="16"/>
              </w:rPr>
              <w:t>1,547</w:t>
            </w:r>
          </w:p>
        </w:tc>
        <w:tc>
          <w:tcPr>
            <w:tcW w:type="dxa" w:w="1411"/>
            <w:shd w:val="clear" w:color="auto" w:fill="F7F4EE"/>
            <w:vAlign w:val="top"/>
          </w:tcPr>
          <w:p>
            <w:pPr>
              <w:spacing w:after="0" w:line="240" w:lineRule="auto"/>
              <w:jc w:val="center"/>
            </w:pPr>
            <w:r>
              <w:rPr>
                <w:color w:val="2B2F36"/>
                <w:sz w:val="16"/>
              </w:rPr>
              <w:t>1,485</w:t>
            </w:r>
          </w:p>
        </w:tc>
        <w:tc>
          <w:tcPr>
            <w:tcW w:type="dxa" w:w="1349"/>
            <w:shd w:val="clear" w:color="auto" w:fill="F7F4EE"/>
            <w:vAlign w:val="top"/>
          </w:tcPr>
          <w:p>
            <w:pPr>
              <w:spacing w:after="0" w:line="240" w:lineRule="auto"/>
              <w:jc w:val="center"/>
            </w:pPr>
            <w:r>
              <w:rPr>
                <w:color w:val="2B2F36"/>
                <w:sz w:val="16"/>
              </w:rPr>
              <w:t>1,424</w:t>
            </w:r>
          </w:p>
        </w:tc>
        <w:tc>
          <w:tcPr>
            <w:tcW w:type="dxa" w:w="981"/>
            <w:shd w:val="clear" w:color="auto" w:fill="F7F4EE"/>
            <w:vAlign w:val="top"/>
          </w:tcPr>
          <w:p>
            <w:pPr>
              <w:spacing w:after="0" w:line="240" w:lineRule="auto"/>
              <w:jc w:val="center"/>
            </w:pPr>
            <w:r>
              <w:rPr>
                <w:color w:val="2B2F36"/>
                <w:sz w:val="16"/>
              </w:rPr>
              <w:t>1,362</w:t>
            </w:r>
          </w:p>
        </w:tc>
        <w:tc>
          <w:tcPr>
            <w:tcW w:type="dxa" w:w="1288"/>
            <w:shd w:val="clear" w:color="auto" w:fill="F7F4EE"/>
            <w:vAlign w:val="top"/>
          </w:tcPr>
          <w:p>
            <w:pPr>
              <w:spacing w:after="0" w:line="240" w:lineRule="auto"/>
              <w:jc w:val="center"/>
            </w:pPr>
            <w:r>
              <w:rPr>
                <w:color w:val="2B2F36"/>
                <w:sz w:val="16"/>
              </w:rPr>
              <w:t>62</w:t>
            </w:r>
          </w:p>
        </w:tc>
        <w:tc>
          <w:tcPr>
            <w:tcW w:type="dxa" w:w="1288"/>
            <w:shd w:val="clear" w:color="auto" w:fill="F7F4EE"/>
            <w:vAlign w:val="top"/>
          </w:tcPr>
          <w:p>
            <w:pPr>
              <w:spacing w:after="0" w:line="240" w:lineRule="auto"/>
              <w:jc w:val="center"/>
            </w:pPr>
            <w:r>
              <w:rPr>
                <w:b/>
                <w:color w:val="2B2F36"/>
                <w:sz w:val="16"/>
              </w:rPr>
              <w:t>124</w:t>
            </w:r>
          </w:p>
        </w:tc>
        <w:tc>
          <w:tcPr>
            <w:tcW w:type="dxa" w:w="1288"/>
            <w:shd w:val="clear" w:color="auto" w:fill="F7F4EE"/>
            <w:vAlign w:val="top"/>
          </w:tcPr>
          <w:p>
            <w:pPr>
              <w:spacing w:after="0" w:line="240" w:lineRule="auto"/>
              <w:jc w:val="center"/>
            </w:pPr>
            <w:r>
              <w:rPr>
                <w:color w:val="2B2F36"/>
                <w:sz w:val="16"/>
              </w:rPr>
              <w:t>185</w:t>
            </w:r>
          </w:p>
        </w:tc>
      </w:tr>
      <w:tr>
        <w:trPr>
          <w:cantSplit/>
        </w:trPr>
        <w:tc>
          <w:tcPr>
            <w:tcW w:type="dxa" w:w="981"/>
            <w:vAlign w:val="top"/>
          </w:tcPr>
          <w:p>
            <w:pPr>
              <w:spacing w:after="0" w:line="240" w:lineRule="auto"/>
            </w:pPr>
            <w:r>
              <w:rPr>
                <w:color w:val="2B2F36"/>
                <w:sz w:val="16"/>
              </w:rPr>
              <w:t>CC492K</w:t>
            </w:r>
          </w:p>
        </w:tc>
        <w:tc>
          <w:tcPr>
            <w:tcW w:type="dxa" w:w="1165"/>
            <w:vAlign w:val="top"/>
          </w:tcPr>
          <w:p>
            <w:pPr>
              <w:spacing w:after="0" w:line="240" w:lineRule="auto"/>
              <w:jc w:val="center"/>
            </w:pPr>
            <w:r>
              <w:rPr>
                <w:color w:val="2B2F36"/>
                <w:sz w:val="16"/>
              </w:rPr>
              <w:t>1,682</w:t>
            </w:r>
          </w:p>
        </w:tc>
        <w:tc>
          <w:tcPr>
            <w:tcW w:type="dxa" w:w="1411"/>
            <w:vAlign w:val="top"/>
          </w:tcPr>
          <w:p>
            <w:pPr>
              <w:spacing w:after="0" w:line="240" w:lineRule="auto"/>
              <w:jc w:val="center"/>
            </w:pPr>
            <w:r>
              <w:rPr>
                <w:color w:val="2B2F36"/>
                <w:sz w:val="16"/>
              </w:rPr>
              <w:t>1,619</w:t>
            </w:r>
          </w:p>
        </w:tc>
        <w:tc>
          <w:tcPr>
            <w:tcW w:type="dxa" w:w="1349"/>
            <w:vAlign w:val="top"/>
          </w:tcPr>
          <w:p>
            <w:pPr>
              <w:spacing w:after="0" w:line="240" w:lineRule="auto"/>
              <w:jc w:val="center"/>
            </w:pPr>
            <w:r>
              <w:rPr>
                <w:color w:val="2B2F36"/>
                <w:sz w:val="16"/>
              </w:rPr>
              <w:t>1,557</w:t>
            </w:r>
          </w:p>
        </w:tc>
        <w:tc>
          <w:tcPr>
            <w:tcW w:type="dxa" w:w="981"/>
            <w:vAlign w:val="top"/>
          </w:tcPr>
          <w:p>
            <w:pPr>
              <w:spacing w:after="0" w:line="240" w:lineRule="auto"/>
              <w:jc w:val="center"/>
            </w:pPr>
            <w:r>
              <w:rPr>
                <w:color w:val="2B2F36"/>
                <w:sz w:val="16"/>
              </w:rPr>
              <w:t>1,494</w:t>
            </w:r>
          </w:p>
        </w:tc>
        <w:tc>
          <w:tcPr>
            <w:tcW w:type="dxa" w:w="1288"/>
            <w:vAlign w:val="top"/>
          </w:tcPr>
          <w:p>
            <w:pPr>
              <w:spacing w:after="0" w:line="240" w:lineRule="auto"/>
              <w:jc w:val="center"/>
            </w:pPr>
            <w:r>
              <w:rPr>
                <w:color w:val="2B2F36"/>
                <w:sz w:val="16"/>
              </w:rPr>
              <w:t>63</w:t>
            </w:r>
          </w:p>
        </w:tc>
        <w:tc>
          <w:tcPr>
            <w:tcW w:type="dxa" w:w="1288"/>
            <w:vAlign w:val="top"/>
          </w:tcPr>
          <w:p>
            <w:pPr>
              <w:spacing w:after="0" w:line="240" w:lineRule="auto"/>
              <w:jc w:val="center"/>
            </w:pPr>
            <w:r>
              <w:rPr>
                <w:b/>
                <w:color w:val="2B2F36"/>
                <w:sz w:val="16"/>
              </w:rPr>
              <w:t>125</w:t>
            </w:r>
          </w:p>
        </w:tc>
        <w:tc>
          <w:tcPr>
            <w:tcW w:type="dxa" w:w="1288"/>
            <w:vAlign w:val="top"/>
          </w:tcPr>
          <w:p>
            <w:pPr>
              <w:spacing w:after="0" w:line="240" w:lineRule="auto"/>
              <w:jc w:val="center"/>
            </w:pPr>
            <w:r>
              <w:rPr>
                <w:color w:val="2B2F36"/>
                <w:sz w:val="16"/>
              </w:rPr>
              <w:t>188</w:t>
            </w:r>
          </w:p>
        </w:tc>
      </w:tr>
      <w:tr>
        <w:trPr>
          <w:cantSplit/>
        </w:trPr>
        <w:tc>
          <w:tcPr>
            <w:tcW w:type="dxa" w:w="981"/>
            <w:shd w:val="clear" w:color="auto" w:fill="F7F4EE"/>
            <w:vAlign w:val="top"/>
          </w:tcPr>
          <w:p>
            <w:pPr>
              <w:spacing w:after="0" w:line="240" w:lineRule="auto"/>
            </w:pPr>
            <w:r>
              <w:rPr>
                <w:color w:val="2B2F36"/>
                <w:sz w:val="16"/>
              </w:rPr>
              <w:t>CC493K</w:t>
            </w:r>
          </w:p>
        </w:tc>
        <w:tc>
          <w:tcPr>
            <w:tcW w:type="dxa" w:w="1165"/>
            <w:shd w:val="clear" w:color="auto" w:fill="F7F4EE"/>
            <w:vAlign w:val="top"/>
          </w:tcPr>
          <w:p>
            <w:pPr>
              <w:spacing w:after="0" w:line="240" w:lineRule="auto"/>
              <w:jc w:val="center"/>
            </w:pPr>
            <w:r>
              <w:rPr>
                <w:color w:val="2B2F36"/>
                <w:sz w:val="16"/>
              </w:rPr>
              <w:t>1,623</w:t>
            </w:r>
          </w:p>
        </w:tc>
        <w:tc>
          <w:tcPr>
            <w:tcW w:type="dxa" w:w="1411"/>
            <w:shd w:val="clear" w:color="auto" w:fill="F7F4EE"/>
            <w:vAlign w:val="top"/>
          </w:tcPr>
          <w:p>
            <w:pPr>
              <w:spacing w:after="0" w:line="240" w:lineRule="auto"/>
              <w:jc w:val="center"/>
            </w:pPr>
            <w:r>
              <w:rPr>
                <w:color w:val="2B2F36"/>
                <w:sz w:val="16"/>
              </w:rPr>
              <w:t>1,561</w:t>
            </w:r>
          </w:p>
        </w:tc>
        <w:tc>
          <w:tcPr>
            <w:tcW w:type="dxa" w:w="1349"/>
            <w:shd w:val="clear" w:color="auto" w:fill="F7F4EE"/>
            <w:vAlign w:val="top"/>
          </w:tcPr>
          <w:p>
            <w:pPr>
              <w:spacing w:after="0" w:line="240" w:lineRule="auto"/>
              <w:jc w:val="center"/>
            </w:pPr>
            <w:r>
              <w:rPr>
                <w:color w:val="2B2F36"/>
                <w:sz w:val="16"/>
              </w:rPr>
              <w:t>1,501</w:t>
            </w:r>
          </w:p>
        </w:tc>
        <w:tc>
          <w:tcPr>
            <w:tcW w:type="dxa" w:w="981"/>
            <w:shd w:val="clear" w:color="auto" w:fill="F7F4EE"/>
            <w:vAlign w:val="top"/>
          </w:tcPr>
          <w:p>
            <w:pPr>
              <w:spacing w:after="0" w:line="240" w:lineRule="auto"/>
              <w:jc w:val="center"/>
            </w:pPr>
            <w:r>
              <w:rPr>
                <w:color w:val="2B2F36"/>
                <w:sz w:val="16"/>
              </w:rPr>
              <w:t>1,442</w:t>
            </w:r>
          </w:p>
        </w:tc>
        <w:tc>
          <w:tcPr>
            <w:tcW w:type="dxa" w:w="1288"/>
            <w:shd w:val="clear" w:color="auto" w:fill="F7F4EE"/>
            <w:vAlign w:val="top"/>
          </w:tcPr>
          <w:p>
            <w:pPr>
              <w:spacing w:after="0" w:line="240" w:lineRule="auto"/>
              <w:jc w:val="center"/>
            </w:pPr>
            <w:r>
              <w:rPr>
                <w:color w:val="2B2F36"/>
                <w:sz w:val="16"/>
              </w:rPr>
              <w:t>62</w:t>
            </w:r>
          </w:p>
        </w:tc>
        <w:tc>
          <w:tcPr>
            <w:tcW w:type="dxa" w:w="1288"/>
            <w:shd w:val="clear" w:color="auto" w:fill="F7F4EE"/>
            <w:vAlign w:val="top"/>
          </w:tcPr>
          <w:p>
            <w:pPr>
              <w:spacing w:after="0" w:line="240" w:lineRule="auto"/>
              <w:jc w:val="center"/>
            </w:pPr>
            <w:r>
              <w:rPr>
                <w:b/>
                <w:color w:val="2B2F36"/>
                <w:sz w:val="16"/>
              </w:rPr>
              <w:t>122</w:t>
            </w:r>
          </w:p>
        </w:tc>
        <w:tc>
          <w:tcPr>
            <w:tcW w:type="dxa" w:w="1288"/>
            <w:shd w:val="clear" w:color="auto" w:fill="F7F4EE"/>
            <w:vAlign w:val="top"/>
          </w:tcPr>
          <w:p>
            <w:pPr>
              <w:spacing w:after="0" w:line="240" w:lineRule="auto"/>
              <w:jc w:val="center"/>
            </w:pPr>
            <w:r>
              <w:rPr>
                <w:color w:val="2B2F36"/>
                <w:sz w:val="16"/>
              </w:rPr>
              <w:t>182</w:t>
            </w:r>
          </w:p>
        </w:tc>
      </w:tr>
      <w:tr>
        <w:trPr>
          <w:cantSplit/>
        </w:trPr>
        <w:tc>
          <w:tcPr>
            <w:tcW w:type="dxa" w:w="981"/>
            <w:vAlign w:val="top"/>
          </w:tcPr>
          <w:p>
            <w:pPr>
              <w:spacing w:after="0" w:line="240" w:lineRule="auto"/>
            </w:pPr>
            <w:r>
              <w:rPr>
                <w:color w:val="2B2F36"/>
                <w:sz w:val="16"/>
              </w:rPr>
              <w:t>CC494K</w:t>
            </w:r>
          </w:p>
        </w:tc>
        <w:tc>
          <w:tcPr>
            <w:tcW w:type="dxa" w:w="1165"/>
            <w:vAlign w:val="top"/>
          </w:tcPr>
          <w:p>
            <w:pPr>
              <w:spacing w:after="0" w:line="240" w:lineRule="auto"/>
              <w:jc w:val="center"/>
            </w:pPr>
            <w:r>
              <w:rPr>
                <w:color w:val="2B2F36"/>
                <w:sz w:val="16"/>
              </w:rPr>
              <w:t>1,539</w:t>
            </w:r>
          </w:p>
        </w:tc>
        <w:tc>
          <w:tcPr>
            <w:tcW w:type="dxa" w:w="1411"/>
            <w:vAlign w:val="top"/>
          </w:tcPr>
          <w:p>
            <w:pPr>
              <w:spacing w:after="0" w:line="240" w:lineRule="auto"/>
              <w:jc w:val="center"/>
            </w:pPr>
            <w:r>
              <w:rPr>
                <w:color w:val="2B2F36"/>
                <w:sz w:val="16"/>
              </w:rPr>
              <w:t>1,477</w:t>
            </w:r>
          </w:p>
        </w:tc>
        <w:tc>
          <w:tcPr>
            <w:tcW w:type="dxa" w:w="1349"/>
            <w:vAlign w:val="top"/>
          </w:tcPr>
          <w:p>
            <w:pPr>
              <w:spacing w:after="0" w:line="240" w:lineRule="auto"/>
              <w:jc w:val="center"/>
            </w:pPr>
            <w:r>
              <w:rPr>
                <w:color w:val="2B2F36"/>
                <w:sz w:val="16"/>
              </w:rPr>
              <w:t>1,416</w:t>
            </w:r>
          </w:p>
        </w:tc>
        <w:tc>
          <w:tcPr>
            <w:tcW w:type="dxa" w:w="981"/>
            <w:vAlign w:val="top"/>
          </w:tcPr>
          <w:p>
            <w:pPr>
              <w:spacing w:after="0" w:line="240" w:lineRule="auto"/>
              <w:jc w:val="center"/>
            </w:pPr>
            <w:r>
              <w:rPr>
                <w:color w:val="2B2F36"/>
                <w:sz w:val="16"/>
              </w:rPr>
              <w:t>1,355</w:t>
            </w:r>
          </w:p>
        </w:tc>
        <w:tc>
          <w:tcPr>
            <w:tcW w:type="dxa" w:w="1288"/>
            <w:vAlign w:val="top"/>
          </w:tcPr>
          <w:p>
            <w:pPr>
              <w:spacing w:after="0" w:line="240" w:lineRule="auto"/>
              <w:jc w:val="center"/>
            </w:pPr>
            <w:r>
              <w:rPr>
                <w:color w:val="2B2F36"/>
                <w:sz w:val="16"/>
              </w:rPr>
              <w:t>62</w:t>
            </w:r>
          </w:p>
        </w:tc>
        <w:tc>
          <w:tcPr>
            <w:tcW w:type="dxa" w:w="1288"/>
            <w:vAlign w:val="top"/>
          </w:tcPr>
          <w:p>
            <w:pPr>
              <w:spacing w:after="0" w:line="240" w:lineRule="auto"/>
              <w:jc w:val="center"/>
            </w:pPr>
            <w:r>
              <w:rPr>
                <w:b/>
                <w:color w:val="2B2F36"/>
                <w:sz w:val="16"/>
              </w:rPr>
              <w:t>123</w:t>
            </w:r>
          </w:p>
        </w:tc>
        <w:tc>
          <w:tcPr>
            <w:tcW w:type="dxa" w:w="1288"/>
            <w:vAlign w:val="top"/>
          </w:tcPr>
          <w:p>
            <w:pPr>
              <w:spacing w:after="0" w:line="240" w:lineRule="auto"/>
              <w:jc w:val="center"/>
            </w:pPr>
            <w:r>
              <w:rPr>
                <w:color w:val="2B2F36"/>
                <w:sz w:val="16"/>
              </w:rPr>
              <w:t>184</w:t>
            </w:r>
          </w:p>
        </w:tc>
      </w:tr>
      <w:tr>
        <w:trPr>
          <w:cantSplit/>
        </w:trPr>
        <w:tc>
          <w:tcPr>
            <w:tcW w:type="dxa" w:w="981"/>
            <w:shd w:val="clear" w:color="auto" w:fill="F7F4EE"/>
            <w:vAlign w:val="top"/>
          </w:tcPr>
          <w:p>
            <w:pPr>
              <w:spacing w:after="0" w:line="240" w:lineRule="auto"/>
            </w:pPr>
            <w:r>
              <w:rPr>
                <w:color w:val="2B2F36"/>
                <w:sz w:val="16"/>
              </w:rPr>
              <w:t>CC495K</w:t>
            </w:r>
          </w:p>
        </w:tc>
        <w:tc>
          <w:tcPr>
            <w:tcW w:type="dxa" w:w="1165"/>
            <w:shd w:val="clear" w:color="auto" w:fill="F7F4EE"/>
            <w:vAlign w:val="top"/>
          </w:tcPr>
          <w:p>
            <w:pPr>
              <w:spacing w:after="0" w:line="240" w:lineRule="auto"/>
              <w:jc w:val="center"/>
            </w:pPr>
            <w:r>
              <w:rPr>
                <w:color w:val="2B2F36"/>
                <w:sz w:val="16"/>
              </w:rPr>
              <w:t>1,735</w:t>
            </w:r>
          </w:p>
        </w:tc>
        <w:tc>
          <w:tcPr>
            <w:tcW w:type="dxa" w:w="1411"/>
            <w:shd w:val="clear" w:color="auto" w:fill="F7F4EE"/>
            <w:vAlign w:val="top"/>
          </w:tcPr>
          <w:p>
            <w:pPr>
              <w:spacing w:after="0" w:line="240" w:lineRule="auto"/>
              <w:jc w:val="center"/>
            </w:pPr>
            <w:r>
              <w:rPr>
                <w:color w:val="2B2F36"/>
                <w:sz w:val="16"/>
              </w:rPr>
              <w:t>1,673</w:t>
            </w:r>
          </w:p>
        </w:tc>
        <w:tc>
          <w:tcPr>
            <w:tcW w:type="dxa" w:w="1349"/>
            <w:shd w:val="clear" w:color="auto" w:fill="F7F4EE"/>
            <w:vAlign w:val="top"/>
          </w:tcPr>
          <w:p>
            <w:pPr>
              <w:spacing w:after="0" w:line="240" w:lineRule="auto"/>
              <w:jc w:val="center"/>
            </w:pPr>
            <w:r>
              <w:rPr>
                <w:color w:val="2B2F36"/>
                <w:sz w:val="16"/>
              </w:rPr>
              <w:t>1,616</w:t>
            </w:r>
          </w:p>
        </w:tc>
        <w:tc>
          <w:tcPr>
            <w:tcW w:type="dxa" w:w="981"/>
            <w:shd w:val="clear" w:color="auto" w:fill="F7F4EE"/>
            <w:vAlign w:val="top"/>
          </w:tcPr>
          <w:p>
            <w:pPr>
              <w:spacing w:after="0" w:line="240" w:lineRule="auto"/>
              <w:jc w:val="center"/>
            </w:pPr>
            <w:r>
              <w:rPr>
                <w:color w:val="2B2F36"/>
                <w:sz w:val="16"/>
              </w:rPr>
              <w:t>1,559</w:t>
            </w:r>
          </w:p>
        </w:tc>
        <w:tc>
          <w:tcPr>
            <w:tcW w:type="dxa" w:w="1288"/>
            <w:shd w:val="clear" w:color="auto" w:fill="F7F4EE"/>
            <w:vAlign w:val="top"/>
          </w:tcPr>
          <w:p>
            <w:pPr>
              <w:spacing w:after="0" w:line="240" w:lineRule="auto"/>
              <w:jc w:val="center"/>
            </w:pPr>
            <w:r>
              <w:rPr>
                <w:color w:val="2B2F36"/>
                <w:sz w:val="16"/>
              </w:rPr>
              <w:t>61</w:t>
            </w:r>
          </w:p>
        </w:tc>
        <w:tc>
          <w:tcPr>
            <w:tcW w:type="dxa" w:w="1288"/>
            <w:shd w:val="clear" w:color="auto" w:fill="F7F4EE"/>
            <w:vAlign w:val="top"/>
          </w:tcPr>
          <w:p>
            <w:pPr>
              <w:spacing w:after="0" w:line="240" w:lineRule="auto"/>
              <w:jc w:val="center"/>
            </w:pPr>
            <w:r>
              <w:rPr>
                <w:b/>
                <w:color w:val="2B2F36"/>
                <w:sz w:val="16"/>
              </w:rPr>
              <w:t>119</w:t>
            </w:r>
          </w:p>
        </w:tc>
        <w:tc>
          <w:tcPr>
            <w:tcW w:type="dxa" w:w="1288"/>
            <w:shd w:val="clear" w:color="auto" w:fill="F7F4EE"/>
            <w:vAlign w:val="top"/>
          </w:tcPr>
          <w:p>
            <w:pPr>
              <w:spacing w:after="0" w:line="240" w:lineRule="auto"/>
              <w:jc w:val="center"/>
            </w:pPr>
            <w:r>
              <w:rPr>
                <w:color w:val="2B2F36"/>
                <w:sz w:val="16"/>
              </w:rPr>
              <w:t>176</w:t>
            </w:r>
          </w:p>
        </w:tc>
      </w:tr>
    </w:tbl>
    <w:p>
      <w:pPr>
        <w:spacing w:after="40"/>
      </w:pPr>
    </w:p>
    <w:p>
      <w:r>
        <w:t xml:space="preserve">At the base case the scrap spread alone is ₹69–75/kg, more than the ₹50 conversion premium. The spread is nearly equal across grades because it depends on the copper, lead and zinc content, not on tin. </w:t>
      </w:r>
      <w:r>
        <w:rPr>
          <w:b/>
        </w:rPr>
        <w:t>So CC495K does not earn a higher rupee margin than CC491K; it earns a larger absolute value that must be financed (tin is 32 % of its metal value).</w:t>
      </w:r>
      <w:r>
        <w:t xml:space="preserve"> The Rev 5 claim is withdrawn.</w:t>
      </w:r>
    </w:p>
    <w:p>
      <w:pPr>
        <w:keepNext/>
        <w:spacing w:after="40"/>
        <w:jc w:val="center"/>
      </w:pPr>
      <w:r>
        <w:drawing>
          <wp:inline xmlns:a="http://schemas.openxmlformats.org/drawingml/2006/main" xmlns:pic="http://schemas.openxmlformats.org/drawingml/2006/picture">
            <wp:extent cx="6192000" cy="3062812"/>
            <wp:docPr id="17" name="Picture 17"/>
            <wp:cNvGraphicFramePr>
              <a:graphicFrameLocks noChangeAspect="1"/>
            </wp:cNvGraphicFramePr>
            <a:graphic>
              <a:graphicData uri="http://schemas.openxmlformats.org/drawingml/2006/picture">
                <pic:pic>
                  <pic:nvPicPr>
                    <pic:cNvPr id="0" name="c12.png"/>
                    <pic:cNvPicPr/>
                  </pic:nvPicPr>
                  <pic:blipFill>
                    <a:blip r:embed="rId27"/>
                    <a:stretch>
                      <a:fillRect/>
                    </a:stretch>
                  </pic:blipFill>
                  <pic:spPr>
                    <a:xfrm>
                      <a:off x="0" y="0"/>
                      <a:ext cx="6192000" cy="3062812"/>
                    </a:xfrm>
                    <a:prstGeom prst="rect"/>
                  </pic:spPr>
                </pic:pic>
              </a:graphicData>
            </a:graphic>
          </wp:inline>
        </w:drawing>
      </w:r>
    </w:p>
    <w:p>
      <w:pPr>
        <w:spacing w:after="160"/>
      </w:pPr>
      <w:r>
        <w:rPr>
          <w:b/>
          <w:color w:val="5B6470"/>
          <w:sz w:val="17"/>
        </w:rPr>
        <w:t>Figure 17.</w:t>
      </w:r>
      <w:r>
        <w:rPr>
          <w:color w:val="5B6470"/>
          <w:sz w:val="17"/>
        </w:rPr>
        <w:t xml:space="preserve"> Ingot formula price against scrap-route metal cost at 99 % and 89 % payable (axis starts at ₹900).</w:t>
      </w:r>
    </w:p>
    <w:p>
      <w:pPr>
        <w:keepNext/>
        <w:spacing w:after="40"/>
        <w:jc w:val="center"/>
      </w:pPr>
      <w:r>
        <w:drawing>
          <wp:inline xmlns:a="http://schemas.openxmlformats.org/drawingml/2006/main" xmlns:pic="http://schemas.openxmlformats.org/drawingml/2006/picture">
            <wp:extent cx="5580000" cy="2240730"/>
            <wp:docPr id="18" name="Picture 18"/>
            <wp:cNvGraphicFramePr>
              <a:graphicFrameLocks noChangeAspect="1"/>
            </wp:cNvGraphicFramePr>
            <a:graphic>
              <a:graphicData uri="http://schemas.openxmlformats.org/drawingml/2006/picture">
                <pic:pic>
                  <pic:nvPicPr>
                    <pic:cNvPr id="0" name="c15.png"/>
                    <pic:cNvPicPr/>
                  </pic:nvPicPr>
                  <pic:blipFill>
                    <a:blip r:embed="rId28"/>
                    <a:stretch>
                      <a:fillRect/>
                    </a:stretch>
                  </pic:blipFill>
                  <pic:spPr>
                    <a:xfrm>
                      <a:off x="0" y="0"/>
                      <a:ext cx="5580000" cy="2240730"/>
                    </a:xfrm>
                    <a:prstGeom prst="rect"/>
                  </pic:spPr>
                </pic:pic>
              </a:graphicData>
            </a:graphic>
          </wp:inline>
        </w:drawing>
      </w:r>
    </w:p>
    <w:p>
      <w:pPr>
        <w:spacing w:after="160"/>
      </w:pPr>
      <w:r>
        <w:rPr>
          <w:b/>
          <w:color w:val="5B6470"/>
          <w:sz w:val="17"/>
        </w:rPr>
        <w:t>Figure 18.</w:t>
      </w:r>
      <w:r>
        <w:rPr>
          <w:color w:val="5B6470"/>
          <w:sz w:val="17"/>
        </w:rPr>
        <w:t xml:space="preserve"> Gross spread by grade and payable %. Every point of payable % moves the spread by about ₹12/kg (₹11.5–12.6 across grades).</w:t>
      </w:r>
    </w:p>
    <w:p>
      <w:pPr>
        <w:pStyle w:val="Heading2"/>
      </w:pPr>
      <w:r>
        <w:t>6.6 Sensitivity: what moves the price and what moves the margin</w:t>
      </w:r>
    </w:p>
    <w:p>
      <w:pPr>
        <w:keepNext/>
        <w:spacing w:after="40"/>
        <w:jc w:val="center"/>
      </w:pPr>
      <w:r>
        <w:drawing>
          <wp:inline xmlns:a="http://schemas.openxmlformats.org/drawingml/2006/main" xmlns:pic="http://schemas.openxmlformats.org/drawingml/2006/picture">
            <wp:extent cx="6192000" cy="2407595"/>
            <wp:docPr id="19" name="Picture 19"/>
            <wp:cNvGraphicFramePr>
              <a:graphicFrameLocks noChangeAspect="1"/>
            </wp:cNvGraphicFramePr>
            <a:graphic>
              <a:graphicData uri="http://schemas.openxmlformats.org/drawingml/2006/picture">
                <pic:pic>
                  <pic:nvPicPr>
                    <pic:cNvPr id="0" name="c13.png"/>
                    <pic:cNvPicPr/>
                  </pic:nvPicPr>
                  <pic:blipFill>
                    <a:blip r:embed="rId29"/>
                    <a:stretch>
                      <a:fillRect/>
                    </a:stretch>
                  </pic:blipFill>
                  <pic:spPr>
                    <a:xfrm>
                      <a:off x="0" y="0"/>
                      <a:ext cx="6192000" cy="2407595"/>
                    </a:xfrm>
                    <a:prstGeom prst="rect"/>
                  </pic:spPr>
                </pic:pic>
              </a:graphicData>
            </a:graphic>
          </wp:inline>
        </w:drawing>
      </w:r>
    </w:p>
    <w:p>
      <w:pPr>
        <w:spacing w:after="160"/>
      </w:pPr>
      <w:r>
        <w:rPr>
          <w:b/>
          <w:color w:val="5B6470"/>
          <w:sz w:val="17"/>
        </w:rPr>
        <w:t>Figure 19.</w:t>
      </w:r>
      <w:r>
        <w:rPr>
          <w:color w:val="5B6470"/>
          <w:sz w:val="17"/>
        </w:rPr>
        <w:t xml:space="preserve"> CC491K. Left: ex-works price. Right: gross spread. Copper and the rupee move the price most but hardly move the spread, because they move formula price and scrap cost together. Scrap payable %, conversion and melt loss decide the spread.</w:t>
      </w:r>
    </w:p>
    <w:p>
      <w:pPr>
        <w:pStyle w:val="ListBullet"/>
      </w:pPr>
      <w:r>
        <w:rPr>
          <w:b/>
        </w:rPr>
        <w:t>Price risk is passed through on a formula.</w:t>
      </w:r>
      <w:r>
        <w:t xml:space="preserve"> A 5 % copper move changes CC491K by ₹60/kg, or ₹6.0 lakh on a 10-tonne order; fixed-price quotes hand that risk to Bajaj.</w:t>
      </w:r>
    </w:p>
    <w:p>
      <w:pPr>
        <w:pStyle w:val="ListBullet"/>
      </w:pPr>
      <w:r>
        <w:rPr>
          <w:b/>
        </w:rPr>
        <w:t>Margin risk is operational.</w:t>
      </w:r>
      <w:r>
        <w:t xml:space="preserve"> Five points of payable % are worth ₹61/kg, one point of melt loss ₹15/kg. Track both per heat.</w:t>
      </w:r>
    </w:p>
    <w:p>
      <w:pPr>
        <w:pStyle w:val="ListBullet"/>
      </w:pPr>
      <w:r>
        <w:rPr>
          <w:b/>
        </w:rPr>
        <w:t>Tin is the working-capital risk.</w:t>
      </w:r>
      <w:r>
        <w:t xml:space="preserve"> Tin is 12–32 % of metal value: a 10 % tin move changes ex-works price by ₹16 (CC490K) to ₹54 (CC495K) per kg, and tin stock ties up cash. Buy tin against confirmed orders.</w:t>
      </w:r>
    </w:p>
    <w:p>
      <w:pPr>
        <w:pStyle w:val="Heading2"/>
      </w:pPr>
      <w:r>
        <w:t>6.7 Rules for quoting, and what Bajaj must replace</w:t>
      </w:r>
    </w:p>
    <w:p>
      <w:pPr>
        <w:pStyle w:val="ListBullet"/>
      </w:pPr>
      <w:r>
        <w:t>Quote every order on the formula in 6.1, with the LME and rupee reference dates written on the quote; refresh weekly; short validity.</w:t>
      </w:r>
    </w:p>
    <w:p>
      <w:pPr>
        <w:pStyle w:val="ListBullet"/>
      </w:pPr>
      <w:r>
        <w:t>Offer customers fixed-price only with a premium that covers a hedge or an immediate metal purchase.</w:t>
      </w:r>
    </w:p>
    <w:p>
      <w:pPr>
        <w:pStyle w:val="ListBullet"/>
      </w:pPr>
      <w:r>
        <w:t>Pass copper and rupee moves through; compete on certification and consistency, not on the conversion premium.</w:t>
      </w:r>
    </w:p>
    <w:p>
      <w:pPr>
        <w:keepNext/>
        <w:spacing w:after="40"/>
      </w:pPr>
      <w:r>
        <w:rPr>
          <w:b/>
          <w:color w:val="5B6470"/>
          <w:sz w:val="18"/>
        </w:rPr>
        <w:t>Table 14.</w:t>
      </w:r>
      <w:r>
        <w:rPr>
          <w:color w:val="5B6470"/>
          <w:sz w:val="18"/>
        </w:rPr>
        <w:t xml:space="preserve"> Placeholders that must be replaced with Bajaj data before the model is used for decisions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814"/>
        <w:gridCol w:w="1814"/>
        <w:gridCol w:w="6123"/>
      </w:tblGrid>
      <w:tr>
        <w:trPr>
          <w:cantSplit/>
          <w:tblHeader/>
        </w:trPr>
        <w:tc>
          <w:tcPr>
            <w:tcW w:type="dxa" w:w="1814"/>
            <w:shd w:val="clear" w:color="auto" w:fill="1F4E79"/>
            <w:vAlign w:val="center"/>
          </w:tcPr>
          <w:p>
            <w:pPr>
              <w:spacing w:after="0" w:line="240" w:lineRule="auto"/>
            </w:pPr>
            <w:r>
              <w:rPr>
                <w:b/>
                <w:color w:val="FFFFFF"/>
                <w:sz w:val="17"/>
              </w:rPr>
              <w:t>Input</w:t>
            </w:r>
          </w:p>
        </w:tc>
        <w:tc>
          <w:tcPr>
            <w:tcW w:type="dxa" w:w="1814"/>
            <w:shd w:val="clear" w:color="auto" w:fill="1F4E79"/>
            <w:vAlign w:val="center"/>
          </w:tcPr>
          <w:p>
            <w:pPr>
              <w:spacing w:after="0" w:line="240" w:lineRule="auto"/>
            </w:pPr>
            <w:r>
              <w:rPr>
                <w:b/>
                <w:color w:val="FFFFFF"/>
                <w:sz w:val="17"/>
              </w:rPr>
              <w:t>Used here</w:t>
            </w:r>
          </w:p>
        </w:tc>
        <w:tc>
          <w:tcPr>
            <w:tcW w:type="dxa" w:w="6123"/>
            <w:shd w:val="clear" w:color="auto" w:fill="1F4E79"/>
            <w:vAlign w:val="center"/>
          </w:tcPr>
          <w:p>
            <w:pPr>
              <w:spacing w:after="0" w:line="240" w:lineRule="auto"/>
            </w:pPr>
            <w:r>
              <w:rPr>
                <w:b/>
                <w:color w:val="FFFFFF"/>
                <w:sz w:val="17"/>
              </w:rPr>
              <w:t>Replace with</w:t>
            </w:r>
          </w:p>
        </w:tc>
      </w:tr>
      <w:tr>
        <w:trPr>
          <w:cantSplit/>
        </w:trPr>
        <w:tc>
          <w:tcPr>
            <w:tcW w:type="dxa" w:w="1814"/>
            <w:vAlign w:val="top"/>
          </w:tcPr>
          <w:p>
            <w:pPr>
              <w:spacing w:after="0" w:line="240" w:lineRule="auto"/>
            </w:pPr>
            <w:r>
              <w:rPr>
                <w:color w:val="2B2F36"/>
                <w:sz w:val="17"/>
              </w:rPr>
              <w:t>Melt loss</w:t>
            </w:r>
          </w:p>
        </w:tc>
        <w:tc>
          <w:tcPr>
            <w:tcW w:type="dxa" w:w="1814"/>
            <w:vAlign w:val="top"/>
          </w:tcPr>
          <w:p>
            <w:pPr>
              <w:spacing w:after="0" w:line="240" w:lineRule="auto"/>
            </w:pPr>
            <w:r>
              <w:rPr>
                <w:color w:val="2B2F36"/>
                <w:sz w:val="17"/>
              </w:rPr>
              <w:t>2.5 % flat</w:t>
            </w:r>
          </w:p>
        </w:tc>
        <w:tc>
          <w:tcPr>
            <w:tcW w:type="dxa" w:w="6123"/>
            <w:vAlign w:val="top"/>
          </w:tcPr>
          <w:p>
            <w:pPr>
              <w:spacing w:after="0" w:line="240" w:lineRule="auto"/>
            </w:pPr>
            <w:r>
              <w:rPr>
                <w:color w:val="2B2F36"/>
                <w:sz w:val="17"/>
              </w:rPr>
              <w:t>Measured per grade per furnace (zinc-rich CC490K likely higher, CC495K/CC492K lower)</w:t>
            </w:r>
          </w:p>
        </w:tc>
      </w:tr>
      <w:tr>
        <w:trPr>
          <w:cantSplit/>
        </w:trPr>
        <w:tc>
          <w:tcPr>
            <w:tcW w:type="dxa" w:w="1814"/>
            <w:shd w:val="clear" w:color="auto" w:fill="F7F4EE"/>
            <w:vAlign w:val="top"/>
          </w:tcPr>
          <w:p>
            <w:pPr>
              <w:spacing w:after="0" w:line="240" w:lineRule="auto"/>
            </w:pPr>
            <w:r>
              <w:rPr>
                <w:color w:val="2B2F36"/>
                <w:sz w:val="17"/>
              </w:rPr>
              <w:t>Conversion premium</w:t>
            </w:r>
          </w:p>
        </w:tc>
        <w:tc>
          <w:tcPr>
            <w:tcW w:type="dxa" w:w="1814"/>
            <w:shd w:val="clear" w:color="auto" w:fill="F7F4EE"/>
            <w:vAlign w:val="top"/>
          </w:tcPr>
          <w:p>
            <w:pPr>
              <w:spacing w:after="0" w:line="240" w:lineRule="auto"/>
            </w:pPr>
            <w:r>
              <w:rPr>
                <w:color w:val="2B2F36"/>
                <w:sz w:val="17"/>
              </w:rPr>
              <w:t>₹50/kg</w:t>
            </w:r>
          </w:p>
        </w:tc>
        <w:tc>
          <w:tcPr>
            <w:tcW w:type="dxa" w:w="6123"/>
            <w:shd w:val="clear" w:color="auto" w:fill="F7F4EE"/>
            <w:vAlign w:val="top"/>
          </w:tcPr>
          <w:p>
            <w:pPr>
              <w:spacing w:after="0" w:line="240" w:lineRule="auto"/>
            </w:pPr>
            <w:r>
              <w:rPr>
                <w:color w:val="2B2F36"/>
                <w:sz w:val="17"/>
              </w:rPr>
              <w:t>Fuel + labour + flux + overhead + target margin, per grade</w:t>
            </w:r>
          </w:p>
        </w:tc>
      </w:tr>
      <w:tr>
        <w:trPr>
          <w:cantSplit/>
        </w:trPr>
        <w:tc>
          <w:tcPr>
            <w:tcW w:type="dxa" w:w="1814"/>
            <w:vAlign w:val="top"/>
          </w:tcPr>
          <w:p>
            <w:pPr>
              <w:spacing w:after="0" w:line="240" w:lineRule="auto"/>
            </w:pPr>
            <w:r>
              <w:rPr>
                <w:color w:val="2B2F36"/>
                <w:sz w:val="17"/>
              </w:rPr>
              <w:t>Scrap payable %</w:t>
            </w:r>
          </w:p>
        </w:tc>
        <w:tc>
          <w:tcPr>
            <w:tcW w:type="dxa" w:w="1814"/>
            <w:vAlign w:val="top"/>
          </w:tcPr>
          <w:p>
            <w:pPr>
              <w:spacing w:after="0" w:line="240" w:lineRule="auto"/>
            </w:pPr>
            <w:r>
              <w:rPr>
                <w:color w:val="2B2F36"/>
                <w:sz w:val="17"/>
              </w:rPr>
              <w:t>94 % (89–99 %)</w:t>
            </w:r>
          </w:p>
        </w:tc>
        <w:tc>
          <w:tcPr>
            <w:tcW w:type="dxa" w:w="6123"/>
            <w:vAlign w:val="top"/>
          </w:tcPr>
          <w:p>
            <w:pPr>
              <w:spacing w:after="0" w:line="240" w:lineRule="auto"/>
            </w:pPr>
            <w:r>
              <w:rPr>
                <w:color w:val="2B2F36"/>
                <w:sz w:val="17"/>
              </w:rPr>
              <w:t>Actual cost of the scrap mix delivered to Bhiwadi, incl. freight, GST/TCS, sorting loss</w:t>
            </w:r>
          </w:p>
        </w:tc>
      </w:tr>
      <w:tr>
        <w:trPr>
          <w:cantSplit/>
        </w:trPr>
        <w:tc>
          <w:tcPr>
            <w:tcW w:type="dxa" w:w="1814"/>
            <w:shd w:val="clear" w:color="auto" w:fill="F7F4EE"/>
            <w:vAlign w:val="top"/>
          </w:tcPr>
          <w:p>
            <w:pPr>
              <w:spacing w:after="0" w:line="240" w:lineRule="auto"/>
            </w:pPr>
            <w:r>
              <w:rPr>
                <w:color w:val="2B2F36"/>
                <w:sz w:val="17"/>
              </w:rPr>
              <w:t>Tin source and premium</w:t>
            </w:r>
          </w:p>
        </w:tc>
        <w:tc>
          <w:tcPr>
            <w:tcW w:type="dxa" w:w="1814"/>
            <w:shd w:val="clear" w:color="auto" w:fill="F7F4EE"/>
            <w:vAlign w:val="top"/>
          </w:tcPr>
          <w:p>
            <w:pPr>
              <w:spacing w:after="0" w:line="240" w:lineRule="auto"/>
            </w:pPr>
            <w:r>
              <w:rPr>
                <w:color w:val="2B2F36"/>
                <w:sz w:val="17"/>
              </w:rPr>
              <w:t>LME cash</w:t>
            </w:r>
          </w:p>
        </w:tc>
        <w:tc>
          <w:tcPr>
            <w:tcW w:type="dxa" w:w="6123"/>
            <w:shd w:val="clear" w:color="auto" w:fill="F7F4EE"/>
            <w:vAlign w:val="top"/>
          </w:tcPr>
          <w:p>
            <w:pPr>
              <w:spacing w:after="0" w:line="240" w:lineRule="auto"/>
            </w:pPr>
            <w:r>
              <w:rPr>
                <w:color w:val="2B2F36"/>
                <w:sz w:val="17"/>
              </w:rPr>
              <w:t>Actual purchase price incl. premium and stock days</w:t>
            </w:r>
          </w:p>
        </w:tc>
      </w:tr>
      <w:tr>
        <w:trPr>
          <w:cantSplit/>
        </w:trPr>
        <w:tc>
          <w:tcPr>
            <w:tcW w:type="dxa" w:w="1814"/>
            <w:vAlign w:val="top"/>
          </w:tcPr>
          <w:p>
            <w:pPr>
              <w:spacing w:after="0" w:line="240" w:lineRule="auto"/>
            </w:pPr>
            <w:r>
              <w:rPr>
                <w:color w:val="2B2F36"/>
                <w:sz w:val="17"/>
              </w:rPr>
              <w:t>Credit and freight terms</w:t>
            </w:r>
          </w:p>
        </w:tc>
        <w:tc>
          <w:tcPr>
            <w:tcW w:type="dxa" w:w="1814"/>
            <w:vAlign w:val="top"/>
          </w:tcPr>
          <w:p>
            <w:pPr>
              <w:spacing w:after="0" w:line="240" w:lineRule="auto"/>
            </w:pPr>
            <w:r>
              <w:rPr>
                <w:color w:val="2B2F36"/>
                <w:sz w:val="17"/>
              </w:rPr>
              <w:t>not modelled</w:t>
            </w:r>
          </w:p>
        </w:tc>
        <w:tc>
          <w:tcPr>
            <w:tcW w:type="dxa" w:w="6123"/>
            <w:vAlign w:val="top"/>
          </w:tcPr>
          <w:p>
            <w:pPr>
              <w:spacing w:after="0" w:line="240" w:lineRule="auto"/>
            </w:pPr>
            <w:r>
              <w:rPr>
                <w:color w:val="2B2F36"/>
                <w:sz w:val="17"/>
              </w:rPr>
              <w:t>Customer terms and delivered pricing by cluster</w:t>
            </w:r>
          </w:p>
        </w:tc>
      </w:tr>
    </w:tbl>
    <w:p>
      <w:pPr>
        <w:spacing w:after="40"/>
      </w:pPr>
    </w:p>
    <w:p>
      <w:r>
        <w:br w:type="page"/>
      </w:r>
    </w:p>
    <w:p>
      <w:pPr>
        <w:pStyle w:val="Heading1"/>
      </w:pPr>
      <w:r>
        <w:t>7. Application demand: sizing and grade mix</w:t>
      </w:r>
    </w:p>
    <w:p>
      <w:r>
        <w:t xml:space="preserve">Section 8 onward asks what each use needs. This section first sizes India's demand for the six grades by application. </w:t>
      </w:r>
      <w:r>
        <w:rPr>
          <w:b/>
        </w:rPr>
        <w:t>No publisher reports demand at this level.</w:t>
      </w:r>
      <w:r>
        <w:t xml:space="preserve"> The shares are bottom-up estimates carried over from Rev 5 (end-market size and growth, bronze content per product, supplier and cluster evidence). Use them as ±30 % ranges. They were not changed in Rev 6, but every figure derived from them was recomputed and cross-checked.</w:t>
      </w:r>
    </w:p>
    <w:p>
      <w:pPr>
        <w:keepNext/>
        <w:spacing w:after="40"/>
        <w:jc w:val="center"/>
      </w:pPr>
      <w:r>
        <w:drawing>
          <wp:inline xmlns:a="http://schemas.openxmlformats.org/drawingml/2006/main" xmlns:pic="http://schemas.openxmlformats.org/drawingml/2006/picture">
            <wp:extent cx="6192000" cy="4133567"/>
            <wp:docPr id="20" name="Picture 20"/>
            <wp:cNvGraphicFramePr>
              <a:graphicFrameLocks noChangeAspect="1"/>
            </wp:cNvGraphicFramePr>
            <a:graphic>
              <a:graphicData uri="http://schemas.openxmlformats.org/drawingml/2006/picture">
                <pic:pic>
                  <pic:nvPicPr>
                    <pic:cNvPr id="0" name="d01.png"/>
                    <pic:cNvPicPr/>
                  </pic:nvPicPr>
                  <pic:blipFill>
                    <a:blip r:embed="rId30"/>
                    <a:stretch>
                      <a:fillRect/>
                    </a:stretch>
                  </pic:blipFill>
                  <pic:spPr>
                    <a:xfrm>
                      <a:off x="0" y="0"/>
                      <a:ext cx="6192000" cy="4133567"/>
                    </a:xfrm>
                    <a:prstGeom prst="rect"/>
                  </pic:spPr>
                </pic:pic>
              </a:graphicData>
            </a:graphic>
          </wp:inline>
        </w:drawing>
      </w:r>
    </w:p>
    <w:p>
      <w:pPr>
        <w:spacing w:after="160"/>
      </w:pPr>
      <w:r>
        <w:rPr>
          <w:b/>
          <w:color w:val="5B6470"/>
          <w:sz w:val="17"/>
        </w:rPr>
        <w:t>Figure 20.</w:t>
      </w:r>
      <w:r>
        <w:rPr>
          <w:color w:val="5B6470"/>
          <w:sz w:val="17"/>
        </w:rPr>
        <w:t xml:space="preserve"> Share of tonnes and expected growth by application. Three major uses take 73 %; 15 smaller uses take 27 %.</w:t>
      </w:r>
    </w:p>
    <w:p>
      <w:pPr>
        <w:pStyle w:val="Heading2"/>
      </w:pPr>
      <w:r>
        <w:t>7.1 Grade mix inside each application</w:t>
      </w:r>
    </w:p>
    <w:p>
      <w:pPr>
        <w:keepNext/>
        <w:spacing w:after="40"/>
        <w:jc w:val="center"/>
      </w:pPr>
      <w:r>
        <w:drawing>
          <wp:inline xmlns:a="http://schemas.openxmlformats.org/drawingml/2006/main" xmlns:pic="http://schemas.openxmlformats.org/drawingml/2006/picture">
            <wp:extent cx="5760000" cy="3913982"/>
            <wp:docPr id="21" name="Picture 21"/>
            <wp:cNvGraphicFramePr>
              <a:graphicFrameLocks noChangeAspect="1"/>
            </wp:cNvGraphicFramePr>
            <a:graphic>
              <a:graphicData uri="http://schemas.openxmlformats.org/drawingml/2006/picture">
                <pic:pic>
                  <pic:nvPicPr>
                    <pic:cNvPr id="0" name="d02.png"/>
                    <pic:cNvPicPr/>
                  </pic:nvPicPr>
                  <pic:blipFill>
                    <a:blip r:embed="rId31"/>
                    <a:stretch>
                      <a:fillRect/>
                    </a:stretch>
                  </pic:blipFill>
                  <pic:spPr>
                    <a:xfrm>
                      <a:off x="0" y="0"/>
                      <a:ext cx="5760000" cy="3913982"/>
                    </a:xfrm>
                    <a:prstGeom prst="rect"/>
                  </pic:spPr>
                </pic:pic>
              </a:graphicData>
            </a:graphic>
          </wp:inline>
        </w:drawing>
      </w:r>
    </w:p>
    <w:p>
      <w:pPr>
        <w:spacing w:after="160"/>
      </w:pPr>
      <w:r>
        <w:rPr>
          <w:b/>
          <w:color w:val="5B6470"/>
          <w:sz w:val="17"/>
        </w:rPr>
        <w:t>Figure 21.</w:t>
      </w:r>
      <w:r>
        <w:rPr>
          <w:color w:val="5B6470"/>
          <w:sz w:val="17"/>
        </w:rPr>
        <w:t xml:space="preserve"> Grade split inside each application (% of that application's tonnes). The solid line separates the three major uses (above) from the minor uses (below).</w:t>
      </w:r>
    </w:p>
    <w:p>
      <w:pPr>
        <w:pStyle w:val="Heading2"/>
      </w:pPr>
      <w:r>
        <w:t>7.2 Grade demand: reconciliation</w:t>
      </w:r>
    </w:p>
    <w:p>
      <w:pPr>
        <w:keepNext/>
        <w:spacing w:after="40"/>
        <w:jc w:val="center"/>
      </w:pPr>
      <w:r>
        <w:drawing>
          <wp:inline xmlns:a="http://schemas.openxmlformats.org/drawingml/2006/main" xmlns:pic="http://schemas.openxmlformats.org/drawingml/2006/picture">
            <wp:extent cx="6192000" cy="3213505"/>
            <wp:docPr id="22" name="Picture 22"/>
            <wp:cNvGraphicFramePr>
              <a:graphicFrameLocks noChangeAspect="1"/>
            </wp:cNvGraphicFramePr>
            <a:graphic>
              <a:graphicData uri="http://schemas.openxmlformats.org/drawingml/2006/picture">
                <pic:pic>
                  <pic:nvPicPr>
                    <pic:cNvPr id="0" name="d03.png"/>
                    <pic:cNvPicPr/>
                  </pic:nvPicPr>
                  <pic:blipFill>
                    <a:blip r:embed="rId32"/>
                    <a:stretch>
                      <a:fillRect/>
                    </a:stretch>
                  </pic:blipFill>
                  <pic:spPr>
                    <a:xfrm>
                      <a:off x="0" y="0"/>
                      <a:ext cx="6192000" cy="3213505"/>
                    </a:xfrm>
                    <a:prstGeom prst="rect"/>
                  </pic:spPr>
                </pic:pic>
              </a:graphicData>
            </a:graphic>
          </wp:inline>
        </w:drawing>
      </w:r>
    </w:p>
    <w:p>
      <w:pPr>
        <w:spacing w:after="160"/>
      </w:pPr>
      <w:r>
        <w:rPr>
          <w:b/>
          <w:color w:val="5B6470"/>
          <w:sz w:val="17"/>
        </w:rPr>
        <w:t>Figure 22.</w:t>
      </w:r>
      <w:r>
        <w:rPr>
          <w:color w:val="5B6470"/>
          <w:sz w:val="17"/>
        </w:rPr>
        <w:t xml:space="preserve"> Grade shares summed bottom-up from Figure above. These reproduce the Rev 5 grade shares (CC491K 40 %, CC493K 20 %, CC495K 12 %, CC492K 11 %, CC490K 10 %, CC494K 7 %); value shares differ little because metal value per kg varies only ±10 % between grades.</w:t>
      </w:r>
    </w:p>
    <w:p>
      <w:pPr>
        <w:keepNext/>
        <w:spacing w:after="40"/>
      </w:pPr>
      <w:r>
        <w:rPr>
          <w:b/>
          <w:color w:val="5B6470"/>
          <w:sz w:val="18"/>
        </w:rPr>
        <w:t>Table 15.</w:t>
      </w:r>
      <w:r>
        <w:rPr>
          <w:color w:val="5B6470"/>
          <w:sz w:val="18"/>
        </w:rPr>
        <w:t xml:space="preserve"> Applications: shares, growth and main grades (all 18 rows)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494"/>
        <w:gridCol w:w="1361"/>
        <w:gridCol w:w="1361"/>
        <w:gridCol w:w="1247"/>
        <w:gridCol w:w="3288"/>
      </w:tblGrid>
      <w:tr>
        <w:trPr>
          <w:cantSplit/>
          <w:tblHeader/>
        </w:trPr>
        <w:tc>
          <w:tcPr>
            <w:tcW w:type="dxa" w:w="2494"/>
            <w:shd w:val="clear" w:color="auto" w:fill="1F4E79"/>
            <w:vAlign w:val="center"/>
          </w:tcPr>
          <w:p>
            <w:pPr>
              <w:spacing w:after="0" w:line="240" w:lineRule="auto"/>
            </w:pPr>
            <w:r>
              <w:rPr>
                <w:b/>
                <w:color w:val="FFFFFF"/>
                <w:sz w:val="16"/>
              </w:rPr>
              <w:t>Application</w:t>
            </w:r>
          </w:p>
        </w:tc>
        <w:tc>
          <w:tcPr>
            <w:tcW w:type="dxa" w:w="1361"/>
            <w:shd w:val="clear" w:color="auto" w:fill="1F4E79"/>
            <w:vAlign w:val="center"/>
          </w:tcPr>
          <w:p>
            <w:pPr>
              <w:spacing w:after="0" w:line="240" w:lineRule="auto"/>
            </w:pPr>
            <w:r>
              <w:rPr>
                <w:b/>
                <w:color w:val="FFFFFF"/>
                <w:sz w:val="16"/>
              </w:rPr>
              <w:t>Share of tonnes</w:t>
            </w:r>
          </w:p>
        </w:tc>
        <w:tc>
          <w:tcPr>
            <w:tcW w:type="dxa" w:w="1361"/>
            <w:shd w:val="clear" w:color="auto" w:fill="1F4E79"/>
            <w:vAlign w:val="center"/>
          </w:tcPr>
          <w:p>
            <w:pPr>
              <w:spacing w:after="0" w:line="240" w:lineRule="auto"/>
            </w:pPr>
            <w:r>
              <w:rPr>
                <w:b/>
                <w:color w:val="FFFFFF"/>
                <w:sz w:val="16"/>
              </w:rPr>
              <w:t>Share of ₹ value</w:t>
            </w:r>
          </w:p>
        </w:tc>
        <w:tc>
          <w:tcPr>
            <w:tcW w:type="dxa" w:w="1247"/>
            <w:shd w:val="clear" w:color="auto" w:fill="1F4E79"/>
            <w:vAlign w:val="center"/>
          </w:tcPr>
          <w:p>
            <w:pPr>
              <w:spacing w:after="0" w:line="240" w:lineRule="auto"/>
            </w:pPr>
            <w:r>
              <w:rPr>
                <w:b/>
                <w:color w:val="FFFFFF"/>
                <w:sz w:val="16"/>
              </w:rPr>
              <w:t>Growth %/yr</w:t>
            </w:r>
          </w:p>
        </w:tc>
        <w:tc>
          <w:tcPr>
            <w:tcW w:type="dxa" w:w="3288"/>
            <w:shd w:val="clear" w:color="auto" w:fill="1F4E79"/>
            <w:vAlign w:val="center"/>
          </w:tcPr>
          <w:p>
            <w:pPr>
              <w:spacing w:after="0" w:line="240" w:lineRule="auto"/>
            </w:pPr>
            <w:r>
              <w:rPr>
                <w:b/>
                <w:color w:val="FFFFFF"/>
                <w:sz w:val="16"/>
              </w:rPr>
              <w:t>Main grade(s) (UNS)</w:t>
            </w:r>
          </w:p>
        </w:tc>
      </w:tr>
      <w:tr>
        <w:trPr>
          <w:cantSplit/>
        </w:trPr>
        <w:tc>
          <w:tcPr>
            <w:tcW w:type="dxa" w:w="2494"/>
            <w:vAlign w:val="top"/>
          </w:tcPr>
          <w:p>
            <w:pPr>
              <w:spacing w:after="0" w:line="240" w:lineRule="auto"/>
            </w:pPr>
            <w:r>
              <w:rPr>
                <w:color w:val="2B2F36"/>
                <w:sz w:val="16"/>
              </w:rPr>
              <w:t>Pumps (major)</w:t>
            </w:r>
          </w:p>
        </w:tc>
        <w:tc>
          <w:tcPr>
            <w:tcW w:type="dxa" w:w="1361"/>
            <w:vAlign w:val="top"/>
          </w:tcPr>
          <w:p>
            <w:pPr>
              <w:spacing w:after="0" w:line="240" w:lineRule="auto"/>
              <w:jc w:val="center"/>
            </w:pPr>
            <w:r>
              <w:rPr>
                <w:color w:val="2B2F36"/>
                <w:sz w:val="16"/>
              </w:rPr>
              <w:t>27 %</w:t>
            </w:r>
          </w:p>
        </w:tc>
        <w:tc>
          <w:tcPr>
            <w:tcW w:type="dxa" w:w="1361"/>
            <w:vAlign w:val="top"/>
          </w:tcPr>
          <w:p>
            <w:pPr>
              <w:spacing w:after="0" w:line="240" w:lineRule="auto"/>
              <w:jc w:val="center"/>
            </w:pPr>
            <w:r>
              <w:rPr>
                <w:color w:val="2B2F36"/>
                <w:sz w:val="16"/>
              </w:rPr>
              <w:t>26.6 %</w:t>
            </w:r>
          </w:p>
        </w:tc>
        <w:tc>
          <w:tcPr>
            <w:tcW w:type="dxa" w:w="1247"/>
            <w:vAlign w:val="top"/>
          </w:tcPr>
          <w:p>
            <w:pPr>
              <w:spacing w:after="0" w:line="240" w:lineRule="auto"/>
              <w:jc w:val="center"/>
            </w:pPr>
            <w:r>
              <w:rPr>
                <w:color w:val="2B2F36"/>
                <w:sz w:val="16"/>
              </w:rPr>
              <w:t>+3</w:t>
            </w:r>
          </w:p>
        </w:tc>
        <w:tc>
          <w:tcPr>
            <w:tcW w:type="dxa" w:w="3288"/>
            <w:vAlign w:val="top"/>
          </w:tcPr>
          <w:p>
            <w:pPr>
              <w:spacing w:after="0" w:line="240" w:lineRule="auto"/>
            </w:pPr>
            <w:r>
              <w:rPr>
                <w:color w:val="2B2F36"/>
                <w:sz w:val="16"/>
              </w:rPr>
              <w:t>CC491K (C83600)</w:t>
            </w:r>
          </w:p>
        </w:tc>
      </w:tr>
      <w:tr>
        <w:trPr>
          <w:cantSplit/>
        </w:trPr>
        <w:tc>
          <w:tcPr>
            <w:tcW w:type="dxa" w:w="2494"/>
            <w:shd w:val="clear" w:color="auto" w:fill="F7F4EE"/>
            <w:vAlign w:val="top"/>
          </w:tcPr>
          <w:p>
            <w:pPr>
              <w:spacing w:after="0" w:line="240" w:lineRule="auto"/>
            </w:pPr>
            <w:r>
              <w:rPr>
                <w:color w:val="2B2F36"/>
                <w:sz w:val="16"/>
              </w:rPr>
              <w:t>Valves (major)</w:t>
            </w:r>
          </w:p>
        </w:tc>
        <w:tc>
          <w:tcPr>
            <w:tcW w:type="dxa" w:w="1361"/>
            <w:shd w:val="clear" w:color="auto" w:fill="F7F4EE"/>
            <w:vAlign w:val="top"/>
          </w:tcPr>
          <w:p>
            <w:pPr>
              <w:spacing w:after="0" w:line="240" w:lineRule="auto"/>
              <w:jc w:val="center"/>
            </w:pPr>
            <w:r>
              <w:rPr>
                <w:color w:val="2B2F36"/>
                <w:sz w:val="16"/>
              </w:rPr>
              <w:t>21 %</w:t>
            </w:r>
          </w:p>
        </w:tc>
        <w:tc>
          <w:tcPr>
            <w:tcW w:type="dxa" w:w="1361"/>
            <w:shd w:val="clear" w:color="auto" w:fill="F7F4EE"/>
            <w:vAlign w:val="top"/>
          </w:tcPr>
          <w:p>
            <w:pPr>
              <w:spacing w:after="0" w:line="240" w:lineRule="auto"/>
              <w:jc w:val="center"/>
            </w:pPr>
            <w:r>
              <w:rPr>
                <w:color w:val="2B2F36"/>
                <w:sz w:val="16"/>
              </w:rPr>
              <w:t>20.7 %</w:t>
            </w:r>
          </w:p>
        </w:tc>
        <w:tc>
          <w:tcPr>
            <w:tcW w:type="dxa" w:w="1247"/>
            <w:shd w:val="clear" w:color="auto" w:fill="F7F4EE"/>
            <w:vAlign w:val="top"/>
          </w:tcPr>
          <w:p>
            <w:pPr>
              <w:spacing w:after="0" w:line="240" w:lineRule="auto"/>
              <w:jc w:val="center"/>
            </w:pPr>
            <w:r>
              <w:rPr>
                <w:color w:val="2B2F36"/>
                <w:sz w:val="16"/>
              </w:rPr>
              <w:t>+6</w:t>
            </w:r>
          </w:p>
        </w:tc>
        <w:tc>
          <w:tcPr>
            <w:tcW w:type="dxa" w:w="3288"/>
            <w:shd w:val="clear" w:color="auto" w:fill="F7F4EE"/>
            <w:vAlign w:val="top"/>
          </w:tcPr>
          <w:p>
            <w:pPr>
              <w:spacing w:after="0" w:line="240" w:lineRule="auto"/>
            </w:pPr>
            <w:r>
              <w:rPr>
                <w:color w:val="2B2F36"/>
                <w:sz w:val="16"/>
              </w:rPr>
              <w:t>CC491K (C83600) / CC493K (C93200)</w:t>
            </w:r>
          </w:p>
        </w:tc>
      </w:tr>
      <w:tr>
        <w:trPr>
          <w:cantSplit/>
        </w:trPr>
        <w:tc>
          <w:tcPr>
            <w:tcW w:type="dxa" w:w="2494"/>
            <w:vAlign w:val="top"/>
          </w:tcPr>
          <w:p>
            <w:pPr>
              <w:spacing w:after="0" w:line="240" w:lineRule="auto"/>
            </w:pPr>
            <w:r>
              <w:rPr>
                <w:color w:val="2B2F36"/>
                <w:sz w:val="16"/>
              </w:rPr>
              <w:t>Bushes &amp; bearings (major)</w:t>
            </w:r>
          </w:p>
        </w:tc>
        <w:tc>
          <w:tcPr>
            <w:tcW w:type="dxa" w:w="1361"/>
            <w:vAlign w:val="top"/>
          </w:tcPr>
          <w:p>
            <w:pPr>
              <w:spacing w:after="0" w:line="240" w:lineRule="auto"/>
              <w:jc w:val="center"/>
            </w:pPr>
            <w:r>
              <w:rPr>
                <w:color w:val="2B2F36"/>
                <w:sz w:val="16"/>
              </w:rPr>
              <w:t>25 %</w:t>
            </w:r>
          </w:p>
        </w:tc>
        <w:tc>
          <w:tcPr>
            <w:tcW w:type="dxa" w:w="1361"/>
            <w:vAlign w:val="top"/>
          </w:tcPr>
          <w:p>
            <w:pPr>
              <w:spacing w:after="0" w:line="240" w:lineRule="auto"/>
              <w:jc w:val="center"/>
            </w:pPr>
            <w:r>
              <w:rPr>
                <w:color w:val="2B2F36"/>
                <w:sz w:val="16"/>
              </w:rPr>
              <w:t>26.0 %</w:t>
            </w:r>
          </w:p>
        </w:tc>
        <w:tc>
          <w:tcPr>
            <w:tcW w:type="dxa" w:w="1247"/>
            <w:vAlign w:val="top"/>
          </w:tcPr>
          <w:p>
            <w:pPr>
              <w:spacing w:after="0" w:line="240" w:lineRule="auto"/>
              <w:jc w:val="center"/>
            </w:pPr>
            <w:r>
              <w:rPr>
                <w:color w:val="2B2F36"/>
                <w:sz w:val="16"/>
              </w:rPr>
              <w:t>+5</w:t>
            </w:r>
          </w:p>
        </w:tc>
        <w:tc>
          <w:tcPr>
            <w:tcW w:type="dxa" w:w="3288"/>
            <w:vAlign w:val="top"/>
          </w:tcPr>
          <w:p>
            <w:pPr>
              <w:spacing w:after="0" w:line="240" w:lineRule="auto"/>
            </w:pPr>
            <w:r>
              <w:rPr>
                <w:color w:val="2B2F36"/>
                <w:sz w:val="16"/>
              </w:rPr>
              <w:t>CC493K (C93200) / CC495K (C93700)</w:t>
            </w:r>
          </w:p>
        </w:tc>
      </w:tr>
      <w:tr>
        <w:trPr>
          <w:cantSplit/>
        </w:trPr>
        <w:tc>
          <w:tcPr>
            <w:tcW w:type="dxa" w:w="2494"/>
            <w:shd w:val="clear" w:color="auto" w:fill="F7F4EE"/>
            <w:vAlign w:val="top"/>
          </w:tcPr>
          <w:p>
            <w:pPr>
              <w:spacing w:after="0" w:line="240" w:lineRule="auto"/>
            </w:pPr>
            <w:r>
              <w:rPr>
                <w:color w:val="2B2F36"/>
                <w:sz w:val="16"/>
              </w:rPr>
              <w:t>Plumbing hardware</w:t>
            </w:r>
          </w:p>
        </w:tc>
        <w:tc>
          <w:tcPr>
            <w:tcW w:type="dxa" w:w="1361"/>
            <w:shd w:val="clear" w:color="auto" w:fill="F7F4EE"/>
            <w:vAlign w:val="top"/>
          </w:tcPr>
          <w:p>
            <w:pPr>
              <w:spacing w:after="0" w:line="240" w:lineRule="auto"/>
              <w:jc w:val="center"/>
            </w:pPr>
            <w:r>
              <w:rPr>
                <w:color w:val="2B2F36"/>
                <w:sz w:val="16"/>
              </w:rPr>
              <w:t>4.5 %</w:t>
            </w:r>
          </w:p>
        </w:tc>
        <w:tc>
          <w:tcPr>
            <w:tcW w:type="dxa" w:w="1361"/>
            <w:shd w:val="clear" w:color="auto" w:fill="F7F4EE"/>
            <w:vAlign w:val="top"/>
          </w:tcPr>
          <w:p>
            <w:pPr>
              <w:spacing w:after="0" w:line="240" w:lineRule="auto"/>
              <w:jc w:val="center"/>
            </w:pPr>
            <w:r>
              <w:rPr>
                <w:color w:val="2B2F36"/>
                <w:sz w:val="16"/>
              </w:rPr>
              <w:t>4.2 %</w:t>
            </w:r>
          </w:p>
        </w:tc>
        <w:tc>
          <w:tcPr>
            <w:tcW w:type="dxa" w:w="1247"/>
            <w:shd w:val="clear" w:color="auto" w:fill="F7F4EE"/>
            <w:vAlign w:val="top"/>
          </w:tcPr>
          <w:p>
            <w:pPr>
              <w:spacing w:after="0" w:line="240" w:lineRule="auto"/>
              <w:jc w:val="center"/>
            </w:pPr>
            <w:r>
              <w:rPr>
                <w:color w:val="2B2F36"/>
                <w:sz w:val="16"/>
              </w:rPr>
              <w:t>-2</w:t>
            </w:r>
          </w:p>
        </w:tc>
        <w:tc>
          <w:tcPr>
            <w:tcW w:type="dxa" w:w="3288"/>
            <w:shd w:val="clear" w:color="auto" w:fill="F7F4EE"/>
            <w:vAlign w:val="top"/>
          </w:tcPr>
          <w:p>
            <w:pPr>
              <w:spacing w:after="0" w:line="240" w:lineRule="auto"/>
            </w:pPr>
            <w:r>
              <w:rPr>
                <w:color w:val="2B2F36"/>
                <w:sz w:val="16"/>
              </w:rPr>
              <w:t>CC490K (C84400) / CC491K (C83600)</w:t>
            </w:r>
          </w:p>
        </w:tc>
      </w:tr>
      <w:tr>
        <w:trPr>
          <w:cantSplit/>
        </w:trPr>
        <w:tc>
          <w:tcPr>
            <w:tcW w:type="dxa" w:w="2494"/>
            <w:vAlign w:val="top"/>
          </w:tcPr>
          <w:p>
            <w:pPr>
              <w:spacing w:after="0" w:line="240" w:lineRule="auto"/>
            </w:pPr>
            <w:r>
              <w:rPr>
                <w:color w:val="2B2F36"/>
                <w:sz w:val="16"/>
              </w:rPr>
              <w:t>Fire-fighting hardware</w:t>
            </w:r>
          </w:p>
        </w:tc>
        <w:tc>
          <w:tcPr>
            <w:tcW w:type="dxa" w:w="1361"/>
            <w:vAlign w:val="top"/>
          </w:tcPr>
          <w:p>
            <w:pPr>
              <w:spacing w:after="0" w:line="240" w:lineRule="auto"/>
              <w:jc w:val="center"/>
            </w:pPr>
            <w:r>
              <w:rPr>
                <w:color w:val="2B2F36"/>
                <w:sz w:val="16"/>
              </w:rPr>
              <w:t>3.5 %</w:t>
            </w:r>
          </w:p>
        </w:tc>
        <w:tc>
          <w:tcPr>
            <w:tcW w:type="dxa" w:w="1361"/>
            <w:vAlign w:val="top"/>
          </w:tcPr>
          <w:p>
            <w:pPr>
              <w:spacing w:after="0" w:line="240" w:lineRule="auto"/>
              <w:jc w:val="center"/>
            </w:pPr>
            <w:r>
              <w:rPr>
                <w:color w:val="2B2F36"/>
                <w:sz w:val="16"/>
              </w:rPr>
              <w:t>3.4 %</w:t>
            </w:r>
          </w:p>
        </w:tc>
        <w:tc>
          <w:tcPr>
            <w:tcW w:type="dxa" w:w="1247"/>
            <w:vAlign w:val="top"/>
          </w:tcPr>
          <w:p>
            <w:pPr>
              <w:spacing w:after="0" w:line="240" w:lineRule="auto"/>
              <w:jc w:val="center"/>
            </w:pPr>
            <w:r>
              <w:rPr>
                <w:color w:val="2B2F36"/>
                <w:sz w:val="16"/>
              </w:rPr>
              <w:t>+7</w:t>
            </w:r>
          </w:p>
        </w:tc>
        <w:tc>
          <w:tcPr>
            <w:tcW w:type="dxa" w:w="3288"/>
            <w:vAlign w:val="top"/>
          </w:tcPr>
          <w:p>
            <w:pPr>
              <w:spacing w:after="0" w:line="240" w:lineRule="auto"/>
            </w:pPr>
            <w:r>
              <w:rPr>
                <w:color w:val="2B2F36"/>
                <w:sz w:val="16"/>
              </w:rPr>
              <w:t>CC491K (C83600) / CC492K (≈C92200)</w:t>
            </w:r>
          </w:p>
        </w:tc>
      </w:tr>
      <w:tr>
        <w:trPr>
          <w:cantSplit/>
        </w:trPr>
        <w:tc>
          <w:tcPr>
            <w:tcW w:type="dxa" w:w="2494"/>
            <w:shd w:val="clear" w:color="auto" w:fill="F7F4EE"/>
            <w:vAlign w:val="top"/>
          </w:tcPr>
          <w:p>
            <w:pPr>
              <w:spacing w:after="0" w:line="240" w:lineRule="auto"/>
            </w:pPr>
            <w:r>
              <w:rPr>
                <w:color w:val="2B2F36"/>
                <w:sz w:val="16"/>
              </w:rPr>
              <w:t>Marine fittings</w:t>
            </w:r>
          </w:p>
        </w:tc>
        <w:tc>
          <w:tcPr>
            <w:tcW w:type="dxa" w:w="1361"/>
            <w:shd w:val="clear" w:color="auto" w:fill="F7F4EE"/>
            <w:vAlign w:val="top"/>
          </w:tcPr>
          <w:p>
            <w:pPr>
              <w:spacing w:after="0" w:line="240" w:lineRule="auto"/>
              <w:jc w:val="center"/>
            </w:pPr>
            <w:r>
              <w:rPr>
                <w:color w:val="2B2F36"/>
                <w:sz w:val="16"/>
              </w:rPr>
              <w:t>3 %</w:t>
            </w:r>
          </w:p>
        </w:tc>
        <w:tc>
          <w:tcPr>
            <w:tcW w:type="dxa" w:w="1361"/>
            <w:shd w:val="clear" w:color="auto" w:fill="F7F4EE"/>
            <w:vAlign w:val="top"/>
          </w:tcPr>
          <w:p>
            <w:pPr>
              <w:spacing w:after="0" w:line="240" w:lineRule="auto"/>
              <w:jc w:val="center"/>
            </w:pPr>
            <w:r>
              <w:rPr>
                <w:color w:val="2B2F36"/>
                <w:sz w:val="16"/>
              </w:rPr>
              <w:t>3.1 %</w:t>
            </w:r>
          </w:p>
        </w:tc>
        <w:tc>
          <w:tcPr>
            <w:tcW w:type="dxa" w:w="1247"/>
            <w:shd w:val="clear" w:color="auto" w:fill="F7F4EE"/>
            <w:vAlign w:val="top"/>
          </w:tcPr>
          <w:p>
            <w:pPr>
              <w:spacing w:after="0" w:line="240" w:lineRule="auto"/>
              <w:jc w:val="center"/>
            </w:pPr>
            <w:r>
              <w:rPr>
                <w:color w:val="2B2F36"/>
                <w:sz w:val="16"/>
              </w:rPr>
              <w:t>+6</w:t>
            </w:r>
          </w:p>
        </w:tc>
        <w:tc>
          <w:tcPr>
            <w:tcW w:type="dxa" w:w="3288"/>
            <w:shd w:val="clear" w:color="auto" w:fill="F7F4EE"/>
            <w:vAlign w:val="top"/>
          </w:tcPr>
          <w:p>
            <w:pPr>
              <w:spacing w:after="0" w:line="240" w:lineRule="auto"/>
            </w:pPr>
            <w:r>
              <w:rPr>
                <w:color w:val="2B2F36"/>
                <w:sz w:val="16"/>
              </w:rPr>
              <w:t>CC491K (C83600) / CC492K (≈C92200)</w:t>
            </w:r>
          </w:p>
        </w:tc>
      </w:tr>
      <w:tr>
        <w:trPr>
          <w:cantSplit/>
        </w:trPr>
        <w:tc>
          <w:tcPr>
            <w:tcW w:type="dxa" w:w="2494"/>
            <w:vAlign w:val="top"/>
          </w:tcPr>
          <w:p>
            <w:pPr>
              <w:spacing w:after="0" w:line="240" w:lineRule="auto"/>
            </w:pPr>
            <w:r>
              <w:rPr>
                <w:color w:val="2B2F36"/>
                <w:sz w:val="16"/>
              </w:rPr>
              <w:t>Sugar-mill bearings</w:t>
            </w:r>
          </w:p>
        </w:tc>
        <w:tc>
          <w:tcPr>
            <w:tcW w:type="dxa" w:w="1361"/>
            <w:vAlign w:val="top"/>
          </w:tcPr>
          <w:p>
            <w:pPr>
              <w:spacing w:after="0" w:line="240" w:lineRule="auto"/>
              <w:jc w:val="center"/>
            </w:pPr>
            <w:r>
              <w:rPr>
                <w:color w:val="2B2F36"/>
                <w:sz w:val="16"/>
              </w:rPr>
              <w:t>2.5 %</w:t>
            </w:r>
          </w:p>
        </w:tc>
        <w:tc>
          <w:tcPr>
            <w:tcW w:type="dxa" w:w="1361"/>
            <w:vAlign w:val="top"/>
          </w:tcPr>
          <w:p>
            <w:pPr>
              <w:spacing w:after="0" w:line="240" w:lineRule="auto"/>
              <w:jc w:val="center"/>
            </w:pPr>
            <w:r>
              <w:rPr>
                <w:color w:val="2B2F36"/>
                <w:sz w:val="16"/>
              </w:rPr>
              <w:t>2.6 %</w:t>
            </w:r>
          </w:p>
        </w:tc>
        <w:tc>
          <w:tcPr>
            <w:tcW w:type="dxa" w:w="1247"/>
            <w:vAlign w:val="top"/>
          </w:tcPr>
          <w:p>
            <w:pPr>
              <w:spacing w:after="0" w:line="240" w:lineRule="auto"/>
              <w:jc w:val="center"/>
            </w:pPr>
            <w:r>
              <w:rPr>
                <w:color w:val="2B2F36"/>
                <w:sz w:val="16"/>
              </w:rPr>
              <w:t>+2</w:t>
            </w:r>
          </w:p>
        </w:tc>
        <w:tc>
          <w:tcPr>
            <w:tcW w:type="dxa" w:w="3288"/>
            <w:vAlign w:val="top"/>
          </w:tcPr>
          <w:p>
            <w:pPr>
              <w:spacing w:after="0" w:line="240" w:lineRule="auto"/>
            </w:pPr>
            <w:r>
              <w:rPr>
                <w:color w:val="2B2F36"/>
                <w:sz w:val="16"/>
              </w:rPr>
              <w:t>CC495K (C93700) / CC493K (C93200)</w:t>
            </w:r>
          </w:p>
        </w:tc>
      </w:tr>
      <w:tr>
        <w:trPr>
          <w:cantSplit/>
        </w:trPr>
        <w:tc>
          <w:tcPr>
            <w:tcW w:type="dxa" w:w="2494"/>
            <w:shd w:val="clear" w:color="auto" w:fill="F7F4EE"/>
            <w:vAlign w:val="top"/>
          </w:tcPr>
          <w:p>
            <w:pPr>
              <w:spacing w:after="0" w:line="240" w:lineRule="auto"/>
            </w:pPr>
            <w:r>
              <w:rPr>
                <w:color w:val="2B2F36"/>
                <w:sz w:val="16"/>
              </w:rPr>
              <w:t>Water-meter bodies</w:t>
            </w:r>
          </w:p>
        </w:tc>
        <w:tc>
          <w:tcPr>
            <w:tcW w:type="dxa" w:w="1361"/>
            <w:shd w:val="clear" w:color="auto" w:fill="F7F4EE"/>
            <w:vAlign w:val="top"/>
          </w:tcPr>
          <w:p>
            <w:pPr>
              <w:spacing w:after="0" w:line="240" w:lineRule="auto"/>
              <w:jc w:val="center"/>
            </w:pPr>
            <w:r>
              <w:rPr>
                <w:color w:val="2B2F36"/>
                <w:sz w:val="16"/>
              </w:rPr>
              <w:t>2 %</w:t>
            </w:r>
          </w:p>
        </w:tc>
        <w:tc>
          <w:tcPr>
            <w:tcW w:type="dxa" w:w="1361"/>
            <w:shd w:val="clear" w:color="auto" w:fill="F7F4EE"/>
            <w:vAlign w:val="top"/>
          </w:tcPr>
          <w:p>
            <w:pPr>
              <w:spacing w:after="0" w:line="240" w:lineRule="auto"/>
              <w:jc w:val="center"/>
            </w:pPr>
            <w:r>
              <w:rPr>
                <w:color w:val="2B2F36"/>
                <w:sz w:val="16"/>
              </w:rPr>
              <w:t>1.9 %</w:t>
            </w:r>
          </w:p>
        </w:tc>
        <w:tc>
          <w:tcPr>
            <w:tcW w:type="dxa" w:w="1247"/>
            <w:shd w:val="clear" w:color="auto" w:fill="F7F4EE"/>
            <w:vAlign w:val="top"/>
          </w:tcPr>
          <w:p>
            <w:pPr>
              <w:spacing w:after="0" w:line="240" w:lineRule="auto"/>
              <w:jc w:val="center"/>
            </w:pPr>
            <w:r>
              <w:rPr>
                <w:color w:val="2B2F36"/>
                <w:sz w:val="16"/>
              </w:rPr>
              <w:t>+3</w:t>
            </w:r>
          </w:p>
        </w:tc>
        <w:tc>
          <w:tcPr>
            <w:tcW w:type="dxa" w:w="3288"/>
            <w:shd w:val="clear" w:color="auto" w:fill="F7F4EE"/>
            <w:vAlign w:val="top"/>
          </w:tcPr>
          <w:p>
            <w:pPr>
              <w:spacing w:after="0" w:line="240" w:lineRule="auto"/>
            </w:pPr>
            <w:r>
              <w:rPr>
                <w:color w:val="2B2F36"/>
                <w:sz w:val="16"/>
              </w:rPr>
              <w:t>CC491K (C83600) / CC490K (C84400)</w:t>
            </w:r>
          </w:p>
        </w:tc>
      </w:tr>
      <w:tr>
        <w:trPr>
          <w:cantSplit/>
        </w:trPr>
        <w:tc>
          <w:tcPr>
            <w:tcW w:type="dxa" w:w="2494"/>
            <w:vAlign w:val="top"/>
          </w:tcPr>
          <w:p>
            <w:pPr>
              <w:spacing w:after="0" w:line="240" w:lineRule="auto"/>
            </w:pPr>
            <w:r>
              <w:rPr>
                <w:color w:val="2B2F36"/>
                <w:sz w:val="16"/>
              </w:rPr>
              <w:t>Hydraulics</w:t>
            </w:r>
          </w:p>
        </w:tc>
        <w:tc>
          <w:tcPr>
            <w:tcW w:type="dxa" w:w="1361"/>
            <w:vAlign w:val="top"/>
          </w:tcPr>
          <w:p>
            <w:pPr>
              <w:spacing w:after="0" w:line="240" w:lineRule="auto"/>
              <w:jc w:val="center"/>
            </w:pPr>
            <w:r>
              <w:rPr>
                <w:color w:val="2B2F36"/>
                <w:sz w:val="16"/>
              </w:rPr>
              <w:t>2 %</w:t>
            </w:r>
          </w:p>
        </w:tc>
        <w:tc>
          <w:tcPr>
            <w:tcW w:type="dxa" w:w="1361"/>
            <w:vAlign w:val="top"/>
          </w:tcPr>
          <w:p>
            <w:pPr>
              <w:spacing w:after="0" w:line="240" w:lineRule="auto"/>
              <w:jc w:val="center"/>
            </w:pPr>
            <w:r>
              <w:rPr>
                <w:color w:val="2B2F36"/>
                <w:sz w:val="16"/>
              </w:rPr>
              <w:t>2.0 %</w:t>
            </w:r>
          </w:p>
        </w:tc>
        <w:tc>
          <w:tcPr>
            <w:tcW w:type="dxa" w:w="1247"/>
            <w:vAlign w:val="top"/>
          </w:tcPr>
          <w:p>
            <w:pPr>
              <w:spacing w:after="0" w:line="240" w:lineRule="auto"/>
              <w:jc w:val="center"/>
            </w:pPr>
            <w:r>
              <w:rPr>
                <w:color w:val="2B2F36"/>
                <w:sz w:val="16"/>
              </w:rPr>
              <w:t>+5</w:t>
            </w:r>
          </w:p>
        </w:tc>
        <w:tc>
          <w:tcPr>
            <w:tcW w:type="dxa" w:w="3288"/>
            <w:vAlign w:val="top"/>
          </w:tcPr>
          <w:p>
            <w:pPr>
              <w:spacing w:after="0" w:line="240" w:lineRule="auto"/>
            </w:pPr>
            <w:r>
              <w:rPr>
                <w:color w:val="2B2F36"/>
                <w:sz w:val="16"/>
              </w:rPr>
              <w:t>CC493K (C93200) / CC494K (C93500)</w:t>
            </w:r>
          </w:p>
        </w:tc>
      </w:tr>
      <w:tr>
        <w:trPr>
          <w:cantSplit/>
        </w:trPr>
        <w:tc>
          <w:tcPr>
            <w:tcW w:type="dxa" w:w="2494"/>
            <w:shd w:val="clear" w:color="auto" w:fill="F7F4EE"/>
            <w:vAlign w:val="top"/>
          </w:tcPr>
          <w:p>
            <w:pPr>
              <w:spacing w:after="0" w:line="240" w:lineRule="auto"/>
            </w:pPr>
            <w:r>
              <w:rPr>
                <w:color w:val="2B2F36"/>
                <w:sz w:val="16"/>
              </w:rPr>
              <w:t>Gears &amp; worm wheels</w:t>
            </w:r>
          </w:p>
        </w:tc>
        <w:tc>
          <w:tcPr>
            <w:tcW w:type="dxa" w:w="1361"/>
            <w:shd w:val="clear" w:color="auto" w:fill="F7F4EE"/>
            <w:vAlign w:val="top"/>
          </w:tcPr>
          <w:p>
            <w:pPr>
              <w:spacing w:after="0" w:line="240" w:lineRule="auto"/>
              <w:jc w:val="center"/>
            </w:pPr>
            <w:r>
              <w:rPr>
                <w:color w:val="2B2F36"/>
                <w:sz w:val="16"/>
              </w:rPr>
              <w:t>1.5 %</w:t>
            </w:r>
          </w:p>
        </w:tc>
        <w:tc>
          <w:tcPr>
            <w:tcW w:type="dxa" w:w="1361"/>
            <w:shd w:val="clear" w:color="auto" w:fill="F7F4EE"/>
            <w:vAlign w:val="top"/>
          </w:tcPr>
          <w:p>
            <w:pPr>
              <w:spacing w:after="0" w:line="240" w:lineRule="auto"/>
              <w:jc w:val="center"/>
            </w:pPr>
            <w:r>
              <w:rPr>
                <w:color w:val="2B2F36"/>
                <w:sz w:val="16"/>
              </w:rPr>
              <w:t>1.6 %</w:t>
            </w:r>
          </w:p>
        </w:tc>
        <w:tc>
          <w:tcPr>
            <w:tcW w:type="dxa" w:w="1247"/>
            <w:shd w:val="clear" w:color="auto" w:fill="F7F4EE"/>
            <w:vAlign w:val="top"/>
          </w:tcPr>
          <w:p>
            <w:pPr>
              <w:spacing w:after="0" w:line="240" w:lineRule="auto"/>
              <w:jc w:val="center"/>
            </w:pPr>
            <w:r>
              <w:rPr>
                <w:color w:val="2B2F36"/>
                <w:sz w:val="16"/>
              </w:rPr>
              <w:t>+3</w:t>
            </w:r>
          </w:p>
        </w:tc>
        <w:tc>
          <w:tcPr>
            <w:tcW w:type="dxa" w:w="3288"/>
            <w:shd w:val="clear" w:color="auto" w:fill="F7F4EE"/>
            <w:vAlign w:val="top"/>
          </w:tcPr>
          <w:p>
            <w:pPr>
              <w:spacing w:after="0" w:line="240" w:lineRule="auto"/>
            </w:pPr>
            <w:r>
              <w:rPr>
                <w:color w:val="2B2F36"/>
                <w:sz w:val="16"/>
              </w:rPr>
              <w:t>CC493K (C93200) / CC492K (≈C92200)</w:t>
            </w:r>
          </w:p>
        </w:tc>
      </w:tr>
      <w:tr>
        <w:trPr>
          <w:cantSplit/>
        </w:trPr>
        <w:tc>
          <w:tcPr>
            <w:tcW w:type="dxa" w:w="2494"/>
            <w:vAlign w:val="top"/>
          </w:tcPr>
          <w:p>
            <w:pPr>
              <w:spacing w:after="0" w:line="240" w:lineRule="auto"/>
            </w:pPr>
            <w:r>
              <w:rPr>
                <w:color w:val="2B2F36"/>
                <w:sz w:val="16"/>
              </w:rPr>
              <w:t>Boiler mountings</w:t>
            </w:r>
          </w:p>
        </w:tc>
        <w:tc>
          <w:tcPr>
            <w:tcW w:type="dxa" w:w="1361"/>
            <w:vAlign w:val="top"/>
          </w:tcPr>
          <w:p>
            <w:pPr>
              <w:spacing w:after="0" w:line="240" w:lineRule="auto"/>
              <w:jc w:val="center"/>
            </w:pPr>
            <w:r>
              <w:rPr>
                <w:color w:val="2B2F36"/>
                <w:sz w:val="16"/>
              </w:rPr>
              <w:t>1.5 %</w:t>
            </w:r>
          </w:p>
        </w:tc>
        <w:tc>
          <w:tcPr>
            <w:tcW w:type="dxa" w:w="1361"/>
            <w:vAlign w:val="top"/>
          </w:tcPr>
          <w:p>
            <w:pPr>
              <w:spacing w:after="0" w:line="240" w:lineRule="auto"/>
              <w:jc w:val="center"/>
            </w:pPr>
            <w:r>
              <w:rPr>
                <w:color w:val="2B2F36"/>
                <w:sz w:val="16"/>
              </w:rPr>
              <w:t>1.5 %</w:t>
            </w:r>
          </w:p>
        </w:tc>
        <w:tc>
          <w:tcPr>
            <w:tcW w:type="dxa" w:w="1247"/>
            <w:vAlign w:val="top"/>
          </w:tcPr>
          <w:p>
            <w:pPr>
              <w:spacing w:after="0" w:line="240" w:lineRule="auto"/>
              <w:jc w:val="center"/>
            </w:pPr>
            <w:r>
              <w:rPr>
                <w:color w:val="2B2F36"/>
                <w:sz w:val="16"/>
              </w:rPr>
              <w:t>+3</w:t>
            </w:r>
          </w:p>
        </w:tc>
        <w:tc>
          <w:tcPr>
            <w:tcW w:type="dxa" w:w="3288"/>
            <w:vAlign w:val="top"/>
          </w:tcPr>
          <w:p>
            <w:pPr>
              <w:spacing w:after="0" w:line="240" w:lineRule="auto"/>
            </w:pPr>
            <w:r>
              <w:rPr>
                <w:color w:val="2B2F36"/>
                <w:sz w:val="16"/>
              </w:rPr>
              <w:t>CC491K (C83600) / CC492K (≈C92200)</w:t>
            </w:r>
          </w:p>
        </w:tc>
      </w:tr>
      <w:tr>
        <w:trPr>
          <w:cantSplit/>
        </w:trPr>
        <w:tc>
          <w:tcPr>
            <w:tcW w:type="dxa" w:w="2494"/>
            <w:shd w:val="clear" w:color="auto" w:fill="F7F4EE"/>
            <w:vAlign w:val="top"/>
          </w:tcPr>
          <w:p>
            <w:pPr>
              <w:spacing w:after="0" w:line="240" w:lineRule="auto"/>
            </w:pPr>
            <w:r>
              <w:rPr>
                <w:color w:val="2B2F36"/>
                <w:sz w:val="16"/>
              </w:rPr>
              <w:t>Engine &amp; compressor</w:t>
            </w:r>
          </w:p>
        </w:tc>
        <w:tc>
          <w:tcPr>
            <w:tcW w:type="dxa" w:w="1361"/>
            <w:shd w:val="clear" w:color="auto" w:fill="F7F4EE"/>
            <w:vAlign w:val="top"/>
          </w:tcPr>
          <w:p>
            <w:pPr>
              <w:spacing w:after="0" w:line="240" w:lineRule="auto"/>
              <w:jc w:val="center"/>
            </w:pPr>
            <w:r>
              <w:rPr>
                <w:color w:val="2B2F36"/>
                <w:sz w:val="16"/>
              </w:rPr>
              <w:t>1.5 %</w:t>
            </w:r>
          </w:p>
        </w:tc>
        <w:tc>
          <w:tcPr>
            <w:tcW w:type="dxa" w:w="1361"/>
            <w:shd w:val="clear" w:color="auto" w:fill="F7F4EE"/>
            <w:vAlign w:val="top"/>
          </w:tcPr>
          <w:p>
            <w:pPr>
              <w:spacing w:after="0" w:line="240" w:lineRule="auto"/>
              <w:jc w:val="center"/>
            </w:pPr>
            <w:r>
              <w:rPr>
                <w:color w:val="2B2F36"/>
                <w:sz w:val="16"/>
              </w:rPr>
              <w:t>1.6 %</w:t>
            </w:r>
          </w:p>
        </w:tc>
        <w:tc>
          <w:tcPr>
            <w:tcW w:type="dxa" w:w="1247"/>
            <w:shd w:val="clear" w:color="auto" w:fill="F7F4EE"/>
            <w:vAlign w:val="top"/>
          </w:tcPr>
          <w:p>
            <w:pPr>
              <w:spacing w:after="0" w:line="240" w:lineRule="auto"/>
              <w:jc w:val="center"/>
            </w:pPr>
            <w:r>
              <w:rPr>
                <w:color w:val="2B2F36"/>
                <w:sz w:val="16"/>
              </w:rPr>
              <w:t>+3</w:t>
            </w:r>
          </w:p>
        </w:tc>
        <w:tc>
          <w:tcPr>
            <w:tcW w:type="dxa" w:w="3288"/>
            <w:shd w:val="clear" w:color="auto" w:fill="F7F4EE"/>
            <w:vAlign w:val="top"/>
          </w:tcPr>
          <w:p>
            <w:pPr>
              <w:spacing w:after="0" w:line="240" w:lineRule="auto"/>
            </w:pPr>
            <w:r>
              <w:rPr>
                <w:color w:val="2B2F36"/>
                <w:sz w:val="16"/>
              </w:rPr>
              <w:t>CC493K (C93200) / CC492K (≈C92200)</w:t>
            </w:r>
          </w:p>
        </w:tc>
      </w:tr>
      <w:tr>
        <w:trPr>
          <w:cantSplit/>
        </w:trPr>
        <w:tc>
          <w:tcPr>
            <w:tcW w:type="dxa" w:w="2494"/>
            <w:vAlign w:val="top"/>
          </w:tcPr>
          <w:p>
            <w:pPr>
              <w:spacing w:after="0" w:line="240" w:lineRule="auto"/>
            </w:pPr>
            <w:r>
              <w:rPr>
                <w:color w:val="2B2F36"/>
                <w:sz w:val="16"/>
              </w:rPr>
              <w:t>Decorative castings</w:t>
            </w:r>
          </w:p>
        </w:tc>
        <w:tc>
          <w:tcPr>
            <w:tcW w:type="dxa" w:w="1361"/>
            <w:vAlign w:val="top"/>
          </w:tcPr>
          <w:p>
            <w:pPr>
              <w:spacing w:after="0" w:line="240" w:lineRule="auto"/>
              <w:jc w:val="center"/>
            </w:pPr>
            <w:r>
              <w:rPr>
                <w:color w:val="2B2F36"/>
                <w:sz w:val="16"/>
              </w:rPr>
              <w:t>1 %</w:t>
            </w:r>
          </w:p>
        </w:tc>
        <w:tc>
          <w:tcPr>
            <w:tcW w:type="dxa" w:w="1361"/>
            <w:vAlign w:val="top"/>
          </w:tcPr>
          <w:p>
            <w:pPr>
              <w:spacing w:after="0" w:line="240" w:lineRule="auto"/>
              <w:jc w:val="center"/>
            </w:pPr>
            <w:r>
              <w:rPr>
                <w:color w:val="2B2F36"/>
                <w:sz w:val="16"/>
              </w:rPr>
              <w:t>0.9 %</w:t>
            </w:r>
          </w:p>
        </w:tc>
        <w:tc>
          <w:tcPr>
            <w:tcW w:type="dxa" w:w="1247"/>
            <w:vAlign w:val="top"/>
          </w:tcPr>
          <w:p>
            <w:pPr>
              <w:spacing w:after="0" w:line="240" w:lineRule="auto"/>
              <w:jc w:val="center"/>
            </w:pPr>
            <w:r>
              <w:rPr>
                <w:color w:val="2B2F36"/>
                <w:sz w:val="16"/>
              </w:rPr>
              <w:t>+2</w:t>
            </w:r>
          </w:p>
        </w:tc>
        <w:tc>
          <w:tcPr>
            <w:tcW w:type="dxa" w:w="3288"/>
            <w:vAlign w:val="top"/>
          </w:tcPr>
          <w:p>
            <w:pPr>
              <w:spacing w:after="0" w:line="240" w:lineRule="auto"/>
            </w:pPr>
            <w:r>
              <w:rPr>
                <w:color w:val="2B2F36"/>
                <w:sz w:val="16"/>
              </w:rPr>
              <w:t>CC490K (C84400) / CC491K (C83600)</w:t>
            </w:r>
          </w:p>
        </w:tc>
      </w:tr>
      <w:tr>
        <w:trPr>
          <w:cantSplit/>
        </w:trPr>
        <w:tc>
          <w:tcPr>
            <w:tcW w:type="dxa" w:w="2494"/>
            <w:shd w:val="clear" w:color="auto" w:fill="F7F4EE"/>
            <w:vAlign w:val="top"/>
          </w:tcPr>
          <w:p>
            <w:pPr>
              <w:spacing w:after="0" w:line="240" w:lineRule="auto"/>
            </w:pPr>
            <w:r>
              <w:rPr>
                <w:color w:val="2B2F36"/>
                <w:sz w:val="16"/>
              </w:rPr>
              <w:t>Earthing &amp; electrical</w:t>
            </w:r>
          </w:p>
        </w:tc>
        <w:tc>
          <w:tcPr>
            <w:tcW w:type="dxa" w:w="1361"/>
            <w:shd w:val="clear" w:color="auto" w:fill="F7F4EE"/>
            <w:vAlign w:val="top"/>
          </w:tcPr>
          <w:p>
            <w:pPr>
              <w:spacing w:after="0" w:line="240" w:lineRule="auto"/>
              <w:jc w:val="center"/>
            </w:pPr>
            <w:r>
              <w:rPr>
                <w:color w:val="2B2F36"/>
                <w:sz w:val="16"/>
              </w:rPr>
              <w:t>1 %</w:t>
            </w:r>
          </w:p>
        </w:tc>
        <w:tc>
          <w:tcPr>
            <w:tcW w:type="dxa" w:w="1361"/>
            <w:shd w:val="clear" w:color="auto" w:fill="F7F4EE"/>
            <w:vAlign w:val="top"/>
          </w:tcPr>
          <w:p>
            <w:pPr>
              <w:spacing w:after="0" w:line="240" w:lineRule="auto"/>
              <w:jc w:val="center"/>
            </w:pPr>
            <w:r>
              <w:rPr>
                <w:color w:val="2B2F36"/>
                <w:sz w:val="16"/>
              </w:rPr>
              <w:t>1.0 %</w:t>
            </w:r>
          </w:p>
        </w:tc>
        <w:tc>
          <w:tcPr>
            <w:tcW w:type="dxa" w:w="1247"/>
            <w:shd w:val="clear" w:color="auto" w:fill="F7F4EE"/>
            <w:vAlign w:val="top"/>
          </w:tcPr>
          <w:p>
            <w:pPr>
              <w:spacing w:after="0" w:line="240" w:lineRule="auto"/>
              <w:jc w:val="center"/>
            </w:pPr>
            <w:r>
              <w:rPr>
                <w:color w:val="2B2F36"/>
                <w:sz w:val="16"/>
              </w:rPr>
              <w:t>+5</w:t>
            </w:r>
          </w:p>
        </w:tc>
        <w:tc>
          <w:tcPr>
            <w:tcW w:type="dxa" w:w="3288"/>
            <w:shd w:val="clear" w:color="auto" w:fill="F7F4EE"/>
            <w:vAlign w:val="top"/>
          </w:tcPr>
          <w:p>
            <w:pPr>
              <w:spacing w:after="0" w:line="240" w:lineRule="auto"/>
            </w:pPr>
            <w:r>
              <w:rPr>
                <w:color w:val="2B2F36"/>
                <w:sz w:val="16"/>
              </w:rPr>
              <w:t>CC491K (C83600) / CC490K (C84400)</w:t>
            </w:r>
          </w:p>
        </w:tc>
      </w:tr>
      <w:tr>
        <w:trPr>
          <w:cantSplit/>
        </w:trPr>
        <w:tc>
          <w:tcPr>
            <w:tcW w:type="dxa" w:w="2494"/>
            <w:vAlign w:val="top"/>
          </w:tcPr>
          <w:p>
            <w:pPr>
              <w:spacing w:after="0" w:line="240" w:lineRule="auto"/>
            </w:pPr>
            <w:r>
              <w:rPr>
                <w:color w:val="2B2F36"/>
                <w:sz w:val="16"/>
              </w:rPr>
              <w:t>Hydro &amp; irrigation</w:t>
            </w:r>
          </w:p>
        </w:tc>
        <w:tc>
          <w:tcPr>
            <w:tcW w:type="dxa" w:w="1361"/>
            <w:vAlign w:val="top"/>
          </w:tcPr>
          <w:p>
            <w:pPr>
              <w:spacing w:after="0" w:line="240" w:lineRule="auto"/>
              <w:jc w:val="center"/>
            </w:pPr>
            <w:r>
              <w:rPr>
                <w:color w:val="2B2F36"/>
                <w:sz w:val="16"/>
              </w:rPr>
              <w:t>1 %</w:t>
            </w:r>
          </w:p>
        </w:tc>
        <w:tc>
          <w:tcPr>
            <w:tcW w:type="dxa" w:w="1361"/>
            <w:vAlign w:val="top"/>
          </w:tcPr>
          <w:p>
            <w:pPr>
              <w:spacing w:after="0" w:line="240" w:lineRule="auto"/>
              <w:jc w:val="center"/>
            </w:pPr>
            <w:r>
              <w:rPr>
                <w:color w:val="2B2F36"/>
                <w:sz w:val="16"/>
              </w:rPr>
              <w:t>1.0 %</w:t>
            </w:r>
          </w:p>
        </w:tc>
        <w:tc>
          <w:tcPr>
            <w:tcW w:type="dxa" w:w="1247"/>
            <w:vAlign w:val="top"/>
          </w:tcPr>
          <w:p>
            <w:pPr>
              <w:spacing w:after="0" w:line="240" w:lineRule="auto"/>
              <w:jc w:val="center"/>
            </w:pPr>
            <w:r>
              <w:rPr>
                <w:color w:val="2B2F36"/>
                <w:sz w:val="16"/>
              </w:rPr>
              <w:t>+6</w:t>
            </w:r>
          </w:p>
        </w:tc>
        <w:tc>
          <w:tcPr>
            <w:tcW w:type="dxa" w:w="3288"/>
            <w:vAlign w:val="top"/>
          </w:tcPr>
          <w:p>
            <w:pPr>
              <w:spacing w:after="0" w:line="240" w:lineRule="auto"/>
            </w:pPr>
            <w:r>
              <w:rPr>
                <w:color w:val="2B2F36"/>
                <w:sz w:val="16"/>
              </w:rPr>
              <w:t>CC491K (C83600) / CC493K (C93200)</w:t>
            </w:r>
          </w:p>
        </w:tc>
      </w:tr>
      <w:tr>
        <w:trPr>
          <w:cantSplit/>
        </w:trPr>
        <w:tc>
          <w:tcPr>
            <w:tcW w:type="dxa" w:w="2494"/>
            <w:shd w:val="clear" w:color="auto" w:fill="F7F4EE"/>
            <w:vAlign w:val="top"/>
          </w:tcPr>
          <w:p>
            <w:pPr>
              <w:spacing w:after="0" w:line="240" w:lineRule="auto"/>
            </w:pPr>
            <w:r>
              <w:rPr>
                <w:color w:val="2B2F36"/>
                <w:sz w:val="16"/>
              </w:rPr>
              <w:t>Defence &amp; naval</w:t>
            </w:r>
          </w:p>
        </w:tc>
        <w:tc>
          <w:tcPr>
            <w:tcW w:type="dxa" w:w="1361"/>
            <w:shd w:val="clear" w:color="auto" w:fill="F7F4EE"/>
            <w:vAlign w:val="top"/>
          </w:tcPr>
          <w:p>
            <w:pPr>
              <w:spacing w:after="0" w:line="240" w:lineRule="auto"/>
              <w:jc w:val="center"/>
            </w:pPr>
            <w:r>
              <w:rPr>
                <w:color w:val="2B2F36"/>
                <w:sz w:val="16"/>
              </w:rPr>
              <w:t>0.5 %</w:t>
            </w:r>
          </w:p>
        </w:tc>
        <w:tc>
          <w:tcPr>
            <w:tcW w:type="dxa" w:w="1361"/>
            <w:shd w:val="clear" w:color="auto" w:fill="F7F4EE"/>
            <w:vAlign w:val="top"/>
          </w:tcPr>
          <w:p>
            <w:pPr>
              <w:spacing w:after="0" w:line="240" w:lineRule="auto"/>
              <w:jc w:val="center"/>
            </w:pPr>
            <w:r>
              <w:rPr>
                <w:color w:val="2B2F36"/>
                <w:sz w:val="16"/>
              </w:rPr>
              <w:t>0.5 %</w:t>
            </w:r>
          </w:p>
        </w:tc>
        <w:tc>
          <w:tcPr>
            <w:tcW w:type="dxa" w:w="1247"/>
            <w:shd w:val="clear" w:color="auto" w:fill="F7F4EE"/>
            <w:vAlign w:val="top"/>
          </w:tcPr>
          <w:p>
            <w:pPr>
              <w:spacing w:after="0" w:line="240" w:lineRule="auto"/>
              <w:jc w:val="center"/>
            </w:pPr>
            <w:r>
              <w:rPr>
                <w:color w:val="2B2F36"/>
                <w:sz w:val="16"/>
              </w:rPr>
              <w:t>+8</w:t>
            </w:r>
          </w:p>
        </w:tc>
        <w:tc>
          <w:tcPr>
            <w:tcW w:type="dxa" w:w="3288"/>
            <w:shd w:val="clear" w:color="auto" w:fill="F7F4EE"/>
            <w:vAlign w:val="top"/>
          </w:tcPr>
          <w:p>
            <w:pPr>
              <w:spacing w:after="0" w:line="240" w:lineRule="auto"/>
            </w:pPr>
            <w:r>
              <w:rPr>
                <w:color w:val="2B2F36"/>
                <w:sz w:val="16"/>
              </w:rPr>
              <w:t>CC492K (≈C92200) / CC491K (C83600)</w:t>
            </w:r>
          </w:p>
        </w:tc>
      </w:tr>
      <w:tr>
        <w:trPr>
          <w:cantSplit/>
        </w:trPr>
        <w:tc>
          <w:tcPr>
            <w:tcW w:type="dxa" w:w="2494"/>
            <w:vAlign w:val="top"/>
          </w:tcPr>
          <w:p>
            <w:pPr>
              <w:spacing w:after="0" w:line="240" w:lineRule="auto"/>
            </w:pPr>
            <w:r>
              <w:rPr>
                <w:color w:val="2B2F36"/>
                <w:sz w:val="16"/>
              </w:rPr>
              <w:t>Instruments &amp; gauges</w:t>
            </w:r>
          </w:p>
        </w:tc>
        <w:tc>
          <w:tcPr>
            <w:tcW w:type="dxa" w:w="1361"/>
            <w:vAlign w:val="top"/>
          </w:tcPr>
          <w:p>
            <w:pPr>
              <w:spacing w:after="0" w:line="240" w:lineRule="auto"/>
              <w:jc w:val="center"/>
            </w:pPr>
            <w:r>
              <w:rPr>
                <w:color w:val="2B2F36"/>
                <w:sz w:val="16"/>
              </w:rPr>
              <w:t>0.5 %</w:t>
            </w:r>
          </w:p>
        </w:tc>
        <w:tc>
          <w:tcPr>
            <w:tcW w:type="dxa" w:w="1361"/>
            <w:vAlign w:val="top"/>
          </w:tcPr>
          <w:p>
            <w:pPr>
              <w:spacing w:after="0" w:line="240" w:lineRule="auto"/>
              <w:jc w:val="center"/>
            </w:pPr>
            <w:r>
              <w:rPr>
                <w:color w:val="2B2F36"/>
                <w:sz w:val="16"/>
              </w:rPr>
              <w:t>0.5 %</w:t>
            </w:r>
          </w:p>
        </w:tc>
        <w:tc>
          <w:tcPr>
            <w:tcW w:type="dxa" w:w="1247"/>
            <w:vAlign w:val="top"/>
          </w:tcPr>
          <w:p>
            <w:pPr>
              <w:spacing w:after="0" w:line="240" w:lineRule="auto"/>
              <w:jc w:val="center"/>
            </w:pPr>
            <w:r>
              <w:rPr>
                <w:color w:val="2B2F36"/>
                <w:sz w:val="16"/>
              </w:rPr>
              <w:t>+3</w:t>
            </w:r>
          </w:p>
        </w:tc>
        <w:tc>
          <w:tcPr>
            <w:tcW w:type="dxa" w:w="3288"/>
            <w:vAlign w:val="top"/>
          </w:tcPr>
          <w:p>
            <w:pPr>
              <w:spacing w:after="0" w:line="240" w:lineRule="auto"/>
            </w:pPr>
            <w:r>
              <w:rPr>
                <w:color w:val="2B2F36"/>
                <w:sz w:val="16"/>
              </w:rPr>
              <w:t>CC491K (C83600) / CC490K (C84400)</w:t>
            </w:r>
          </w:p>
        </w:tc>
      </w:tr>
      <w:tr>
        <w:trPr>
          <w:cantSplit/>
        </w:trPr>
        <w:tc>
          <w:tcPr>
            <w:tcW w:type="dxa" w:w="2494"/>
            <w:shd w:val="clear" w:color="auto" w:fill="F7F4EE"/>
            <w:vAlign w:val="top"/>
          </w:tcPr>
          <w:p>
            <w:pPr>
              <w:spacing w:after="0" w:line="240" w:lineRule="auto"/>
            </w:pPr>
            <w:r>
              <w:rPr>
                <w:color w:val="2B2F36"/>
                <w:sz w:val="16"/>
              </w:rPr>
              <w:t>Other</w:t>
            </w:r>
          </w:p>
        </w:tc>
        <w:tc>
          <w:tcPr>
            <w:tcW w:type="dxa" w:w="1361"/>
            <w:shd w:val="clear" w:color="auto" w:fill="F7F4EE"/>
            <w:vAlign w:val="top"/>
          </w:tcPr>
          <w:p>
            <w:pPr>
              <w:spacing w:after="0" w:line="240" w:lineRule="auto"/>
              <w:jc w:val="center"/>
            </w:pPr>
            <w:r>
              <w:rPr>
                <w:color w:val="2B2F36"/>
                <w:sz w:val="16"/>
              </w:rPr>
              <w:t>1 %</w:t>
            </w:r>
          </w:p>
        </w:tc>
        <w:tc>
          <w:tcPr>
            <w:tcW w:type="dxa" w:w="1361"/>
            <w:shd w:val="clear" w:color="auto" w:fill="F7F4EE"/>
            <w:vAlign w:val="top"/>
          </w:tcPr>
          <w:p>
            <w:pPr>
              <w:spacing w:after="0" w:line="240" w:lineRule="auto"/>
              <w:jc w:val="center"/>
            </w:pPr>
            <w:r>
              <w:rPr>
                <w:color w:val="2B2F36"/>
                <w:sz w:val="16"/>
              </w:rPr>
              <w:t>1.0 %</w:t>
            </w:r>
          </w:p>
        </w:tc>
        <w:tc>
          <w:tcPr>
            <w:tcW w:type="dxa" w:w="1247"/>
            <w:shd w:val="clear" w:color="auto" w:fill="F7F4EE"/>
            <w:vAlign w:val="top"/>
          </w:tcPr>
          <w:p>
            <w:pPr>
              <w:spacing w:after="0" w:line="240" w:lineRule="auto"/>
              <w:jc w:val="center"/>
            </w:pPr>
            <w:r>
              <w:rPr>
                <w:color w:val="2B2F36"/>
                <w:sz w:val="16"/>
              </w:rPr>
              <w:t>+3</w:t>
            </w:r>
          </w:p>
        </w:tc>
        <w:tc>
          <w:tcPr>
            <w:tcW w:type="dxa" w:w="3288"/>
            <w:shd w:val="clear" w:color="auto" w:fill="F7F4EE"/>
            <w:vAlign w:val="top"/>
          </w:tcPr>
          <w:p>
            <w:pPr>
              <w:spacing w:after="0" w:line="240" w:lineRule="auto"/>
            </w:pPr>
            <w:r>
              <w:rPr>
                <w:color w:val="2B2F36"/>
                <w:sz w:val="16"/>
              </w:rPr>
              <w:t>CC491K (C83600) / CC490K (C84400)</w:t>
            </w:r>
          </w:p>
        </w:tc>
      </w:tr>
    </w:tbl>
    <w:p>
      <w:pPr>
        <w:spacing w:after="40"/>
      </w:pPr>
    </w:p>
    <w:p>
      <w:pPr>
        <w:pStyle w:val="Heading2"/>
      </w:pPr>
      <w:r>
        <w:t>7.3 Growth: who adds demand, and the 2030 picture</w:t>
      </w:r>
    </w:p>
    <w:p>
      <w:pPr>
        <w:keepNext/>
        <w:spacing w:after="40"/>
        <w:jc w:val="center"/>
      </w:pPr>
      <w:r>
        <w:drawing>
          <wp:inline xmlns:a="http://schemas.openxmlformats.org/drawingml/2006/main" xmlns:pic="http://schemas.openxmlformats.org/drawingml/2006/picture">
            <wp:extent cx="6192000" cy="2867691"/>
            <wp:docPr id="23" name="Picture 23"/>
            <wp:cNvGraphicFramePr>
              <a:graphicFrameLocks noChangeAspect="1"/>
            </wp:cNvGraphicFramePr>
            <a:graphic>
              <a:graphicData uri="http://schemas.openxmlformats.org/drawingml/2006/picture">
                <pic:pic>
                  <pic:nvPicPr>
                    <pic:cNvPr id="0" name="d04.png"/>
                    <pic:cNvPicPr/>
                  </pic:nvPicPr>
                  <pic:blipFill>
                    <a:blip r:embed="rId33"/>
                    <a:stretch>
                      <a:fillRect/>
                    </a:stretch>
                  </pic:blipFill>
                  <pic:spPr>
                    <a:xfrm>
                      <a:off x="0" y="0"/>
                      <a:ext cx="6192000" cy="2867691"/>
                    </a:xfrm>
                    <a:prstGeom prst="rect"/>
                  </pic:spPr>
                </pic:pic>
              </a:graphicData>
            </a:graphic>
          </wp:inline>
        </w:drawing>
      </w:r>
    </w:p>
    <w:p>
      <w:pPr>
        <w:spacing w:after="160"/>
      </w:pPr>
      <w:r>
        <w:rPr>
          <w:b/>
          <w:color w:val="5B6470"/>
          <w:sz w:val="17"/>
        </w:rPr>
        <w:t>Figure 23.</w:t>
      </w:r>
      <w:r>
        <w:rPr>
          <w:color w:val="5B6470"/>
          <w:sz w:val="17"/>
        </w:rPr>
        <w:t xml:space="preserve"> Left: each application's contribution to total demand growth (share × growth). Right: change in share of tonnes 2025→2030 if each application grows at its expected rate.</w:t>
      </w:r>
    </w:p>
    <w:p>
      <w:pPr>
        <w:pStyle w:val="ListBullet"/>
      </w:pPr>
      <w:r>
        <w:t xml:space="preserve">The share-weighted growth of the six grades is </w:t>
      </w:r>
      <w:r>
        <w:rPr>
          <w:b/>
        </w:rPr>
        <w:t>4.2 %/yr</w:t>
      </w:r>
      <w:r>
        <w:t>, which matches the market-average line used in earlier charts.</w:t>
      </w:r>
    </w:p>
    <w:p>
      <w:pPr>
        <w:pStyle w:val="ListBullet"/>
      </w:pPr>
      <w:r>
        <w:rPr>
          <w:b/>
        </w:rPr>
        <w:t>Valves</w:t>
      </w:r>
      <w:r>
        <w:t xml:space="preserve"> add the most growth (1.26 points) and gain 1.8 points of share by 2030; </w:t>
      </w:r>
      <w:r>
        <w:rPr>
          <w:b/>
        </w:rPr>
        <w:t>bushes</w:t>
      </w:r>
      <w:r>
        <w:t xml:space="preserve"> add 1.25 points and gain 0.9; </w:t>
      </w:r>
      <w:r>
        <w:rPr>
          <w:b/>
        </w:rPr>
        <w:t>pumps</w:t>
      </w:r>
      <w:r>
        <w:t xml:space="preserve">, growing at 3 %, lose 1.6 points; </w:t>
      </w:r>
      <w:r>
        <w:rPr>
          <w:b/>
        </w:rPr>
        <w:t>plumbing hardware</w:t>
      </w:r>
      <w:r>
        <w:t xml:space="preserve"> shrinks and loses 1.2.</w:t>
      </w:r>
    </w:p>
    <w:p>
      <w:pPr>
        <w:pStyle w:val="ListBullet"/>
      </w:pPr>
      <w:r>
        <w:rPr>
          <w:b/>
        </w:rPr>
        <w:t>Fire-fighting hardware</w:t>
      </w:r>
      <w:r>
        <w:t xml:space="preserve"> (+7 %/yr) is the fastest-growing sizeable niche: 3.5 % of tonnes now, 4.0 % in 2030.</w:t>
      </w:r>
    </w:p>
    <w:p>
      <w:pPr>
        <w:pStyle w:val="ListBullet"/>
      </w:pPr>
      <w:r>
        <w:t>Grade shares in 2030 (computed): CC490K 9 %, CC491K 41 %, CC492K 11 %, CC493K 20 %, CC494K 7 %, CC495K 12 %. CC491K and CC493K stay about 60 % of demand.</w:t>
      </w:r>
    </w:p>
    <w:p>
      <w:r>
        <w:br w:type="page"/>
      </w:r>
    </w:p>
    <w:p>
      <w:pPr>
        <w:pStyle w:val="Heading1"/>
      </w:pPr>
      <w:r>
        <w:t>8. Applications deep dive: what each use needs, and which grade fits</w:t>
      </w:r>
    </w:p>
    <w:p>
      <w:r>
        <w:t xml:space="preserve">Rev 5 chose grades for each use with a qualitative heatmap. Rev 6 makes the choice explicit and auditable in three steps: </w:t>
      </w:r>
      <w:r>
        <w:rPr>
          <w:b/>
        </w:rPr>
        <w:t>(1)</w:t>
      </w:r>
      <w:r>
        <w:t xml:space="preserve"> score each grade 1–5 on eight properties using the verified data; </w:t>
      </w:r>
      <w:r>
        <w:rPr>
          <w:b/>
        </w:rPr>
        <w:t>(2)</w:t>
      </w:r>
      <w:r>
        <w:t xml:space="preserve"> state what each use needs as requirement weights; </w:t>
      </w:r>
      <w:r>
        <w:rPr>
          <w:b/>
        </w:rPr>
        <w:t>(3)</w:t>
      </w:r>
      <w:r>
        <w:t xml:space="preserve"> multiply and add. For bearing and gear uses, a grade is eligible only if it is a true bearing or high-tin alloy (lead and tin thresholds below).</w:t>
      </w:r>
    </w:p>
    <w:p>
      <w:pPr>
        <w:pStyle w:val="Heading2"/>
      </w:pPr>
      <w:r>
        <w:t>8.1 Step 1: grade property scores</w:t>
      </w:r>
    </w:p>
    <w:p>
      <w:pPr>
        <w:keepNext/>
        <w:spacing w:after="40"/>
      </w:pPr>
      <w:r>
        <w:rPr>
          <w:b/>
          <w:color w:val="5B6470"/>
          <w:sz w:val="18"/>
        </w:rPr>
        <w:t>Table 16.</w:t>
      </w:r>
      <w:r>
        <w:rPr>
          <w:color w:val="5B6470"/>
          <w:sz w:val="18"/>
        </w:rPr>
        <w:t xml:space="preserve"> How the eight property scores are set</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587"/>
        <w:gridCol w:w="4082"/>
        <w:gridCol w:w="4082"/>
      </w:tblGrid>
      <w:tr>
        <w:trPr>
          <w:cantSplit/>
          <w:tblHeader/>
        </w:trPr>
        <w:tc>
          <w:tcPr>
            <w:tcW w:type="dxa" w:w="1587"/>
            <w:shd w:val="clear" w:color="auto" w:fill="1F4E79"/>
            <w:vAlign w:val="center"/>
          </w:tcPr>
          <w:p>
            <w:pPr>
              <w:spacing w:after="0" w:line="240" w:lineRule="auto"/>
            </w:pPr>
            <w:r>
              <w:rPr>
                <w:b/>
                <w:color w:val="FFFFFF"/>
                <w:sz w:val="16"/>
              </w:rPr>
              <w:t>Property</w:t>
            </w:r>
          </w:p>
        </w:tc>
        <w:tc>
          <w:tcPr>
            <w:tcW w:type="dxa" w:w="4082"/>
            <w:shd w:val="clear" w:color="auto" w:fill="1F4E79"/>
            <w:vAlign w:val="center"/>
          </w:tcPr>
          <w:p>
            <w:pPr>
              <w:spacing w:after="0" w:line="240" w:lineRule="auto"/>
            </w:pPr>
            <w:r>
              <w:rPr>
                <w:b/>
                <w:color w:val="FFFFFF"/>
                <w:sz w:val="16"/>
              </w:rPr>
              <w:t>Rule (score 1–5)</w:t>
            </w:r>
          </w:p>
        </w:tc>
        <w:tc>
          <w:tcPr>
            <w:tcW w:type="dxa" w:w="4082"/>
            <w:shd w:val="clear" w:color="auto" w:fill="1F4E79"/>
            <w:vAlign w:val="center"/>
          </w:tcPr>
          <w:p>
            <w:pPr>
              <w:spacing w:after="0" w:line="240" w:lineRule="auto"/>
            </w:pPr>
            <w:r>
              <w:rPr>
                <w:b/>
                <w:color w:val="FFFFFF"/>
                <w:sz w:val="16"/>
              </w:rPr>
              <w:t>Basis</w:t>
            </w:r>
          </w:p>
        </w:tc>
      </w:tr>
      <w:tr>
        <w:trPr>
          <w:cantSplit/>
        </w:trPr>
        <w:tc>
          <w:tcPr>
            <w:tcW w:type="dxa" w:w="1587"/>
            <w:vAlign w:val="top"/>
          </w:tcPr>
          <w:p>
            <w:pPr>
              <w:spacing w:after="0" w:line="240" w:lineRule="auto"/>
            </w:pPr>
            <w:r>
              <w:rPr>
                <w:color w:val="2B2F36"/>
                <w:sz w:val="16"/>
              </w:rPr>
              <w:t>Strength</w:t>
            </w:r>
          </w:p>
        </w:tc>
        <w:tc>
          <w:tcPr>
            <w:tcW w:type="dxa" w:w="4082"/>
            <w:vAlign w:val="top"/>
          </w:tcPr>
          <w:p>
            <w:pPr>
              <w:spacing w:after="0" w:line="240" w:lineRule="auto"/>
            </w:pPr>
            <w:r>
              <w:rPr>
                <w:color w:val="2B2F36"/>
                <w:sz w:val="16"/>
              </w:rPr>
              <w:t>1 + 4 × (Rm − 180)/90 using GC Rm</w:t>
            </w:r>
          </w:p>
        </w:tc>
        <w:tc>
          <w:tcPr>
            <w:tcW w:type="dxa" w:w="4082"/>
            <w:vAlign w:val="top"/>
          </w:tcPr>
          <w:p>
            <w:pPr>
              <w:spacing w:after="0" w:line="240" w:lineRule="auto"/>
            </w:pPr>
            <w:r>
              <w:rPr>
                <w:color w:val="2B2F36"/>
                <w:sz w:val="16"/>
              </w:rPr>
              <w:t>Verified EN 1982 minimum</w:t>
            </w:r>
          </w:p>
        </w:tc>
      </w:tr>
      <w:tr>
        <w:trPr>
          <w:cantSplit/>
        </w:trPr>
        <w:tc>
          <w:tcPr>
            <w:tcW w:type="dxa" w:w="1587"/>
            <w:shd w:val="clear" w:color="auto" w:fill="F7F4EE"/>
            <w:vAlign w:val="top"/>
          </w:tcPr>
          <w:p>
            <w:pPr>
              <w:spacing w:after="0" w:line="240" w:lineRule="auto"/>
            </w:pPr>
            <w:r>
              <w:rPr>
                <w:color w:val="2B2F36"/>
                <w:sz w:val="16"/>
              </w:rPr>
              <w:t>Ductility</w:t>
            </w:r>
          </w:p>
        </w:tc>
        <w:tc>
          <w:tcPr>
            <w:tcW w:type="dxa" w:w="4082"/>
            <w:shd w:val="clear" w:color="auto" w:fill="F7F4EE"/>
            <w:vAlign w:val="top"/>
          </w:tcPr>
          <w:p>
            <w:pPr>
              <w:spacing w:after="0" w:line="240" w:lineRule="auto"/>
            </w:pPr>
            <w:r>
              <w:rPr>
                <w:color w:val="2B2F36"/>
                <w:sz w:val="16"/>
              </w:rPr>
              <w:t>1 + 4 × (A − 6)/7 using GC elongation</w:t>
            </w:r>
          </w:p>
        </w:tc>
        <w:tc>
          <w:tcPr>
            <w:tcW w:type="dxa" w:w="4082"/>
            <w:shd w:val="clear" w:color="auto" w:fill="F7F4EE"/>
            <w:vAlign w:val="top"/>
          </w:tcPr>
          <w:p>
            <w:pPr>
              <w:spacing w:after="0" w:line="240" w:lineRule="auto"/>
            </w:pPr>
            <w:r>
              <w:rPr>
                <w:color w:val="2B2F36"/>
                <w:sz w:val="16"/>
              </w:rPr>
              <w:t>Verified EN 1982 minimum</w:t>
            </w:r>
          </w:p>
        </w:tc>
      </w:tr>
      <w:tr>
        <w:trPr>
          <w:cantSplit/>
        </w:trPr>
        <w:tc>
          <w:tcPr>
            <w:tcW w:type="dxa" w:w="1587"/>
            <w:vAlign w:val="top"/>
          </w:tcPr>
          <w:p>
            <w:pPr>
              <w:spacing w:after="0" w:line="240" w:lineRule="auto"/>
            </w:pPr>
            <w:r>
              <w:rPr>
                <w:color w:val="2B2F36"/>
                <w:sz w:val="16"/>
              </w:rPr>
              <w:t>Load capacity</w:t>
            </w:r>
          </w:p>
        </w:tc>
        <w:tc>
          <w:tcPr>
            <w:tcW w:type="dxa" w:w="4082"/>
            <w:vAlign w:val="top"/>
          </w:tcPr>
          <w:p>
            <w:pPr>
              <w:spacing w:after="0" w:line="240" w:lineRule="auto"/>
            </w:pPr>
            <w:r>
              <w:rPr>
                <w:color w:val="2B2F36"/>
                <w:sz w:val="16"/>
              </w:rPr>
              <w:t>0.5 × tin % (cap 5)</w:t>
            </w:r>
          </w:p>
        </w:tc>
        <w:tc>
          <w:tcPr>
            <w:tcW w:type="dxa" w:w="4082"/>
            <w:vAlign w:val="top"/>
          </w:tcPr>
          <w:p>
            <w:pPr>
              <w:spacing w:after="0" w:line="240" w:lineRule="auto"/>
            </w:pPr>
            <w:r>
              <w:rPr>
                <w:color w:val="2B2F36"/>
                <w:sz w:val="16"/>
              </w:rPr>
              <w:t>Tin forms the hard delta phase</w:t>
            </w:r>
          </w:p>
        </w:tc>
      </w:tr>
      <w:tr>
        <w:trPr>
          <w:cantSplit/>
        </w:trPr>
        <w:tc>
          <w:tcPr>
            <w:tcW w:type="dxa" w:w="1587"/>
            <w:shd w:val="clear" w:color="auto" w:fill="F7F4EE"/>
            <w:vAlign w:val="top"/>
          </w:tcPr>
          <w:p>
            <w:pPr>
              <w:spacing w:after="0" w:line="240" w:lineRule="auto"/>
            </w:pPr>
            <w:r>
              <w:rPr>
                <w:color w:val="2B2F36"/>
                <w:sz w:val="16"/>
              </w:rPr>
              <w:t>Emergency running</w:t>
            </w:r>
          </w:p>
        </w:tc>
        <w:tc>
          <w:tcPr>
            <w:tcW w:type="dxa" w:w="4082"/>
            <w:shd w:val="clear" w:color="auto" w:fill="F7F4EE"/>
            <w:vAlign w:val="top"/>
          </w:tcPr>
          <w:p>
            <w:pPr>
              <w:spacing w:after="0" w:line="240" w:lineRule="auto"/>
            </w:pPr>
            <w:r>
              <w:rPr>
                <w:color w:val="2B2F36"/>
                <w:sz w:val="16"/>
              </w:rPr>
              <w:t>0.5 × lead % (cap 5)</w:t>
            </w:r>
          </w:p>
        </w:tc>
        <w:tc>
          <w:tcPr>
            <w:tcW w:type="dxa" w:w="4082"/>
            <w:shd w:val="clear" w:color="auto" w:fill="F7F4EE"/>
            <w:vAlign w:val="top"/>
          </w:tcPr>
          <w:p>
            <w:pPr>
              <w:spacing w:after="0" w:line="240" w:lineRule="auto"/>
            </w:pPr>
            <w:r>
              <w:rPr>
                <w:color w:val="2B2F36"/>
                <w:sz w:val="16"/>
              </w:rPr>
              <w:t>Lead smears if the oil film fails</w:t>
            </w:r>
          </w:p>
        </w:tc>
      </w:tr>
      <w:tr>
        <w:trPr>
          <w:cantSplit/>
        </w:trPr>
        <w:tc>
          <w:tcPr>
            <w:tcW w:type="dxa" w:w="1587"/>
            <w:vAlign w:val="top"/>
          </w:tcPr>
          <w:p>
            <w:pPr>
              <w:spacing w:after="0" w:line="240" w:lineRule="auto"/>
            </w:pPr>
            <w:r>
              <w:rPr>
                <w:color w:val="2B2F36"/>
                <w:sz w:val="16"/>
              </w:rPr>
              <w:t>Machinability</w:t>
            </w:r>
          </w:p>
        </w:tc>
        <w:tc>
          <w:tcPr>
            <w:tcW w:type="dxa" w:w="4082"/>
            <w:vAlign w:val="top"/>
          </w:tcPr>
          <w:p>
            <w:pPr>
              <w:spacing w:after="0" w:line="240" w:lineRule="auto"/>
            </w:pPr>
            <w:r>
              <w:rPr>
                <w:color w:val="2B2F36"/>
                <w:sz w:val="16"/>
              </w:rPr>
              <w:t>1 + 4 × (index − 40)/60</w:t>
            </w:r>
          </w:p>
        </w:tc>
        <w:tc>
          <w:tcPr>
            <w:tcW w:type="dxa" w:w="4082"/>
            <w:vAlign w:val="top"/>
          </w:tcPr>
          <w:p>
            <w:pPr>
              <w:spacing w:after="0" w:line="240" w:lineRule="auto"/>
            </w:pPr>
            <w:r>
              <w:rPr>
                <w:color w:val="2B2F36"/>
                <w:sz w:val="16"/>
              </w:rPr>
              <w:t>copper.org indices of nearest UNS alloys; CC492K ≈ 50 (est.)</w:t>
            </w:r>
          </w:p>
        </w:tc>
      </w:tr>
      <w:tr>
        <w:trPr>
          <w:cantSplit/>
        </w:trPr>
        <w:tc>
          <w:tcPr>
            <w:tcW w:type="dxa" w:w="1587"/>
            <w:shd w:val="clear" w:color="auto" w:fill="F7F4EE"/>
            <w:vAlign w:val="top"/>
          </w:tcPr>
          <w:p>
            <w:pPr>
              <w:spacing w:after="0" w:line="240" w:lineRule="auto"/>
            </w:pPr>
            <w:r>
              <w:rPr>
                <w:color w:val="2B2F36"/>
                <w:sz w:val="16"/>
              </w:rPr>
              <w:t>Pressure tightness</w:t>
            </w:r>
          </w:p>
        </w:tc>
        <w:tc>
          <w:tcPr>
            <w:tcW w:type="dxa" w:w="4082"/>
            <w:shd w:val="clear" w:color="auto" w:fill="F7F4EE"/>
            <w:vAlign w:val="top"/>
          </w:tcPr>
          <w:p>
            <w:pPr>
              <w:spacing w:after="0" w:line="240" w:lineRule="auto"/>
            </w:pPr>
            <w:r>
              <w:rPr>
                <w:color w:val="2B2F36"/>
                <w:sz w:val="16"/>
              </w:rPr>
              <w:t>Rating 2–5: CC491K and CC493K 5, CC490K and CC492K 4, CC494K 3, CC495K 2</w:t>
            </w:r>
          </w:p>
        </w:tc>
        <w:tc>
          <w:tcPr>
            <w:tcW w:type="dxa" w:w="4082"/>
            <w:shd w:val="clear" w:color="auto" w:fill="F7F4EE"/>
            <w:vAlign w:val="top"/>
          </w:tcPr>
          <w:p>
            <w:pPr>
              <w:spacing w:after="0" w:line="240" w:lineRule="auto"/>
            </w:pPr>
            <w:r>
              <w:rPr>
                <w:color w:val="2B2F36"/>
                <w:sz w:val="16"/>
              </w:rPr>
              <w:t>Judgement from supplier guidance (wide freezing range and lead segregation in the high-lead, high-tin grades)</w:t>
            </w:r>
          </w:p>
        </w:tc>
      </w:tr>
      <w:tr>
        <w:trPr>
          <w:cantSplit/>
        </w:trPr>
        <w:tc>
          <w:tcPr>
            <w:tcW w:type="dxa" w:w="1587"/>
            <w:vAlign w:val="top"/>
          </w:tcPr>
          <w:p>
            <w:pPr>
              <w:spacing w:after="0" w:line="240" w:lineRule="auto"/>
            </w:pPr>
            <w:r>
              <w:rPr>
                <w:color w:val="2B2F36"/>
                <w:sz w:val="16"/>
              </w:rPr>
              <w:t>Corrosion / sea water</w:t>
            </w:r>
          </w:p>
        </w:tc>
        <w:tc>
          <w:tcPr>
            <w:tcW w:type="dxa" w:w="4082"/>
            <w:vAlign w:val="top"/>
          </w:tcPr>
          <w:p>
            <w:pPr>
              <w:spacing w:after="0" w:line="240" w:lineRule="auto"/>
            </w:pPr>
            <w:r>
              <w:rPr>
                <w:color w:val="2B2F36"/>
                <w:sz w:val="16"/>
              </w:rPr>
              <w:t>Rating 3–5: CC492K 5, CC491K/CC493K/CC495K 4, CC490K/CC494K 3</w:t>
            </w:r>
          </w:p>
        </w:tc>
        <w:tc>
          <w:tcPr>
            <w:tcW w:type="dxa" w:w="4082"/>
            <w:vAlign w:val="top"/>
          </w:tcPr>
          <w:p>
            <w:pPr>
              <w:spacing w:after="0" w:line="240" w:lineRule="auto"/>
            </w:pPr>
            <w:r>
              <w:rPr>
                <w:color w:val="2B2F36"/>
                <w:sz w:val="16"/>
              </w:rPr>
              <w:t>Judgement (high zinc and low tin are weaker in sea water)</w:t>
            </w:r>
          </w:p>
        </w:tc>
      </w:tr>
      <w:tr>
        <w:trPr>
          <w:cantSplit/>
        </w:trPr>
        <w:tc>
          <w:tcPr>
            <w:tcW w:type="dxa" w:w="1587"/>
            <w:shd w:val="clear" w:color="auto" w:fill="F7F4EE"/>
            <w:vAlign w:val="top"/>
          </w:tcPr>
          <w:p>
            <w:pPr>
              <w:spacing w:after="0" w:line="240" w:lineRule="auto"/>
            </w:pPr>
            <w:r>
              <w:rPr>
                <w:color w:val="2B2F36"/>
                <w:sz w:val="16"/>
              </w:rPr>
              <w:t>Low metal cost</w:t>
            </w:r>
          </w:p>
        </w:tc>
        <w:tc>
          <w:tcPr>
            <w:tcW w:type="dxa" w:w="4082"/>
            <w:shd w:val="clear" w:color="auto" w:fill="F7F4EE"/>
            <w:vAlign w:val="top"/>
          </w:tcPr>
          <w:p>
            <w:pPr>
              <w:spacing w:after="0" w:line="240" w:lineRule="auto"/>
            </w:pPr>
            <w:r>
              <w:rPr>
                <w:color w:val="2B2F36"/>
                <w:sz w:val="16"/>
              </w:rPr>
              <w:t>5 − 4 × (value − ₹1,353)/(₹1,644 − ₹1,353)</w:t>
            </w:r>
          </w:p>
        </w:tc>
        <w:tc>
          <w:tcPr>
            <w:tcW w:type="dxa" w:w="4082"/>
            <w:shd w:val="clear" w:color="auto" w:fill="F7F4EE"/>
            <w:vAlign w:val="top"/>
          </w:tcPr>
          <w:p>
            <w:pPr>
              <w:spacing w:after="0" w:line="240" w:lineRule="auto"/>
            </w:pPr>
            <w:r>
              <w:rPr>
                <w:color w:val="2B2F36"/>
                <w:sz w:val="16"/>
              </w:rPr>
              <w:t>Computed metal value, Section 6</w:t>
            </w:r>
          </w:p>
        </w:tc>
      </w:tr>
    </w:tbl>
    <w:p>
      <w:pPr>
        <w:spacing w:after="40"/>
      </w:pPr>
    </w:p>
    <w:p>
      <w:pPr>
        <w:keepNext/>
        <w:spacing w:after="40"/>
        <w:jc w:val="center"/>
      </w:pPr>
      <w:r>
        <w:drawing>
          <wp:inline xmlns:a="http://schemas.openxmlformats.org/drawingml/2006/main" xmlns:pic="http://schemas.openxmlformats.org/drawingml/2006/picture">
            <wp:extent cx="5220000" cy="2751138"/>
            <wp:docPr id="24" name="Picture 24"/>
            <wp:cNvGraphicFramePr>
              <a:graphicFrameLocks noChangeAspect="1"/>
            </wp:cNvGraphicFramePr>
            <a:graphic>
              <a:graphicData uri="http://schemas.openxmlformats.org/drawingml/2006/picture">
                <pic:pic>
                  <pic:nvPicPr>
                    <pic:cNvPr id="0" name="d05.png"/>
                    <pic:cNvPicPr/>
                  </pic:nvPicPr>
                  <pic:blipFill>
                    <a:blip r:embed="rId34"/>
                    <a:stretch>
                      <a:fillRect/>
                    </a:stretch>
                  </pic:blipFill>
                  <pic:spPr>
                    <a:xfrm>
                      <a:off x="0" y="0"/>
                      <a:ext cx="5220000" cy="2751138"/>
                    </a:xfrm>
                    <a:prstGeom prst="rect"/>
                  </pic:spPr>
                </pic:pic>
              </a:graphicData>
            </a:graphic>
          </wp:inline>
        </w:drawing>
      </w:r>
    </w:p>
    <w:p>
      <w:pPr>
        <w:spacing w:after="160"/>
      </w:pPr>
      <w:r>
        <w:rPr>
          <w:b/>
          <w:color w:val="5B6470"/>
          <w:sz w:val="17"/>
        </w:rPr>
        <w:t>Figure 24.</w:t>
      </w:r>
      <w:r>
        <w:rPr>
          <w:color w:val="5B6470"/>
          <w:sz w:val="17"/>
        </w:rPr>
        <w:t xml:space="preserve"> Computed grade property scores. CC492K is the strongest, CC491K the most ductile and best all-round gunmetal, CC495K the best bearing alloy and the dearest.</w:t>
      </w:r>
    </w:p>
    <w:p>
      <w:pPr>
        <w:pStyle w:val="Heading2"/>
      </w:pPr>
      <w:r>
        <w:t>8.2 Steps 2 and 3: requirements and fit</w:t>
      </w:r>
    </w:p>
    <w:p>
      <w:pPr>
        <w:keepNext/>
        <w:spacing w:after="40"/>
        <w:jc w:val="center"/>
      </w:pPr>
      <w:r>
        <w:drawing>
          <wp:inline xmlns:a="http://schemas.openxmlformats.org/drawingml/2006/main" xmlns:pic="http://schemas.openxmlformats.org/drawingml/2006/picture">
            <wp:extent cx="5760000" cy="3397771"/>
            <wp:docPr id="25" name="Picture 25"/>
            <wp:cNvGraphicFramePr>
              <a:graphicFrameLocks noChangeAspect="1"/>
            </wp:cNvGraphicFramePr>
            <a:graphic>
              <a:graphicData uri="http://schemas.openxmlformats.org/drawingml/2006/picture">
                <pic:pic>
                  <pic:nvPicPr>
                    <pic:cNvPr id="0" name="d06.png"/>
                    <pic:cNvPicPr/>
                  </pic:nvPicPr>
                  <pic:blipFill>
                    <a:blip r:embed="rId35"/>
                    <a:stretch>
                      <a:fillRect/>
                    </a:stretch>
                  </pic:blipFill>
                  <pic:spPr>
                    <a:xfrm>
                      <a:off x="0" y="0"/>
                      <a:ext cx="5760000" cy="3397771"/>
                    </a:xfrm>
                    <a:prstGeom prst="rect"/>
                  </pic:spPr>
                </pic:pic>
              </a:graphicData>
            </a:graphic>
          </wp:inline>
        </w:drawing>
      </w:r>
    </w:p>
    <w:p>
      <w:pPr>
        <w:spacing w:after="160"/>
      </w:pPr>
      <w:r>
        <w:rPr>
          <w:b/>
          <w:color w:val="5B6470"/>
          <w:sz w:val="17"/>
        </w:rPr>
        <w:t>Figure 25.</w:t>
      </w:r>
      <w:r>
        <w:rPr>
          <w:color w:val="5B6470"/>
          <w:sz w:val="17"/>
        </w:rPr>
        <w:t xml:space="preserve"> Requirement weights for 14 uses (each row sums to 100 %). Weights are judgement based on duty, standards and supplier guidance; change them and Figure below updates.</w:t>
      </w:r>
    </w:p>
    <w:p>
      <w:pPr>
        <w:keepNext/>
        <w:spacing w:after="40"/>
        <w:jc w:val="center"/>
      </w:pPr>
      <w:r>
        <w:drawing>
          <wp:inline xmlns:a="http://schemas.openxmlformats.org/drawingml/2006/main" xmlns:pic="http://schemas.openxmlformats.org/drawingml/2006/picture">
            <wp:extent cx="5220000" cy="3019412"/>
            <wp:docPr id="26" name="Picture 26"/>
            <wp:cNvGraphicFramePr>
              <a:graphicFrameLocks noChangeAspect="1"/>
            </wp:cNvGraphicFramePr>
            <a:graphic>
              <a:graphicData uri="http://schemas.openxmlformats.org/drawingml/2006/picture">
                <pic:pic>
                  <pic:nvPicPr>
                    <pic:cNvPr id="0" name="d07.png"/>
                    <pic:cNvPicPr/>
                  </pic:nvPicPr>
                  <pic:blipFill>
                    <a:blip r:embed="rId36"/>
                    <a:stretch>
                      <a:fillRect/>
                    </a:stretch>
                  </pic:blipFill>
                  <pic:spPr>
                    <a:xfrm>
                      <a:off x="0" y="0"/>
                      <a:ext cx="5220000" cy="3019412"/>
                    </a:xfrm>
                    <a:prstGeom prst="rect"/>
                  </pic:spPr>
                </pic:pic>
              </a:graphicData>
            </a:graphic>
          </wp:inline>
        </w:drawing>
      </w:r>
    </w:p>
    <w:p>
      <w:pPr>
        <w:spacing w:after="160"/>
      </w:pPr>
      <w:r>
        <w:rPr>
          <w:b/>
          <w:color w:val="5B6470"/>
          <w:sz w:val="17"/>
        </w:rPr>
        <w:t>Figure 26.</w:t>
      </w:r>
      <w:r>
        <w:rPr>
          <w:color w:val="5B6470"/>
          <w:sz w:val="17"/>
        </w:rPr>
        <w:t xml:space="preserve"> Grade fit scores (0–5). Blank = not eligible. Eligibility: bush, bearing and hydraulic uses need ≥ 6 % lead and ≥ 5 % tin (line-shaft bearings ≥ 5 % lead); worm wheels and gears need ≥ 6 % tin. Red box = best fit.</w:t>
      </w:r>
    </w:p>
    <w:p>
      <w:pPr>
        <w:keepNext/>
        <w:spacing w:after="40"/>
      </w:pPr>
      <w:r>
        <w:rPr>
          <w:b/>
          <w:color w:val="5B6470"/>
          <w:sz w:val="18"/>
        </w:rPr>
        <w:t>Table 17.</w:t>
      </w:r>
      <w:r>
        <w:rPr>
          <w:color w:val="5B6470"/>
          <w:sz w:val="18"/>
        </w:rPr>
        <w:t xml:space="preserve"> Best and second-best grade by use (computed)</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948"/>
        <w:gridCol w:w="1361"/>
        <w:gridCol w:w="1361"/>
        <w:gridCol w:w="4082"/>
      </w:tblGrid>
      <w:tr>
        <w:trPr>
          <w:cantSplit/>
          <w:tblHeader/>
        </w:trPr>
        <w:tc>
          <w:tcPr>
            <w:tcW w:type="dxa" w:w="2948"/>
            <w:shd w:val="clear" w:color="auto" w:fill="1F4E79"/>
            <w:vAlign w:val="center"/>
          </w:tcPr>
          <w:p>
            <w:pPr>
              <w:spacing w:after="0" w:line="240" w:lineRule="auto"/>
            </w:pPr>
            <w:r>
              <w:rPr>
                <w:b/>
                <w:color w:val="FFFFFF"/>
                <w:sz w:val="16"/>
              </w:rPr>
              <w:t>Use</w:t>
            </w:r>
          </w:p>
        </w:tc>
        <w:tc>
          <w:tcPr>
            <w:tcW w:type="dxa" w:w="1361"/>
            <w:shd w:val="clear" w:color="auto" w:fill="1F4E79"/>
            <w:vAlign w:val="center"/>
          </w:tcPr>
          <w:p>
            <w:pPr>
              <w:spacing w:after="0" w:line="240" w:lineRule="auto"/>
            </w:pPr>
            <w:r>
              <w:rPr>
                <w:b/>
                <w:color w:val="FFFFFF"/>
                <w:sz w:val="16"/>
              </w:rPr>
              <w:t>Best fit</w:t>
            </w:r>
          </w:p>
        </w:tc>
        <w:tc>
          <w:tcPr>
            <w:tcW w:type="dxa" w:w="1361"/>
            <w:shd w:val="clear" w:color="auto" w:fill="1F4E79"/>
            <w:vAlign w:val="center"/>
          </w:tcPr>
          <w:p>
            <w:pPr>
              <w:spacing w:after="0" w:line="240" w:lineRule="auto"/>
            </w:pPr>
            <w:r>
              <w:rPr>
                <w:b/>
                <w:color w:val="FFFFFF"/>
                <w:sz w:val="16"/>
              </w:rPr>
              <w:t>Second</w:t>
            </w:r>
          </w:p>
        </w:tc>
        <w:tc>
          <w:tcPr>
            <w:tcW w:type="dxa" w:w="4082"/>
            <w:shd w:val="clear" w:color="auto" w:fill="1F4E79"/>
            <w:vAlign w:val="center"/>
          </w:tcPr>
          <w:p>
            <w:pPr>
              <w:spacing w:after="0" w:line="240" w:lineRule="auto"/>
            </w:pPr>
            <w:r>
              <w:rPr>
                <w:b/>
                <w:color w:val="FFFFFF"/>
                <w:sz w:val="16"/>
              </w:rPr>
              <w:t>Comment</w:t>
            </w:r>
          </w:p>
        </w:tc>
      </w:tr>
      <w:tr>
        <w:trPr>
          <w:cantSplit/>
        </w:trPr>
        <w:tc>
          <w:tcPr>
            <w:tcW w:type="dxa" w:w="2948"/>
            <w:vAlign w:val="top"/>
          </w:tcPr>
          <w:p>
            <w:pPr>
              <w:spacing w:after="0" w:line="240" w:lineRule="auto"/>
            </w:pPr>
            <w:r>
              <w:rPr>
                <w:color w:val="2B2F36"/>
                <w:sz w:val="16"/>
              </w:rPr>
              <w:t>Borewell / monoblock pump impellers &amp; bowls</w:t>
            </w:r>
          </w:p>
        </w:tc>
        <w:tc>
          <w:tcPr>
            <w:tcW w:type="dxa" w:w="1361"/>
            <w:vAlign w:val="top"/>
          </w:tcPr>
          <w:p>
            <w:pPr>
              <w:spacing w:after="0" w:line="240" w:lineRule="auto"/>
            </w:pPr>
            <w:r>
              <w:rPr>
                <w:color w:val="2B2F36"/>
                <w:sz w:val="16"/>
              </w:rPr>
              <w:t>CC491K (4.11)</w:t>
            </w:r>
          </w:p>
        </w:tc>
        <w:tc>
          <w:tcPr>
            <w:tcW w:type="dxa" w:w="1361"/>
            <w:vAlign w:val="top"/>
          </w:tcPr>
          <w:p>
            <w:pPr>
              <w:spacing w:after="0" w:line="240" w:lineRule="auto"/>
            </w:pPr>
            <w:r>
              <w:rPr>
                <w:color w:val="2B2F36"/>
                <w:sz w:val="16"/>
              </w:rPr>
              <w:t>CC490K (4.05)</w:t>
            </w:r>
          </w:p>
        </w:tc>
        <w:tc>
          <w:tcPr>
            <w:tcW w:type="dxa" w:w="4082"/>
            <w:vAlign w:val="top"/>
          </w:tcPr>
          <w:p>
            <w:pPr>
              <w:spacing w:after="0" w:line="240" w:lineRule="auto"/>
            </w:pPr>
            <w:r>
              <w:rPr>
                <w:color w:val="2B2F36"/>
                <w:sz w:val="16"/>
              </w:rPr>
              <w:t>Near-tie: CC490K is the budget choice (0.06 behind) but risks dezincification in aggressive water</w:t>
            </w:r>
          </w:p>
        </w:tc>
      </w:tr>
      <w:tr>
        <w:trPr>
          <w:cantSplit/>
        </w:trPr>
        <w:tc>
          <w:tcPr>
            <w:tcW w:type="dxa" w:w="2948"/>
            <w:shd w:val="clear" w:color="auto" w:fill="F7F4EE"/>
            <w:vAlign w:val="top"/>
          </w:tcPr>
          <w:p>
            <w:pPr>
              <w:spacing w:after="0" w:line="240" w:lineRule="auto"/>
            </w:pPr>
            <w:r>
              <w:rPr>
                <w:color w:val="2B2F36"/>
                <w:sz w:val="16"/>
              </w:rPr>
              <w:t>Fire-pump impellers &amp; wear rings</w:t>
            </w:r>
          </w:p>
        </w:tc>
        <w:tc>
          <w:tcPr>
            <w:tcW w:type="dxa" w:w="1361"/>
            <w:shd w:val="clear" w:color="auto" w:fill="F7F4EE"/>
            <w:vAlign w:val="top"/>
          </w:tcPr>
          <w:p>
            <w:pPr>
              <w:spacing w:after="0" w:line="240" w:lineRule="auto"/>
            </w:pPr>
            <w:r>
              <w:rPr>
                <w:color w:val="2B2F36"/>
                <w:sz w:val="16"/>
              </w:rPr>
              <w:t>CC491K (4.11)</w:t>
            </w:r>
          </w:p>
        </w:tc>
        <w:tc>
          <w:tcPr>
            <w:tcW w:type="dxa" w:w="1361"/>
            <w:shd w:val="clear" w:color="auto" w:fill="F7F4EE"/>
            <w:vAlign w:val="top"/>
          </w:tcPr>
          <w:p>
            <w:pPr>
              <w:spacing w:after="0" w:line="240" w:lineRule="auto"/>
            </w:pPr>
            <w:r>
              <w:rPr>
                <w:color w:val="2B2F36"/>
                <w:sz w:val="16"/>
              </w:rPr>
              <w:t>CC493K (3.95)</w:t>
            </w:r>
          </w:p>
        </w:tc>
        <w:tc>
          <w:tcPr>
            <w:tcW w:type="dxa" w:w="4082"/>
            <w:shd w:val="clear" w:color="auto" w:fill="F7F4EE"/>
            <w:vAlign w:val="top"/>
          </w:tcPr>
          <w:p>
            <w:pPr>
              <w:spacing w:after="0" w:line="240" w:lineRule="auto"/>
            </w:pPr>
            <w:r>
              <w:rPr>
                <w:color w:val="2B2F36"/>
                <w:sz w:val="16"/>
              </w:rPr>
              <w:t>Standby corrosion and wear; CC492K third (3.87)</w:t>
            </w:r>
          </w:p>
        </w:tc>
      </w:tr>
      <w:tr>
        <w:trPr>
          <w:cantSplit/>
        </w:trPr>
        <w:tc>
          <w:tcPr>
            <w:tcW w:type="dxa" w:w="2948"/>
            <w:vAlign w:val="top"/>
          </w:tcPr>
          <w:p>
            <w:pPr>
              <w:spacing w:after="0" w:line="240" w:lineRule="auto"/>
            </w:pPr>
            <w:r>
              <w:rPr>
                <w:color w:val="2B2F36"/>
                <w:sz w:val="16"/>
              </w:rPr>
              <w:t>Marine sea-water pumps &amp; valves</w:t>
            </w:r>
          </w:p>
        </w:tc>
        <w:tc>
          <w:tcPr>
            <w:tcW w:type="dxa" w:w="1361"/>
            <w:vAlign w:val="top"/>
          </w:tcPr>
          <w:p>
            <w:pPr>
              <w:spacing w:after="0" w:line="240" w:lineRule="auto"/>
            </w:pPr>
            <w:r>
              <w:rPr>
                <w:color w:val="2B2F36"/>
                <w:sz w:val="16"/>
              </w:rPr>
              <w:t>CC491K (4.27)</w:t>
            </w:r>
          </w:p>
        </w:tc>
        <w:tc>
          <w:tcPr>
            <w:tcW w:type="dxa" w:w="1361"/>
            <w:vAlign w:val="top"/>
          </w:tcPr>
          <w:p>
            <w:pPr>
              <w:spacing w:after="0" w:line="240" w:lineRule="auto"/>
            </w:pPr>
            <w:r>
              <w:rPr>
                <w:color w:val="2B2F36"/>
                <w:sz w:val="16"/>
              </w:rPr>
              <w:t>CC492K (4.25)</w:t>
            </w:r>
          </w:p>
        </w:tc>
        <w:tc>
          <w:tcPr>
            <w:tcW w:type="dxa" w:w="4082"/>
            <w:vAlign w:val="top"/>
          </w:tcPr>
          <w:p>
            <w:pPr>
              <w:spacing w:after="0" w:line="240" w:lineRule="auto"/>
            </w:pPr>
            <w:r>
              <w:rPr>
                <w:color w:val="2B2F36"/>
                <w:sz w:val="16"/>
              </w:rPr>
              <w:t>Sea water: CC492K practically level (4.25 vs 4.27); choose by class rule and impingement duty</w:t>
            </w:r>
          </w:p>
        </w:tc>
      </w:tr>
      <w:tr>
        <w:trPr>
          <w:cantSplit/>
        </w:trPr>
        <w:tc>
          <w:tcPr>
            <w:tcW w:type="dxa" w:w="2948"/>
            <w:shd w:val="clear" w:color="auto" w:fill="F7F4EE"/>
            <w:vAlign w:val="top"/>
          </w:tcPr>
          <w:p>
            <w:pPr>
              <w:spacing w:after="0" w:line="240" w:lineRule="auto"/>
            </w:pPr>
            <w:r>
              <w:rPr>
                <w:color w:val="2B2F36"/>
                <w:sz w:val="16"/>
              </w:rPr>
              <w:t>Water-works &amp; industrial valves</w:t>
            </w:r>
          </w:p>
        </w:tc>
        <w:tc>
          <w:tcPr>
            <w:tcW w:type="dxa" w:w="1361"/>
            <w:shd w:val="clear" w:color="auto" w:fill="F7F4EE"/>
            <w:vAlign w:val="top"/>
          </w:tcPr>
          <w:p>
            <w:pPr>
              <w:spacing w:after="0" w:line="240" w:lineRule="auto"/>
            </w:pPr>
            <w:r>
              <w:rPr>
                <w:color w:val="2B2F36"/>
                <w:sz w:val="16"/>
              </w:rPr>
              <w:t>CC491K (4.34)</w:t>
            </w:r>
          </w:p>
        </w:tc>
        <w:tc>
          <w:tcPr>
            <w:tcW w:type="dxa" w:w="1361"/>
            <w:shd w:val="clear" w:color="auto" w:fill="F7F4EE"/>
            <w:vAlign w:val="top"/>
          </w:tcPr>
          <w:p>
            <w:pPr>
              <w:spacing w:after="0" w:line="240" w:lineRule="auto"/>
            </w:pPr>
            <w:r>
              <w:rPr>
                <w:color w:val="2B2F36"/>
                <w:sz w:val="16"/>
              </w:rPr>
              <w:t>CC493K (4.10)</w:t>
            </w:r>
          </w:p>
        </w:tc>
        <w:tc>
          <w:tcPr>
            <w:tcW w:type="dxa" w:w="4082"/>
            <w:shd w:val="clear" w:color="auto" w:fill="F7F4EE"/>
            <w:vAlign w:val="top"/>
          </w:tcPr>
          <w:p>
            <w:pPr>
              <w:spacing w:after="0" w:line="240" w:lineRule="auto"/>
            </w:pPr>
            <w:r>
              <w:rPr>
                <w:color w:val="2B2F36"/>
                <w:sz w:val="16"/>
              </w:rPr>
              <w:t>Pressure tightness and ductility decide</w:t>
            </w:r>
          </w:p>
        </w:tc>
      </w:tr>
      <w:tr>
        <w:trPr>
          <w:cantSplit/>
        </w:trPr>
        <w:tc>
          <w:tcPr>
            <w:tcW w:type="dxa" w:w="2948"/>
            <w:vAlign w:val="top"/>
          </w:tcPr>
          <w:p>
            <w:pPr>
              <w:spacing w:after="0" w:line="240" w:lineRule="auto"/>
            </w:pPr>
            <w:r>
              <w:rPr>
                <w:color w:val="2B2F36"/>
                <w:sz w:val="16"/>
              </w:rPr>
              <w:t>Hydrant / landing valves &amp; fire hardware</w:t>
            </w:r>
          </w:p>
        </w:tc>
        <w:tc>
          <w:tcPr>
            <w:tcW w:type="dxa" w:w="1361"/>
            <w:vAlign w:val="top"/>
          </w:tcPr>
          <w:p>
            <w:pPr>
              <w:spacing w:after="0" w:line="240" w:lineRule="auto"/>
            </w:pPr>
            <w:r>
              <w:rPr>
                <w:color w:val="2B2F36"/>
                <w:sz w:val="16"/>
              </w:rPr>
              <w:t>CC491K (4.33)</w:t>
            </w:r>
          </w:p>
        </w:tc>
        <w:tc>
          <w:tcPr>
            <w:tcW w:type="dxa" w:w="1361"/>
            <w:vAlign w:val="top"/>
          </w:tcPr>
          <w:p>
            <w:pPr>
              <w:spacing w:after="0" w:line="240" w:lineRule="auto"/>
            </w:pPr>
            <w:r>
              <w:rPr>
                <w:color w:val="2B2F36"/>
                <w:sz w:val="16"/>
              </w:rPr>
              <w:t>CC493K (4.05)</w:t>
            </w:r>
          </w:p>
        </w:tc>
        <w:tc>
          <w:tcPr>
            <w:tcW w:type="dxa" w:w="4082"/>
            <w:vAlign w:val="top"/>
          </w:tcPr>
          <w:p>
            <w:pPr>
              <w:spacing w:after="0" w:line="240" w:lineRule="auto"/>
            </w:pPr>
            <w:r>
              <w:rPr>
                <w:color w:val="2B2F36"/>
                <w:sz w:val="16"/>
              </w:rPr>
              <w:t>Hydrant valves are BIS-controlled; IS 318 LTB 2 = CC491K</w:t>
            </w:r>
          </w:p>
        </w:tc>
      </w:tr>
      <w:tr>
        <w:trPr>
          <w:cantSplit/>
        </w:trPr>
        <w:tc>
          <w:tcPr>
            <w:tcW w:type="dxa" w:w="2948"/>
            <w:shd w:val="clear" w:color="auto" w:fill="F7F4EE"/>
            <w:vAlign w:val="top"/>
          </w:tcPr>
          <w:p>
            <w:pPr>
              <w:spacing w:after="0" w:line="240" w:lineRule="auto"/>
            </w:pPr>
            <w:r>
              <w:rPr>
                <w:color w:val="2B2F36"/>
                <w:sz w:val="16"/>
              </w:rPr>
              <w:t>Plumbing &amp; general hardware</w:t>
            </w:r>
          </w:p>
        </w:tc>
        <w:tc>
          <w:tcPr>
            <w:tcW w:type="dxa" w:w="1361"/>
            <w:shd w:val="clear" w:color="auto" w:fill="F7F4EE"/>
            <w:vAlign w:val="top"/>
          </w:tcPr>
          <w:p>
            <w:pPr>
              <w:spacing w:after="0" w:line="240" w:lineRule="auto"/>
            </w:pPr>
            <w:r>
              <w:rPr>
                <w:color w:val="2B2F36"/>
                <w:sz w:val="16"/>
              </w:rPr>
              <w:t>CC490K (4.32)</w:t>
            </w:r>
          </w:p>
        </w:tc>
        <w:tc>
          <w:tcPr>
            <w:tcW w:type="dxa" w:w="1361"/>
            <w:shd w:val="clear" w:color="auto" w:fill="F7F4EE"/>
            <w:vAlign w:val="top"/>
          </w:tcPr>
          <w:p>
            <w:pPr>
              <w:spacing w:after="0" w:line="240" w:lineRule="auto"/>
            </w:pPr>
            <w:r>
              <w:rPr>
                <w:color w:val="2B2F36"/>
                <w:sz w:val="16"/>
              </w:rPr>
              <w:t>CC491K (4.07)</w:t>
            </w:r>
          </w:p>
        </w:tc>
        <w:tc>
          <w:tcPr>
            <w:tcW w:type="dxa" w:w="4082"/>
            <w:shd w:val="clear" w:color="auto" w:fill="F7F4EE"/>
            <w:vAlign w:val="top"/>
          </w:tcPr>
          <w:p>
            <w:pPr>
              <w:spacing w:after="0" w:line="240" w:lineRule="auto"/>
            </w:pPr>
            <w:r>
              <w:rPr>
                <w:color w:val="2B2F36"/>
                <w:sz w:val="16"/>
              </w:rPr>
              <w:t>CC490K wins on cost and machinability; this is its natural use and it is exposed to lead-free rules</w:t>
            </w:r>
          </w:p>
        </w:tc>
      </w:tr>
      <w:tr>
        <w:trPr>
          <w:cantSplit/>
        </w:trPr>
        <w:tc>
          <w:tcPr>
            <w:tcW w:type="dxa" w:w="2948"/>
            <w:vAlign w:val="top"/>
          </w:tcPr>
          <w:p>
            <w:pPr>
              <w:spacing w:after="0" w:line="240" w:lineRule="auto"/>
            </w:pPr>
            <w:r>
              <w:rPr>
                <w:color w:val="2B2F36"/>
                <w:sz w:val="16"/>
              </w:rPr>
              <w:t>Light–medium bushes (machine tools, conveyors)</w:t>
            </w:r>
          </w:p>
        </w:tc>
        <w:tc>
          <w:tcPr>
            <w:tcW w:type="dxa" w:w="1361"/>
            <w:vAlign w:val="top"/>
          </w:tcPr>
          <w:p>
            <w:pPr>
              <w:spacing w:after="0" w:line="240" w:lineRule="auto"/>
            </w:pPr>
            <w:r>
              <w:rPr>
                <w:color w:val="2B2F36"/>
                <w:sz w:val="16"/>
              </w:rPr>
              <w:t>CC493K (3.26)</w:t>
            </w:r>
          </w:p>
        </w:tc>
        <w:tc>
          <w:tcPr>
            <w:tcW w:type="dxa" w:w="1361"/>
            <w:vAlign w:val="top"/>
          </w:tcPr>
          <w:p>
            <w:pPr>
              <w:spacing w:after="0" w:line="240" w:lineRule="auto"/>
            </w:pPr>
            <w:r>
              <w:rPr>
                <w:color w:val="2B2F36"/>
                <w:sz w:val="16"/>
              </w:rPr>
              <w:t>CC494K (3.19)</w:t>
            </w:r>
          </w:p>
        </w:tc>
        <w:tc>
          <w:tcPr>
            <w:tcW w:type="dxa" w:w="4082"/>
            <w:vAlign w:val="top"/>
          </w:tcPr>
          <w:p>
            <w:pPr>
              <w:spacing w:after="0" w:line="240" w:lineRule="auto"/>
            </w:pPr>
            <w:r>
              <w:rPr>
                <w:color w:val="2B2F36"/>
                <w:sz w:val="16"/>
              </w:rPr>
              <w:t>Default bush; CC494K (3.19) and CC495K (3.18) within 0.1, CC495K is 7 % dearer in metal</w:t>
            </w:r>
          </w:p>
        </w:tc>
      </w:tr>
      <w:tr>
        <w:trPr>
          <w:cantSplit/>
        </w:trPr>
        <w:tc>
          <w:tcPr>
            <w:tcW w:type="dxa" w:w="2948"/>
            <w:shd w:val="clear" w:color="auto" w:fill="F7F4EE"/>
            <w:vAlign w:val="top"/>
          </w:tcPr>
          <w:p>
            <w:pPr>
              <w:spacing w:after="0" w:line="240" w:lineRule="auto"/>
            </w:pPr>
            <w:r>
              <w:rPr>
                <w:color w:val="2B2F36"/>
                <w:sz w:val="16"/>
              </w:rPr>
              <w:t>Tractor &amp; earth-moving bushes, pins</w:t>
            </w:r>
          </w:p>
        </w:tc>
        <w:tc>
          <w:tcPr>
            <w:tcW w:type="dxa" w:w="1361"/>
            <w:shd w:val="clear" w:color="auto" w:fill="F7F4EE"/>
            <w:vAlign w:val="top"/>
          </w:tcPr>
          <w:p>
            <w:pPr>
              <w:spacing w:after="0" w:line="240" w:lineRule="auto"/>
            </w:pPr>
            <w:r>
              <w:rPr>
                <w:color w:val="2B2F36"/>
                <w:sz w:val="16"/>
              </w:rPr>
              <w:t>CC494K (3.36)</w:t>
            </w:r>
          </w:p>
        </w:tc>
        <w:tc>
          <w:tcPr>
            <w:tcW w:type="dxa" w:w="1361"/>
            <w:shd w:val="clear" w:color="auto" w:fill="F7F4EE"/>
            <w:vAlign w:val="top"/>
          </w:tcPr>
          <w:p>
            <w:pPr>
              <w:spacing w:after="0" w:line="240" w:lineRule="auto"/>
            </w:pPr>
            <w:r>
              <w:rPr>
                <w:color w:val="2B2F36"/>
                <w:sz w:val="16"/>
              </w:rPr>
              <w:t>CC493K (3.26)</w:t>
            </w:r>
          </w:p>
        </w:tc>
        <w:tc>
          <w:tcPr>
            <w:tcW w:type="dxa" w:w="4082"/>
            <w:shd w:val="clear" w:color="auto" w:fill="F7F4EE"/>
            <w:vAlign w:val="top"/>
          </w:tcPr>
          <w:p>
            <w:pPr>
              <w:spacing w:after="0" w:line="240" w:lineRule="auto"/>
            </w:pPr>
            <w:r>
              <w:rPr>
                <w:color w:val="2B2F36"/>
                <w:sz w:val="16"/>
              </w:rPr>
              <w:t>Dirt and misalignment reward lead; CC494K edges CC493K</w:t>
            </w:r>
          </w:p>
        </w:tc>
      </w:tr>
      <w:tr>
        <w:trPr>
          <w:cantSplit/>
        </w:trPr>
        <w:tc>
          <w:tcPr>
            <w:tcW w:type="dxa" w:w="2948"/>
            <w:vAlign w:val="top"/>
          </w:tcPr>
          <w:p>
            <w:pPr>
              <w:spacing w:after="0" w:line="240" w:lineRule="auto"/>
            </w:pPr>
            <w:r>
              <w:rPr>
                <w:color w:val="2B2F36"/>
                <w:sz w:val="16"/>
              </w:rPr>
              <w:t>Heavy-load bearings (mills, crushers, sugar mills)</w:t>
            </w:r>
          </w:p>
        </w:tc>
        <w:tc>
          <w:tcPr>
            <w:tcW w:type="dxa" w:w="1361"/>
            <w:vAlign w:val="top"/>
          </w:tcPr>
          <w:p>
            <w:pPr>
              <w:spacing w:after="0" w:line="240" w:lineRule="auto"/>
            </w:pPr>
            <w:r>
              <w:rPr>
                <w:color w:val="2B2F36"/>
                <w:sz w:val="16"/>
              </w:rPr>
              <w:t>CC495K (4.26)</w:t>
            </w:r>
          </w:p>
        </w:tc>
        <w:tc>
          <w:tcPr>
            <w:tcW w:type="dxa" w:w="1361"/>
            <w:vAlign w:val="top"/>
          </w:tcPr>
          <w:p>
            <w:pPr>
              <w:spacing w:after="0" w:line="240" w:lineRule="auto"/>
            </w:pPr>
            <w:r>
              <w:rPr>
                <w:color w:val="2B2F36"/>
                <w:sz w:val="16"/>
              </w:rPr>
              <w:t>CC493K (3.43)</w:t>
            </w:r>
          </w:p>
        </w:tc>
        <w:tc>
          <w:tcPr>
            <w:tcW w:type="dxa" w:w="4082"/>
            <w:vAlign w:val="top"/>
          </w:tcPr>
          <w:p>
            <w:pPr>
              <w:spacing w:after="0" w:line="240" w:lineRule="auto"/>
            </w:pPr>
            <w:r>
              <w:rPr>
                <w:color w:val="2B2F36"/>
                <w:sz w:val="16"/>
              </w:rPr>
              <w:t>Load and shock dominate: CC495K clearly best (4.26 vs 3.43)</w:t>
            </w:r>
          </w:p>
        </w:tc>
      </w:tr>
      <w:tr>
        <w:trPr>
          <w:cantSplit/>
        </w:trPr>
        <w:tc>
          <w:tcPr>
            <w:tcW w:type="dxa" w:w="2948"/>
            <w:shd w:val="clear" w:color="auto" w:fill="F7F4EE"/>
            <w:vAlign w:val="top"/>
          </w:tcPr>
          <w:p>
            <w:pPr>
              <w:spacing w:after="0" w:line="240" w:lineRule="auto"/>
            </w:pPr>
            <w:r>
              <w:rPr>
                <w:color w:val="2B2F36"/>
                <w:sz w:val="16"/>
              </w:rPr>
              <w:t>Railway &amp; marine bearings</w:t>
            </w:r>
          </w:p>
        </w:tc>
        <w:tc>
          <w:tcPr>
            <w:tcW w:type="dxa" w:w="1361"/>
            <w:shd w:val="clear" w:color="auto" w:fill="F7F4EE"/>
            <w:vAlign w:val="top"/>
          </w:tcPr>
          <w:p>
            <w:pPr>
              <w:spacing w:after="0" w:line="240" w:lineRule="auto"/>
            </w:pPr>
            <w:r>
              <w:rPr>
                <w:color w:val="2B2F36"/>
                <w:sz w:val="16"/>
              </w:rPr>
              <w:t>CC495K (3.91)</w:t>
            </w:r>
          </w:p>
        </w:tc>
        <w:tc>
          <w:tcPr>
            <w:tcW w:type="dxa" w:w="1361"/>
            <w:shd w:val="clear" w:color="auto" w:fill="F7F4EE"/>
            <w:vAlign w:val="top"/>
          </w:tcPr>
          <w:p>
            <w:pPr>
              <w:spacing w:after="0" w:line="240" w:lineRule="auto"/>
            </w:pPr>
            <w:r>
              <w:rPr>
                <w:color w:val="2B2F36"/>
                <w:sz w:val="16"/>
              </w:rPr>
              <w:t>CC493K (3.60)</w:t>
            </w:r>
          </w:p>
        </w:tc>
        <w:tc>
          <w:tcPr>
            <w:tcW w:type="dxa" w:w="4082"/>
            <w:shd w:val="clear" w:color="auto" w:fill="F7F4EE"/>
            <w:vAlign w:val="top"/>
          </w:tcPr>
          <w:p>
            <w:pPr>
              <w:spacing w:after="0" w:line="240" w:lineRule="auto"/>
            </w:pPr>
            <w:r>
              <w:rPr>
                <w:color w:val="2B2F36"/>
                <w:sz w:val="16"/>
              </w:rPr>
              <w:t>CC495K; CC492K fails the lead threshold (poor if lubrication fails)</w:t>
            </w:r>
          </w:p>
        </w:tc>
      </w:tr>
      <w:tr>
        <w:trPr>
          <w:cantSplit/>
        </w:trPr>
        <w:tc>
          <w:tcPr>
            <w:tcW w:type="dxa" w:w="2948"/>
            <w:vAlign w:val="top"/>
          </w:tcPr>
          <w:p>
            <w:pPr>
              <w:spacing w:after="0" w:line="240" w:lineRule="auto"/>
            </w:pPr>
            <w:r>
              <w:rPr>
                <w:color w:val="2B2F36"/>
                <w:sz w:val="16"/>
              </w:rPr>
              <w:t>Pump line-shaft bearings, wear rings</w:t>
            </w:r>
          </w:p>
        </w:tc>
        <w:tc>
          <w:tcPr>
            <w:tcW w:type="dxa" w:w="1361"/>
            <w:vAlign w:val="top"/>
          </w:tcPr>
          <w:p>
            <w:pPr>
              <w:spacing w:after="0" w:line="240" w:lineRule="auto"/>
            </w:pPr>
            <w:r>
              <w:rPr>
                <w:color w:val="2B2F36"/>
                <w:sz w:val="16"/>
              </w:rPr>
              <w:t>CC491K (3.66)</w:t>
            </w:r>
          </w:p>
        </w:tc>
        <w:tc>
          <w:tcPr>
            <w:tcW w:type="dxa" w:w="1361"/>
            <w:vAlign w:val="top"/>
          </w:tcPr>
          <w:p>
            <w:pPr>
              <w:spacing w:after="0" w:line="240" w:lineRule="auto"/>
            </w:pPr>
            <w:r>
              <w:rPr>
                <w:color w:val="2B2F36"/>
                <w:sz w:val="16"/>
              </w:rPr>
              <w:t>CC493K (3.65)</w:t>
            </w:r>
          </w:p>
        </w:tc>
        <w:tc>
          <w:tcPr>
            <w:tcW w:type="dxa" w:w="4082"/>
            <w:vAlign w:val="top"/>
          </w:tcPr>
          <w:p>
            <w:pPr>
              <w:spacing w:after="0" w:line="240" w:lineRule="auto"/>
            </w:pPr>
            <w:r>
              <w:rPr>
                <w:color w:val="2B2F36"/>
                <w:sz w:val="16"/>
              </w:rPr>
              <w:t>Water-lubricated: CC491K and CC493K are level (3.66 vs 3.65)</w:t>
            </w:r>
          </w:p>
        </w:tc>
      </w:tr>
      <w:tr>
        <w:trPr>
          <w:cantSplit/>
        </w:trPr>
        <w:tc>
          <w:tcPr>
            <w:tcW w:type="dxa" w:w="2948"/>
            <w:shd w:val="clear" w:color="auto" w:fill="F7F4EE"/>
            <w:vAlign w:val="top"/>
          </w:tcPr>
          <w:p>
            <w:pPr>
              <w:spacing w:after="0" w:line="240" w:lineRule="auto"/>
            </w:pPr>
            <w:r>
              <w:rPr>
                <w:color w:val="2B2F36"/>
                <w:sz w:val="16"/>
              </w:rPr>
              <w:t>Hydraulic &amp; gear-pump bushes</w:t>
            </w:r>
          </w:p>
        </w:tc>
        <w:tc>
          <w:tcPr>
            <w:tcW w:type="dxa" w:w="1361"/>
            <w:shd w:val="clear" w:color="auto" w:fill="F7F4EE"/>
            <w:vAlign w:val="top"/>
          </w:tcPr>
          <w:p>
            <w:pPr>
              <w:spacing w:after="0" w:line="240" w:lineRule="auto"/>
            </w:pPr>
            <w:r>
              <w:rPr>
                <w:color w:val="2B2F36"/>
                <w:sz w:val="16"/>
              </w:rPr>
              <w:t>CC493K (3.54)</w:t>
            </w:r>
          </w:p>
        </w:tc>
        <w:tc>
          <w:tcPr>
            <w:tcW w:type="dxa" w:w="1361"/>
            <w:shd w:val="clear" w:color="auto" w:fill="F7F4EE"/>
            <w:vAlign w:val="top"/>
          </w:tcPr>
          <w:p>
            <w:pPr>
              <w:spacing w:after="0" w:line="240" w:lineRule="auto"/>
            </w:pPr>
            <w:r>
              <w:rPr>
                <w:color w:val="2B2F36"/>
                <w:sz w:val="16"/>
              </w:rPr>
              <w:t>CC495K (3.22)</w:t>
            </w:r>
          </w:p>
        </w:tc>
        <w:tc>
          <w:tcPr>
            <w:tcW w:type="dxa" w:w="4082"/>
            <w:shd w:val="clear" w:color="auto" w:fill="F7F4EE"/>
            <w:vAlign w:val="top"/>
          </w:tcPr>
          <w:p>
            <w:pPr>
              <w:spacing w:after="0" w:line="240" w:lineRule="auto"/>
            </w:pPr>
            <w:r>
              <w:rPr>
                <w:color w:val="2B2F36"/>
                <w:sz w:val="16"/>
              </w:rPr>
              <w:t>CC493K clearly ahead of CC495K (3.22)</w:t>
            </w:r>
          </w:p>
        </w:tc>
      </w:tr>
      <w:tr>
        <w:trPr>
          <w:cantSplit/>
        </w:trPr>
        <w:tc>
          <w:tcPr>
            <w:tcW w:type="dxa" w:w="2948"/>
            <w:vAlign w:val="top"/>
          </w:tcPr>
          <w:p>
            <w:pPr>
              <w:spacing w:after="0" w:line="240" w:lineRule="auto"/>
            </w:pPr>
            <w:r>
              <w:rPr>
                <w:color w:val="2B2F36"/>
                <w:sz w:val="16"/>
              </w:rPr>
              <w:t>Boiler &amp; steam mountings</w:t>
            </w:r>
          </w:p>
        </w:tc>
        <w:tc>
          <w:tcPr>
            <w:tcW w:type="dxa" w:w="1361"/>
            <w:vAlign w:val="top"/>
          </w:tcPr>
          <w:p>
            <w:pPr>
              <w:spacing w:after="0" w:line="240" w:lineRule="auto"/>
            </w:pPr>
            <w:r>
              <w:rPr>
                <w:color w:val="2B2F36"/>
                <w:sz w:val="16"/>
              </w:rPr>
              <w:t>CC491K (4.41)</w:t>
            </w:r>
          </w:p>
        </w:tc>
        <w:tc>
          <w:tcPr>
            <w:tcW w:type="dxa" w:w="1361"/>
            <w:vAlign w:val="top"/>
          </w:tcPr>
          <w:p>
            <w:pPr>
              <w:spacing w:after="0" w:line="240" w:lineRule="auto"/>
            </w:pPr>
            <w:r>
              <w:rPr>
                <w:color w:val="2B2F36"/>
                <w:sz w:val="16"/>
              </w:rPr>
              <w:t>CC493K (4.20)</w:t>
            </w:r>
          </w:p>
        </w:tc>
        <w:tc>
          <w:tcPr>
            <w:tcW w:type="dxa" w:w="4082"/>
            <w:vAlign w:val="top"/>
          </w:tcPr>
          <w:p>
            <w:pPr>
              <w:spacing w:after="0" w:line="240" w:lineRule="auto"/>
            </w:pPr>
            <w:r>
              <w:rPr>
                <w:color w:val="2B2F36"/>
                <w:sz w:val="16"/>
              </w:rPr>
              <w:t>CC491K; CC492K/CC493K for higher pressure and temperature (the model weights strength only 20 %)</w:t>
            </w:r>
          </w:p>
        </w:tc>
      </w:tr>
      <w:tr>
        <w:trPr>
          <w:cantSplit/>
        </w:trPr>
        <w:tc>
          <w:tcPr>
            <w:tcW w:type="dxa" w:w="2948"/>
            <w:shd w:val="clear" w:color="auto" w:fill="F7F4EE"/>
            <w:vAlign w:val="top"/>
          </w:tcPr>
          <w:p>
            <w:pPr>
              <w:spacing w:after="0" w:line="240" w:lineRule="auto"/>
            </w:pPr>
            <w:r>
              <w:rPr>
                <w:color w:val="2B2F36"/>
                <w:sz w:val="16"/>
              </w:rPr>
              <w:t>Worm wheels &amp; light gears</w:t>
            </w:r>
          </w:p>
        </w:tc>
        <w:tc>
          <w:tcPr>
            <w:tcW w:type="dxa" w:w="1361"/>
            <w:shd w:val="clear" w:color="auto" w:fill="F7F4EE"/>
            <w:vAlign w:val="top"/>
          </w:tcPr>
          <w:p>
            <w:pPr>
              <w:spacing w:after="0" w:line="240" w:lineRule="auto"/>
            </w:pPr>
            <w:r>
              <w:rPr>
                <w:color w:val="2B2F36"/>
                <w:sz w:val="16"/>
              </w:rPr>
              <w:t>CC493K (3.62)</w:t>
            </w:r>
          </w:p>
        </w:tc>
        <w:tc>
          <w:tcPr>
            <w:tcW w:type="dxa" w:w="1361"/>
            <w:shd w:val="clear" w:color="auto" w:fill="F7F4EE"/>
            <w:vAlign w:val="top"/>
          </w:tcPr>
          <w:p>
            <w:pPr>
              <w:spacing w:after="0" w:line="240" w:lineRule="auto"/>
            </w:pPr>
            <w:r>
              <w:rPr>
                <w:color w:val="2B2F36"/>
                <w:sz w:val="16"/>
              </w:rPr>
              <w:t>CC492K (3.31)</w:t>
            </w:r>
          </w:p>
        </w:tc>
        <w:tc>
          <w:tcPr>
            <w:tcW w:type="dxa" w:w="4082"/>
            <w:shd w:val="clear" w:color="auto" w:fill="F7F4EE"/>
            <w:vAlign w:val="top"/>
          </w:tcPr>
          <w:p>
            <w:pPr>
              <w:spacing w:after="0" w:line="240" w:lineRule="auto"/>
            </w:pPr>
            <w:r>
              <w:rPr>
                <w:color w:val="2B2F36"/>
                <w:sz w:val="16"/>
              </w:rPr>
              <w:t>Strength and wear: CC493K; CC492K second</w:t>
            </w:r>
          </w:p>
        </w:tc>
      </w:tr>
    </w:tbl>
    <w:p>
      <w:pPr>
        <w:spacing w:after="40"/>
      </w:pPr>
    </w:p>
    <w:p>
      <w:r>
        <w:rPr>
          <w:sz w:val="19"/>
        </w:rPr>
        <w:t>The computed picks agree with the grade guidance in Section 2 and with supplier data sheets, which is the test of the model. Two points differ from Rev 5: CC492K is not a bush grade for lubrication-critical railway and marine bearings (3 % lead), and CC491K and CC493K are level for water-lubricated line-shaft bearings.</w:t>
      </w:r>
    </w:p>
    <w:p>
      <w:pPr>
        <w:pStyle w:val="Heading2"/>
      </w:pPr>
      <w:r>
        <w:t>8.3 Pumps: which pump, which part, which grade</w:t>
      </w:r>
    </w:p>
    <w:p>
      <w:r>
        <w:t>Bronze is used in pumps because it does not rust in water, resists sand and silt wear and does not seize against a steel shaft. Fire pumps must start after sitting idle for years, which is why NFPA 20 fire pumps are commonly “bronze-fitted”: a cast-iron casing with bronze impeller, wear rings and shaft sleeves.</w:t>
      </w:r>
    </w:p>
    <w:p>
      <w:pPr>
        <w:keepNext/>
        <w:spacing w:after="40"/>
      </w:pPr>
      <w:r>
        <w:rPr>
          <w:b/>
          <w:color w:val="5B6470"/>
          <w:sz w:val="18"/>
        </w:rPr>
        <w:t>Table 18.</w:t>
      </w:r>
      <w:r>
        <w:rPr>
          <w:color w:val="5B6470"/>
          <w:sz w:val="18"/>
        </w:rPr>
        <w:t xml:space="preserve"> Pump types, duty, failure mode and what the ingot must deliver</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587"/>
        <w:gridCol w:w="1587"/>
        <w:gridCol w:w="1474"/>
        <w:gridCol w:w="2721"/>
        <w:gridCol w:w="2381"/>
      </w:tblGrid>
      <w:tr>
        <w:trPr>
          <w:cantSplit/>
          <w:tblHeader/>
        </w:trPr>
        <w:tc>
          <w:tcPr>
            <w:tcW w:type="dxa" w:w="1587"/>
            <w:shd w:val="clear" w:color="auto" w:fill="1F4E79"/>
            <w:vAlign w:val="center"/>
          </w:tcPr>
          <w:p>
            <w:pPr>
              <w:spacing w:after="0" w:line="240" w:lineRule="auto"/>
            </w:pPr>
            <w:r>
              <w:rPr>
                <w:b/>
                <w:color w:val="FFFFFF"/>
                <w:sz w:val="16"/>
              </w:rPr>
              <w:t>Pump type</w:t>
            </w:r>
          </w:p>
        </w:tc>
        <w:tc>
          <w:tcPr>
            <w:tcW w:type="dxa" w:w="1587"/>
            <w:shd w:val="clear" w:color="auto" w:fill="1F4E79"/>
            <w:vAlign w:val="center"/>
          </w:tcPr>
          <w:p>
            <w:pPr>
              <w:spacing w:after="0" w:line="240" w:lineRule="auto"/>
            </w:pPr>
            <w:r>
              <w:rPr>
                <w:b/>
                <w:color w:val="FFFFFF"/>
                <w:sz w:val="16"/>
              </w:rPr>
              <w:t>Bronze parts</w:t>
            </w:r>
          </w:p>
        </w:tc>
        <w:tc>
          <w:tcPr>
            <w:tcW w:type="dxa" w:w="1474"/>
            <w:shd w:val="clear" w:color="auto" w:fill="1F4E79"/>
            <w:vAlign w:val="center"/>
          </w:tcPr>
          <w:p>
            <w:pPr>
              <w:spacing w:after="0" w:line="240" w:lineRule="auto"/>
            </w:pPr>
            <w:r>
              <w:rPr>
                <w:b/>
                <w:color w:val="FFFFFF"/>
                <w:sz w:val="16"/>
              </w:rPr>
              <w:t>Grade</w:t>
            </w:r>
          </w:p>
        </w:tc>
        <w:tc>
          <w:tcPr>
            <w:tcW w:type="dxa" w:w="2721"/>
            <w:shd w:val="clear" w:color="auto" w:fill="1F4E79"/>
            <w:vAlign w:val="center"/>
          </w:tcPr>
          <w:p>
            <w:pPr>
              <w:spacing w:after="0" w:line="240" w:lineRule="auto"/>
            </w:pPr>
            <w:r>
              <w:rPr>
                <w:b/>
                <w:color w:val="FFFFFF"/>
                <w:sz w:val="16"/>
              </w:rPr>
              <w:t>Duty and failure mode</w:t>
            </w:r>
          </w:p>
        </w:tc>
        <w:tc>
          <w:tcPr>
            <w:tcW w:type="dxa" w:w="2381"/>
            <w:shd w:val="clear" w:color="auto" w:fill="1F4E79"/>
            <w:vAlign w:val="center"/>
          </w:tcPr>
          <w:p>
            <w:pPr>
              <w:spacing w:after="0" w:line="240" w:lineRule="auto"/>
            </w:pPr>
            <w:r>
              <w:rPr>
                <w:b/>
                <w:color w:val="FFFFFF"/>
                <w:sz w:val="16"/>
              </w:rPr>
              <w:t>What the ingot must deliver</w:t>
            </w:r>
          </w:p>
        </w:tc>
      </w:tr>
      <w:tr>
        <w:trPr>
          <w:cantSplit/>
        </w:trPr>
        <w:tc>
          <w:tcPr>
            <w:tcW w:type="dxa" w:w="1587"/>
            <w:vAlign w:val="top"/>
          </w:tcPr>
          <w:p>
            <w:pPr>
              <w:spacing w:after="0" w:line="240" w:lineRule="auto"/>
            </w:pPr>
            <w:r>
              <w:rPr>
                <w:color w:val="2B2F36"/>
                <w:sz w:val="16"/>
              </w:rPr>
              <w:t>Borewell submersible (4"/6")</w:t>
            </w:r>
          </w:p>
        </w:tc>
        <w:tc>
          <w:tcPr>
            <w:tcW w:type="dxa" w:w="1587"/>
            <w:vAlign w:val="top"/>
          </w:tcPr>
          <w:p>
            <w:pPr>
              <w:spacing w:after="0" w:line="240" w:lineRule="auto"/>
            </w:pPr>
            <w:r>
              <w:rPr>
                <w:color w:val="2B2F36"/>
                <w:sz w:val="16"/>
              </w:rPr>
              <w:t>Impellers, diffusers, bowls, bearing bush</w:t>
            </w:r>
          </w:p>
        </w:tc>
        <w:tc>
          <w:tcPr>
            <w:tcW w:type="dxa" w:w="1474"/>
            <w:vAlign w:val="top"/>
          </w:tcPr>
          <w:p>
            <w:pPr>
              <w:spacing w:after="0" w:line="240" w:lineRule="auto"/>
            </w:pPr>
            <w:r>
              <w:rPr>
                <w:color w:val="2B2F36"/>
                <w:sz w:val="16"/>
              </w:rPr>
              <w:t>CC491K; bush CC493K</w:t>
            </w:r>
          </w:p>
        </w:tc>
        <w:tc>
          <w:tcPr>
            <w:tcW w:type="dxa" w:w="2721"/>
            <w:vAlign w:val="top"/>
          </w:tcPr>
          <w:p>
            <w:pPr>
              <w:spacing w:after="0" w:line="240" w:lineRule="auto"/>
            </w:pPr>
            <w:r>
              <w:rPr>
                <w:color w:val="2B2F36"/>
                <w:sz w:val="16"/>
              </w:rPr>
              <w:t>Sand-laden groundwater: abrasive wear, erosion at the impeller eye</w:t>
            </w:r>
          </w:p>
        </w:tc>
        <w:tc>
          <w:tcPr>
            <w:tcW w:type="dxa" w:w="2381"/>
            <w:vAlign w:val="top"/>
          </w:tcPr>
          <w:p>
            <w:pPr>
              <w:spacing w:after="0" w:line="240" w:lineRule="auto"/>
            </w:pPr>
            <w:r>
              <w:rPr>
                <w:color w:val="2B2F36"/>
                <w:sz w:val="16"/>
              </w:rPr>
              <w:t>Sound castings (low gas), tight Pb/Sn control for wear</w:t>
            </w:r>
          </w:p>
        </w:tc>
      </w:tr>
      <w:tr>
        <w:trPr>
          <w:cantSplit/>
        </w:trPr>
        <w:tc>
          <w:tcPr>
            <w:tcW w:type="dxa" w:w="1587"/>
            <w:shd w:val="clear" w:color="auto" w:fill="F7F4EE"/>
            <w:vAlign w:val="top"/>
          </w:tcPr>
          <w:p>
            <w:pPr>
              <w:spacing w:after="0" w:line="240" w:lineRule="auto"/>
            </w:pPr>
            <w:r>
              <w:rPr>
                <w:color w:val="2B2F36"/>
                <w:sz w:val="16"/>
              </w:rPr>
              <w:t>Monoblock / openwell centrifugal</w:t>
            </w:r>
          </w:p>
        </w:tc>
        <w:tc>
          <w:tcPr>
            <w:tcW w:type="dxa" w:w="1587"/>
            <w:shd w:val="clear" w:color="auto" w:fill="F7F4EE"/>
            <w:vAlign w:val="top"/>
          </w:tcPr>
          <w:p>
            <w:pPr>
              <w:spacing w:after="0" w:line="240" w:lineRule="auto"/>
            </w:pPr>
            <w:r>
              <w:rPr>
                <w:color w:val="2B2F36"/>
                <w:sz w:val="16"/>
              </w:rPr>
              <w:t>Impeller</w:t>
            </w:r>
          </w:p>
        </w:tc>
        <w:tc>
          <w:tcPr>
            <w:tcW w:type="dxa" w:w="1474"/>
            <w:shd w:val="clear" w:color="auto" w:fill="F7F4EE"/>
            <w:vAlign w:val="top"/>
          </w:tcPr>
          <w:p>
            <w:pPr>
              <w:spacing w:after="0" w:line="240" w:lineRule="auto"/>
            </w:pPr>
            <w:r>
              <w:rPr>
                <w:color w:val="2B2F36"/>
                <w:sz w:val="16"/>
              </w:rPr>
              <w:t>CC491K; CC490K (budget)</w:t>
            </w:r>
          </w:p>
        </w:tc>
        <w:tc>
          <w:tcPr>
            <w:tcW w:type="dxa" w:w="2721"/>
            <w:shd w:val="clear" w:color="auto" w:fill="F7F4EE"/>
            <w:vAlign w:val="top"/>
          </w:tcPr>
          <w:p>
            <w:pPr>
              <w:spacing w:after="0" w:line="240" w:lineRule="auto"/>
            </w:pPr>
            <w:r>
              <w:rPr>
                <w:color w:val="2B2F36"/>
                <w:sz w:val="16"/>
              </w:rPr>
              <w:t>Low cost, light duty; CC490K risks dezincification in aggressive water</w:t>
            </w:r>
          </w:p>
        </w:tc>
        <w:tc>
          <w:tcPr>
            <w:tcW w:type="dxa" w:w="2381"/>
            <w:shd w:val="clear" w:color="auto" w:fill="F7F4EE"/>
            <w:vAlign w:val="top"/>
          </w:tcPr>
          <w:p>
            <w:pPr>
              <w:spacing w:after="0" w:line="240" w:lineRule="auto"/>
            </w:pPr>
            <w:r>
              <w:rPr>
                <w:color w:val="2B2F36"/>
                <w:sz w:val="16"/>
              </w:rPr>
              <w:t>Consistent chemistry; CC490K only for non-aggressive water</w:t>
            </w:r>
          </w:p>
        </w:tc>
      </w:tr>
      <w:tr>
        <w:trPr>
          <w:cantSplit/>
        </w:trPr>
        <w:tc>
          <w:tcPr>
            <w:tcW w:type="dxa" w:w="1587"/>
            <w:vAlign w:val="top"/>
          </w:tcPr>
          <w:p>
            <w:pPr>
              <w:spacing w:after="0" w:line="240" w:lineRule="auto"/>
            </w:pPr>
            <w:r>
              <w:rPr>
                <w:color w:val="2B2F36"/>
                <w:sz w:val="16"/>
              </w:rPr>
              <w:t>Vertical turbine (line-shaft)</w:t>
            </w:r>
          </w:p>
        </w:tc>
        <w:tc>
          <w:tcPr>
            <w:tcW w:type="dxa" w:w="1587"/>
            <w:vAlign w:val="top"/>
          </w:tcPr>
          <w:p>
            <w:pPr>
              <w:spacing w:after="0" w:line="240" w:lineRule="auto"/>
            </w:pPr>
            <w:r>
              <w:rPr>
                <w:color w:val="2B2F36"/>
                <w:sz w:val="16"/>
              </w:rPr>
              <w:t>Bowls, impellers, line-shaft bearings</w:t>
            </w:r>
          </w:p>
        </w:tc>
        <w:tc>
          <w:tcPr>
            <w:tcW w:type="dxa" w:w="1474"/>
            <w:vAlign w:val="top"/>
          </w:tcPr>
          <w:p>
            <w:pPr>
              <w:spacing w:after="0" w:line="240" w:lineRule="auto"/>
            </w:pPr>
            <w:r>
              <w:rPr>
                <w:color w:val="2B2F36"/>
                <w:sz w:val="16"/>
              </w:rPr>
              <w:t>CC491K / CC492K; bearings CC491K / CC493K</w:t>
            </w:r>
          </w:p>
        </w:tc>
        <w:tc>
          <w:tcPr>
            <w:tcW w:type="dxa" w:w="2721"/>
            <w:vAlign w:val="top"/>
          </w:tcPr>
          <w:p>
            <w:pPr>
              <w:spacing w:after="0" w:line="240" w:lineRule="auto"/>
            </w:pPr>
            <w:r>
              <w:rPr>
                <w:color w:val="2B2F36"/>
                <w:sz w:val="16"/>
              </w:rPr>
              <w:t>Continuous duty, water-lubricated bearings</w:t>
            </w:r>
          </w:p>
        </w:tc>
        <w:tc>
          <w:tcPr>
            <w:tcW w:type="dxa" w:w="2381"/>
            <w:vAlign w:val="top"/>
          </w:tcPr>
          <w:p>
            <w:pPr>
              <w:spacing w:after="0" w:line="240" w:lineRule="auto"/>
            </w:pPr>
            <w:r>
              <w:rPr>
                <w:color w:val="2B2F36"/>
                <w:sz w:val="16"/>
              </w:rPr>
              <w:t>Good lead distribution for bearings</w:t>
            </w:r>
          </w:p>
        </w:tc>
      </w:tr>
      <w:tr>
        <w:trPr>
          <w:cantSplit/>
        </w:trPr>
        <w:tc>
          <w:tcPr>
            <w:tcW w:type="dxa" w:w="1587"/>
            <w:shd w:val="clear" w:color="auto" w:fill="F7F4EE"/>
            <w:vAlign w:val="top"/>
          </w:tcPr>
          <w:p>
            <w:pPr>
              <w:spacing w:after="0" w:line="240" w:lineRule="auto"/>
            </w:pPr>
            <w:r>
              <w:rPr>
                <w:color w:val="2B2F36"/>
                <w:sz w:val="16"/>
              </w:rPr>
              <w:t>Split-case fire pump (NFPA 20, UL/FM)</w:t>
            </w:r>
          </w:p>
        </w:tc>
        <w:tc>
          <w:tcPr>
            <w:tcW w:type="dxa" w:w="1587"/>
            <w:shd w:val="clear" w:color="auto" w:fill="F7F4EE"/>
            <w:vAlign w:val="top"/>
          </w:tcPr>
          <w:p>
            <w:pPr>
              <w:spacing w:after="0" w:line="240" w:lineRule="auto"/>
            </w:pPr>
            <w:r>
              <w:rPr>
                <w:color w:val="2B2F36"/>
                <w:sz w:val="16"/>
              </w:rPr>
              <w:t>Impeller, casing wear rings, shaft sleeves</w:t>
            </w:r>
          </w:p>
        </w:tc>
        <w:tc>
          <w:tcPr>
            <w:tcW w:type="dxa" w:w="1474"/>
            <w:shd w:val="clear" w:color="auto" w:fill="F7F4EE"/>
            <w:vAlign w:val="top"/>
          </w:tcPr>
          <w:p>
            <w:pPr>
              <w:spacing w:after="0" w:line="240" w:lineRule="auto"/>
            </w:pPr>
            <w:r>
              <w:rPr>
                <w:color w:val="2B2F36"/>
                <w:sz w:val="16"/>
              </w:rPr>
              <w:t>CC491K / CC492K</w:t>
            </w:r>
          </w:p>
        </w:tc>
        <w:tc>
          <w:tcPr>
            <w:tcW w:type="dxa" w:w="2721"/>
            <w:shd w:val="clear" w:color="auto" w:fill="F7F4EE"/>
            <w:vAlign w:val="top"/>
          </w:tcPr>
          <w:p>
            <w:pPr>
              <w:spacing w:after="0" w:line="240" w:lineRule="auto"/>
            </w:pPr>
            <w:r>
              <w:rPr>
                <w:color w:val="2B2F36"/>
                <w:sz w:val="16"/>
              </w:rPr>
              <w:t>Long idle periods then sudden start: corrosion and seizure</w:t>
            </w:r>
          </w:p>
        </w:tc>
        <w:tc>
          <w:tcPr>
            <w:tcW w:type="dxa" w:w="2381"/>
            <w:shd w:val="clear" w:color="auto" w:fill="F7F4EE"/>
            <w:vAlign w:val="top"/>
          </w:tcPr>
          <w:p>
            <w:pPr>
              <w:spacing w:after="0" w:line="240" w:lineRule="auto"/>
            </w:pPr>
            <w:r>
              <w:rPr>
                <w:color w:val="2B2F36"/>
                <w:sz w:val="16"/>
              </w:rPr>
              <w:t>Certified chemistry and traceability (UL/FM)</w:t>
            </w:r>
          </w:p>
        </w:tc>
      </w:tr>
      <w:tr>
        <w:trPr>
          <w:cantSplit/>
        </w:trPr>
        <w:tc>
          <w:tcPr>
            <w:tcW w:type="dxa" w:w="1587"/>
            <w:vAlign w:val="top"/>
          </w:tcPr>
          <w:p>
            <w:pPr>
              <w:spacing w:after="0" w:line="240" w:lineRule="auto"/>
            </w:pPr>
            <w:r>
              <w:rPr>
                <w:color w:val="2B2F36"/>
                <w:sz w:val="16"/>
              </w:rPr>
              <w:t>Marine sea-water pumps</w:t>
            </w:r>
          </w:p>
        </w:tc>
        <w:tc>
          <w:tcPr>
            <w:tcW w:type="dxa" w:w="1587"/>
            <w:vAlign w:val="top"/>
          </w:tcPr>
          <w:p>
            <w:pPr>
              <w:spacing w:after="0" w:line="240" w:lineRule="auto"/>
            </w:pPr>
            <w:r>
              <w:rPr>
                <w:color w:val="2B2F36"/>
                <w:sz w:val="16"/>
              </w:rPr>
              <w:t>Casings, impellers</w:t>
            </w:r>
          </w:p>
        </w:tc>
        <w:tc>
          <w:tcPr>
            <w:tcW w:type="dxa" w:w="1474"/>
            <w:vAlign w:val="top"/>
          </w:tcPr>
          <w:p>
            <w:pPr>
              <w:spacing w:after="0" w:line="240" w:lineRule="auto"/>
            </w:pPr>
            <w:r>
              <w:rPr>
                <w:color w:val="2B2F36"/>
                <w:sz w:val="16"/>
              </w:rPr>
              <w:t>CC492K / CC491K</w:t>
            </w:r>
          </w:p>
        </w:tc>
        <w:tc>
          <w:tcPr>
            <w:tcW w:type="dxa" w:w="2721"/>
            <w:vAlign w:val="top"/>
          </w:tcPr>
          <w:p>
            <w:pPr>
              <w:spacing w:after="0" w:line="240" w:lineRule="auto"/>
            </w:pPr>
            <w:r>
              <w:rPr>
                <w:color w:val="2B2F36"/>
                <w:sz w:val="16"/>
              </w:rPr>
              <w:t>Sea-water corrosion and impingement attack</w:t>
            </w:r>
          </w:p>
        </w:tc>
        <w:tc>
          <w:tcPr>
            <w:tcW w:type="dxa" w:w="2381"/>
            <w:vAlign w:val="top"/>
          </w:tcPr>
          <w:p>
            <w:pPr>
              <w:spacing w:after="0" w:line="240" w:lineRule="auto"/>
            </w:pPr>
            <w:r>
              <w:rPr>
                <w:color w:val="2B2F36"/>
                <w:sz w:val="16"/>
              </w:rPr>
              <w:t>Higher tin and low impurity levels; class certificates</w:t>
            </w:r>
          </w:p>
        </w:tc>
      </w:tr>
      <w:tr>
        <w:trPr>
          <w:cantSplit/>
        </w:trPr>
        <w:tc>
          <w:tcPr>
            <w:tcW w:type="dxa" w:w="1587"/>
            <w:shd w:val="clear" w:color="auto" w:fill="F7F4EE"/>
            <w:vAlign w:val="top"/>
          </w:tcPr>
          <w:p>
            <w:pPr>
              <w:spacing w:after="0" w:line="240" w:lineRule="auto"/>
            </w:pPr>
            <w:r>
              <w:rPr>
                <w:color w:val="2B2F36"/>
                <w:sz w:val="16"/>
              </w:rPr>
              <w:t>Gear / rotary pumps</w:t>
            </w:r>
          </w:p>
        </w:tc>
        <w:tc>
          <w:tcPr>
            <w:tcW w:type="dxa" w:w="1587"/>
            <w:shd w:val="clear" w:color="auto" w:fill="F7F4EE"/>
            <w:vAlign w:val="top"/>
          </w:tcPr>
          <w:p>
            <w:pPr>
              <w:spacing w:after="0" w:line="240" w:lineRule="auto"/>
            </w:pPr>
            <w:r>
              <w:rPr>
                <w:color w:val="2B2F36"/>
                <w:sz w:val="16"/>
              </w:rPr>
              <w:t>Bushes, side plates</w:t>
            </w:r>
          </w:p>
        </w:tc>
        <w:tc>
          <w:tcPr>
            <w:tcW w:type="dxa" w:w="1474"/>
            <w:shd w:val="clear" w:color="auto" w:fill="F7F4EE"/>
            <w:vAlign w:val="top"/>
          </w:tcPr>
          <w:p>
            <w:pPr>
              <w:spacing w:after="0" w:line="240" w:lineRule="auto"/>
            </w:pPr>
            <w:r>
              <w:rPr>
                <w:color w:val="2B2F36"/>
                <w:sz w:val="16"/>
              </w:rPr>
              <w:t>CC493K / CC495K</w:t>
            </w:r>
          </w:p>
        </w:tc>
        <w:tc>
          <w:tcPr>
            <w:tcW w:type="dxa" w:w="2721"/>
            <w:shd w:val="clear" w:color="auto" w:fill="F7F4EE"/>
            <w:vAlign w:val="top"/>
          </w:tcPr>
          <w:p>
            <w:pPr>
              <w:spacing w:after="0" w:line="240" w:lineRule="auto"/>
            </w:pPr>
            <w:r>
              <w:rPr>
                <w:color w:val="2B2F36"/>
                <w:sz w:val="16"/>
              </w:rPr>
              <w:t>Bearing surface against the gears; dirty oil</w:t>
            </w:r>
          </w:p>
        </w:tc>
        <w:tc>
          <w:tcPr>
            <w:tcW w:type="dxa" w:w="2381"/>
            <w:shd w:val="clear" w:color="auto" w:fill="F7F4EE"/>
            <w:vAlign w:val="top"/>
          </w:tcPr>
          <w:p>
            <w:pPr>
              <w:spacing w:after="0" w:line="240" w:lineRule="auto"/>
            </w:pPr>
            <w:r>
              <w:rPr>
                <w:color w:val="2B2F36"/>
                <w:sz w:val="16"/>
              </w:rPr>
              <w:t>Even lead dispersion</w:t>
            </w:r>
          </w:p>
        </w:tc>
      </w:tr>
    </w:tbl>
    <w:p>
      <w:pPr>
        <w:spacing w:after="40"/>
      </w:pPr>
    </w:p>
    <w:p>
      <w:pPr>
        <w:keepNext/>
        <w:spacing w:after="40"/>
        <w:jc w:val="center"/>
      </w:pPr>
      <w:r>
        <w:drawing>
          <wp:inline xmlns:a="http://schemas.openxmlformats.org/drawingml/2006/main" xmlns:pic="http://schemas.openxmlformats.org/drawingml/2006/picture">
            <wp:extent cx="6192000" cy="2356075"/>
            <wp:docPr id="27" name="Picture 27"/>
            <wp:cNvGraphicFramePr>
              <a:graphicFrameLocks noChangeAspect="1"/>
            </wp:cNvGraphicFramePr>
            <a:graphic>
              <a:graphicData uri="http://schemas.openxmlformats.org/drawingml/2006/picture">
                <pic:pic>
                  <pic:nvPicPr>
                    <pic:cNvPr id="0" name="d08.png"/>
                    <pic:cNvPicPr/>
                  </pic:nvPicPr>
                  <pic:blipFill>
                    <a:blip r:embed="rId37"/>
                    <a:stretch>
                      <a:fillRect/>
                    </a:stretch>
                  </pic:blipFill>
                  <pic:spPr>
                    <a:xfrm>
                      <a:off x="0" y="0"/>
                      <a:ext cx="6192000" cy="2356075"/>
                    </a:xfrm>
                    <a:prstGeom prst="rect"/>
                  </pic:spPr>
                </pic:pic>
              </a:graphicData>
            </a:graphic>
          </wp:inline>
        </w:drawing>
      </w:r>
    </w:p>
    <w:p>
      <w:pPr>
        <w:spacing w:after="160"/>
      </w:pPr>
      <w:r>
        <w:rPr>
          <w:b/>
          <w:color w:val="5B6470"/>
          <w:sz w:val="17"/>
        </w:rPr>
        <w:t>Figure 27.</w:t>
      </w:r>
      <w:r>
        <w:rPr>
          <w:color w:val="5B6470"/>
          <w:sz w:val="17"/>
        </w:rPr>
        <w:t xml:space="preserve"> Requirement profile of pump impellers, valves and heavy bearings. Pumps and valves are pressure/corrosion/cost uses; heavy bearings are load and emergency-running uses. The same ingot does not serve both.</w:t>
      </w:r>
    </w:p>
    <w:p>
      <w:pPr>
        <w:pStyle w:val="Heading2"/>
      </w:pPr>
      <w:r>
        <w:t>8.4 Valves</w:t>
      </w:r>
    </w:p>
    <w:p>
      <w:pPr>
        <w:keepNext/>
        <w:spacing w:after="40"/>
      </w:pPr>
      <w:r>
        <w:rPr>
          <w:b/>
          <w:color w:val="5B6470"/>
          <w:sz w:val="18"/>
        </w:rPr>
        <w:t>Table 19.</w:t>
      </w:r>
      <w:r>
        <w:rPr>
          <w:color w:val="5B6470"/>
          <w:sz w:val="18"/>
        </w:rPr>
        <w:t xml:space="preserve"> Valve types, standards, grade and failure mode</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268"/>
        <w:gridCol w:w="3175"/>
        <w:gridCol w:w="1361"/>
        <w:gridCol w:w="2948"/>
      </w:tblGrid>
      <w:tr>
        <w:trPr>
          <w:cantSplit/>
          <w:tblHeader/>
        </w:trPr>
        <w:tc>
          <w:tcPr>
            <w:tcW w:type="dxa" w:w="2268"/>
            <w:shd w:val="clear" w:color="auto" w:fill="1F4E79"/>
            <w:vAlign w:val="center"/>
          </w:tcPr>
          <w:p>
            <w:pPr>
              <w:spacing w:after="0" w:line="240" w:lineRule="auto"/>
            </w:pPr>
            <w:r>
              <w:rPr>
                <w:b/>
                <w:color w:val="FFFFFF"/>
                <w:sz w:val="16"/>
              </w:rPr>
              <w:t>Valve type</w:t>
            </w:r>
          </w:p>
        </w:tc>
        <w:tc>
          <w:tcPr>
            <w:tcW w:type="dxa" w:w="3175"/>
            <w:shd w:val="clear" w:color="auto" w:fill="1F4E79"/>
            <w:vAlign w:val="center"/>
          </w:tcPr>
          <w:p>
            <w:pPr>
              <w:spacing w:after="0" w:line="240" w:lineRule="auto"/>
            </w:pPr>
            <w:r>
              <w:rPr>
                <w:b/>
                <w:color w:val="FFFFFF"/>
                <w:sz w:val="16"/>
              </w:rPr>
              <w:t>Standard / approval</w:t>
            </w:r>
          </w:p>
        </w:tc>
        <w:tc>
          <w:tcPr>
            <w:tcW w:type="dxa" w:w="1361"/>
            <w:shd w:val="clear" w:color="auto" w:fill="1F4E79"/>
            <w:vAlign w:val="center"/>
          </w:tcPr>
          <w:p>
            <w:pPr>
              <w:spacing w:after="0" w:line="240" w:lineRule="auto"/>
            </w:pPr>
            <w:r>
              <w:rPr>
                <w:b/>
                <w:color w:val="FFFFFF"/>
                <w:sz w:val="16"/>
              </w:rPr>
              <w:t>Grade</w:t>
            </w:r>
          </w:p>
        </w:tc>
        <w:tc>
          <w:tcPr>
            <w:tcW w:type="dxa" w:w="2948"/>
            <w:shd w:val="clear" w:color="auto" w:fill="1F4E79"/>
            <w:vAlign w:val="center"/>
          </w:tcPr>
          <w:p>
            <w:pPr>
              <w:spacing w:after="0" w:line="240" w:lineRule="auto"/>
            </w:pPr>
            <w:r>
              <w:rPr>
                <w:b/>
                <w:color w:val="FFFFFF"/>
                <w:sz w:val="16"/>
              </w:rPr>
              <w:t>Failure mode and note</w:t>
            </w:r>
          </w:p>
        </w:tc>
      </w:tr>
      <w:tr>
        <w:trPr>
          <w:cantSplit/>
        </w:trPr>
        <w:tc>
          <w:tcPr>
            <w:tcW w:type="dxa" w:w="2268"/>
            <w:vAlign w:val="top"/>
          </w:tcPr>
          <w:p>
            <w:pPr>
              <w:spacing w:after="0" w:line="240" w:lineRule="auto"/>
            </w:pPr>
            <w:r>
              <w:rPr>
                <w:color w:val="2B2F36"/>
                <w:sz w:val="16"/>
              </w:rPr>
              <w:t>Gate, globe, check valves (water works)</w:t>
            </w:r>
          </w:p>
        </w:tc>
        <w:tc>
          <w:tcPr>
            <w:tcW w:type="dxa" w:w="3175"/>
            <w:vAlign w:val="top"/>
          </w:tcPr>
          <w:p>
            <w:pPr>
              <w:spacing w:after="0" w:line="240" w:lineRule="auto"/>
            </w:pPr>
            <w:r>
              <w:rPr>
                <w:color w:val="2B2F36"/>
                <w:sz w:val="16"/>
              </w:rPr>
              <w:t>IS 778</w:t>
            </w:r>
          </w:p>
        </w:tc>
        <w:tc>
          <w:tcPr>
            <w:tcW w:type="dxa" w:w="1361"/>
            <w:vAlign w:val="top"/>
          </w:tcPr>
          <w:p>
            <w:pPr>
              <w:spacing w:after="0" w:line="240" w:lineRule="auto"/>
            </w:pPr>
            <w:r>
              <w:rPr>
                <w:color w:val="2B2F36"/>
                <w:sz w:val="16"/>
              </w:rPr>
              <w:t>CC491K</w:t>
            </w:r>
          </w:p>
        </w:tc>
        <w:tc>
          <w:tcPr>
            <w:tcW w:type="dxa" w:w="2948"/>
            <w:vAlign w:val="top"/>
          </w:tcPr>
          <w:p>
            <w:pPr>
              <w:spacing w:after="0" w:line="240" w:lineRule="auto"/>
            </w:pPr>
            <w:r>
              <w:rPr>
                <w:color w:val="2B2F36"/>
                <w:sz w:val="16"/>
              </w:rPr>
              <w:t>Leaching and pressure leaks; leaded grades not allowed for drinking water in the EU/US</w:t>
            </w:r>
          </w:p>
        </w:tc>
      </w:tr>
      <w:tr>
        <w:trPr>
          <w:cantSplit/>
        </w:trPr>
        <w:tc>
          <w:tcPr>
            <w:tcW w:type="dxa" w:w="2268"/>
            <w:shd w:val="clear" w:color="auto" w:fill="F7F4EE"/>
            <w:vAlign w:val="top"/>
          </w:tcPr>
          <w:p>
            <w:pPr>
              <w:spacing w:after="0" w:line="240" w:lineRule="auto"/>
            </w:pPr>
            <w:r>
              <w:rPr>
                <w:color w:val="2B2F36"/>
                <w:sz w:val="16"/>
              </w:rPr>
              <w:t>Fire hydrant / landing valves</w:t>
            </w:r>
          </w:p>
        </w:tc>
        <w:tc>
          <w:tcPr>
            <w:tcW w:type="dxa" w:w="3175"/>
            <w:shd w:val="clear" w:color="auto" w:fill="F7F4EE"/>
            <w:vAlign w:val="top"/>
          </w:tcPr>
          <w:p>
            <w:pPr>
              <w:spacing w:after="0" w:line="240" w:lineRule="auto"/>
            </w:pPr>
            <w:r>
              <w:rPr>
                <w:color w:val="2B2F36"/>
                <w:sz w:val="16"/>
              </w:rPr>
              <w:t>IS 5290: body and bonnet in leaded tin bronze to IS 318 LTB 2 (= CC491K) or Al alloy / stainless; BIS marking</w:t>
            </w:r>
          </w:p>
        </w:tc>
        <w:tc>
          <w:tcPr>
            <w:tcW w:type="dxa" w:w="1361"/>
            <w:shd w:val="clear" w:color="auto" w:fill="F7F4EE"/>
            <w:vAlign w:val="top"/>
          </w:tcPr>
          <w:p>
            <w:pPr>
              <w:spacing w:after="0" w:line="240" w:lineRule="auto"/>
            </w:pPr>
            <w:r>
              <w:rPr>
                <w:color w:val="2B2F36"/>
                <w:sz w:val="16"/>
              </w:rPr>
              <w:t>CC491K</w:t>
            </w:r>
          </w:p>
        </w:tc>
        <w:tc>
          <w:tcPr>
            <w:tcW w:type="dxa" w:w="2948"/>
            <w:shd w:val="clear" w:color="auto" w:fill="F7F4EE"/>
            <w:vAlign w:val="top"/>
          </w:tcPr>
          <w:p>
            <w:pPr>
              <w:spacing w:after="0" w:line="240" w:lineRule="auto"/>
            </w:pPr>
            <w:r>
              <w:rPr>
                <w:color w:val="2B2F36"/>
                <w:sz w:val="16"/>
              </w:rPr>
              <w:t>BIS tests reject off-chemistry metal; gunmetal is the traditional material</w:t>
            </w:r>
          </w:p>
        </w:tc>
      </w:tr>
      <w:tr>
        <w:trPr>
          <w:cantSplit/>
        </w:trPr>
        <w:tc>
          <w:tcPr>
            <w:tcW w:type="dxa" w:w="2268"/>
            <w:vAlign w:val="top"/>
          </w:tcPr>
          <w:p>
            <w:pPr>
              <w:spacing w:after="0" w:line="240" w:lineRule="auto"/>
            </w:pPr>
            <w:r>
              <w:rPr>
                <w:color w:val="2B2F36"/>
                <w:sz w:val="16"/>
              </w:rPr>
              <w:t>Marine valves (globe, storm, sea-chest)</w:t>
            </w:r>
          </w:p>
        </w:tc>
        <w:tc>
          <w:tcPr>
            <w:tcW w:type="dxa" w:w="3175"/>
            <w:vAlign w:val="top"/>
          </w:tcPr>
          <w:p>
            <w:pPr>
              <w:spacing w:after="0" w:line="240" w:lineRule="auto"/>
            </w:pPr>
            <w:r>
              <w:rPr>
                <w:color w:val="2B2F36"/>
                <w:sz w:val="16"/>
              </w:rPr>
              <w:t>Class society (IRS, DNV, LR, ABS), EN 10204 3.1</w:t>
            </w:r>
          </w:p>
        </w:tc>
        <w:tc>
          <w:tcPr>
            <w:tcW w:type="dxa" w:w="1361"/>
            <w:vAlign w:val="top"/>
          </w:tcPr>
          <w:p>
            <w:pPr>
              <w:spacing w:after="0" w:line="240" w:lineRule="auto"/>
            </w:pPr>
            <w:r>
              <w:rPr>
                <w:color w:val="2B2F36"/>
                <w:sz w:val="16"/>
              </w:rPr>
              <w:t>CC491K / CC492K</w:t>
            </w:r>
          </w:p>
        </w:tc>
        <w:tc>
          <w:tcPr>
            <w:tcW w:type="dxa" w:w="2948"/>
            <w:vAlign w:val="top"/>
          </w:tcPr>
          <w:p>
            <w:pPr>
              <w:spacing w:after="0" w:line="240" w:lineRule="auto"/>
            </w:pPr>
            <w:r>
              <w:rPr>
                <w:color w:val="2B2F36"/>
                <w:sz w:val="16"/>
              </w:rPr>
              <w:t>Sea-water corrosion, dezincification if zinc is high</w:t>
            </w:r>
          </w:p>
        </w:tc>
      </w:tr>
      <w:tr>
        <w:trPr>
          <w:cantSplit/>
        </w:trPr>
        <w:tc>
          <w:tcPr>
            <w:tcW w:type="dxa" w:w="2268"/>
            <w:shd w:val="clear" w:color="auto" w:fill="F7F4EE"/>
            <w:vAlign w:val="top"/>
          </w:tcPr>
          <w:p>
            <w:pPr>
              <w:spacing w:after="0" w:line="240" w:lineRule="auto"/>
            </w:pPr>
            <w:r>
              <w:rPr>
                <w:color w:val="2B2F36"/>
                <w:sz w:val="16"/>
              </w:rPr>
              <w:t>Higher-pressure water and steam valves</w:t>
            </w:r>
          </w:p>
        </w:tc>
        <w:tc>
          <w:tcPr>
            <w:tcW w:type="dxa" w:w="3175"/>
            <w:shd w:val="clear" w:color="auto" w:fill="F7F4EE"/>
            <w:vAlign w:val="top"/>
          </w:tcPr>
          <w:p>
            <w:pPr>
              <w:spacing w:after="0" w:line="240" w:lineRule="auto"/>
            </w:pPr>
            <w:r>
              <w:rPr>
                <w:color w:val="2B2F36"/>
                <w:sz w:val="16"/>
              </w:rPr>
              <w:t>Project and boiler codes</w:t>
            </w:r>
          </w:p>
        </w:tc>
        <w:tc>
          <w:tcPr>
            <w:tcW w:type="dxa" w:w="1361"/>
            <w:shd w:val="clear" w:color="auto" w:fill="F7F4EE"/>
            <w:vAlign w:val="top"/>
          </w:tcPr>
          <w:p>
            <w:pPr>
              <w:spacing w:after="0" w:line="240" w:lineRule="auto"/>
            </w:pPr>
            <w:r>
              <w:rPr>
                <w:color w:val="2B2F36"/>
                <w:sz w:val="16"/>
              </w:rPr>
              <w:t>CC492K / CC493K</w:t>
            </w:r>
          </w:p>
        </w:tc>
        <w:tc>
          <w:tcPr>
            <w:tcW w:type="dxa" w:w="2948"/>
            <w:shd w:val="clear" w:color="auto" w:fill="F7F4EE"/>
            <w:vAlign w:val="top"/>
          </w:tcPr>
          <w:p>
            <w:pPr>
              <w:spacing w:after="0" w:line="240" w:lineRule="auto"/>
            </w:pPr>
            <w:r>
              <w:rPr>
                <w:color w:val="2B2F36"/>
                <w:sz w:val="16"/>
              </w:rPr>
              <w:t>Strength at temperature; CC491K within its limit</w:t>
            </w:r>
          </w:p>
        </w:tc>
      </w:tr>
      <w:tr>
        <w:trPr>
          <w:cantSplit/>
        </w:trPr>
        <w:tc>
          <w:tcPr>
            <w:tcW w:type="dxa" w:w="2268"/>
            <w:vAlign w:val="top"/>
          </w:tcPr>
          <w:p>
            <w:pPr>
              <w:spacing w:after="0" w:line="240" w:lineRule="auto"/>
            </w:pPr>
            <w:r>
              <w:rPr>
                <w:color w:val="2B2F36"/>
                <w:sz w:val="16"/>
              </w:rPr>
              <w:t>Plumbing stop-cocks and fittings</w:t>
            </w:r>
          </w:p>
        </w:tc>
        <w:tc>
          <w:tcPr>
            <w:tcW w:type="dxa" w:w="3175"/>
            <w:vAlign w:val="top"/>
          </w:tcPr>
          <w:p>
            <w:pPr>
              <w:spacing w:after="0" w:line="240" w:lineRule="auto"/>
            </w:pPr>
            <w:r>
              <w:rPr>
                <w:color w:val="2B2F36"/>
                <w:sz w:val="16"/>
              </w:rPr>
              <w:t>Product standards; lead-free rules spreading</w:t>
            </w:r>
          </w:p>
        </w:tc>
        <w:tc>
          <w:tcPr>
            <w:tcW w:type="dxa" w:w="1361"/>
            <w:vAlign w:val="top"/>
          </w:tcPr>
          <w:p>
            <w:pPr>
              <w:spacing w:after="0" w:line="240" w:lineRule="auto"/>
            </w:pPr>
            <w:r>
              <w:rPr>
                <w:color w:val="2B2F36"/>
                <w:sz w:val="16"/>
              </w:rPr>
              <w:t>CC490K</w:t>
            </w:r>
          </w:p>
        </w:tc>
        <w:tc>
          <w:tcPr>
            <w:tcW w:type="dxa" w:w="2948"/>
            <w:vAlign w:val="top"/>
          </w:tcPr>
          <w:p>
            <w:pPr>
              <w:spacing w:after="0" w:line="240" w:lineRule="auto"/>
            </w:pPr>
            <w:r>
              <w:rPr>
                <w:color w:val="2B2F36"/>
                <w:sz w:val="16"/>
              </w:rPr>
              <w:t>Most exposed to lead-free rules</w:t>
            </w:r>
          </w:p>
        </w:tc>
      </w:tr>
      <w:tr>
        <w:trPr>
          <w:cantSplit/>
        </w:trPr>
        <w:tc>
          <w:tcPr>
            <w:tcW w:type="dxa" w:w="2268"/>
            <w:shd w:val="clear" w:color="auto" w:fill="F7F4EE"/>
            <w:vAlign w:val="top"/>
          </w:tcPr>
          <w:p>
            <w:pPr>
              <w:spacing w:after="0" w:line="240" w:lineRule="auto"/>
            </w:pPr>
            <w:r>
              <w:rPr>
                <w:color w:val="2B2F36"/>
                <w:sz w:val="16"/>
              </w:rPr>
              <w:t>Valve trim: seats, glands, stem bushes</w:t>
            </w:r>
          </w:p>
        </w:tc>
        <w:tc>
          <w:tcPr>
            <w:tcW w:type="dxa" w:w="3175"/>
            <w:shd w:val="clear" w:color="auto" w:fill="F7F4EE"/>
            <w:vAlign w:val="top"/>
          </w:tcPr>
          <w:p>
            <w:pPr>
              <w:spacing w:after="0" w:line="240" w:lineRule="auto"/>
            </w:pPr>
            <w:r>
              <w:rPr>
                <w:color w:val="2B2F36"/>
                <w:sz w:val="16"/>
              </w:rPr>
              <w:t>OEM drawings</w:t>
            </w:r>
          </w:p>
        </w:tc>
        <w:tc>
          <w:tcPr>
            <w:tcW w:type="dxa" w:w="1361"/>
            <w:shd w:val="clear" w:color="auto" w:fill="F7F4EE"/>
            <w:vAlign w:val="top"/>
          </w:tcPr>
          <w:p>
            <w:pPr>
              <w:spacing w:after="0" w:line="240" w:lineRule="auto"/>
            </w:pPr>
            <w:r>
              <w:rPr>
                <w:color w:val="2B2F36"/>
                <w:sz w:val="16"/>
              </w:rPr>
              <w:t>CC493K</w:t>
            </w:r>
          </w:p>
        </w:tc>
        <w:tc>
          <w:tcPr>
            <w:tcW w:type="dxa" w:w="2948"/>
            <w:shd w:val="clear" w:color="auto" w:fill="F7F4EE"/>
            <w:vAlign w:val="top"/>
          </w:tcPr>
          <w:p>
            <w:pPr>
              <w:spacing w:after="0" w:line="240" w:lineRule="auto"/>
            </w:pPr>
            <w:r>
              <w:rPr>
                <w:color w:val="2B2F36"/>
                <w:sz w:val="16"/>
              </w:rPr>
              <w:t>Wear and galling; machines freely</w:t>
            </w:r>
          </w:p>
        </w:tc>
      </w:tr>
    </w:tbl>
    <w:p>
      <w:pPr>
        <w:spacing w:after="40"/>
      </w:pPr>
    </w:p>
    <w:p>
      <w:pPr>
        <w:pStyle w:val="Heading2"/>
      </w:pPr>
      <w:r>
        <w:t>8.5 Grade-by-grade summary</w:t>
      </w:r>
    </w:p>
    <w:p>
      <w:pPr>
        <w:keepNext/>
        <w:spacing w:after="40"/>
      </w:pPr>
      <w:r>
        <w:rPr>
          <w:b/>
          <w:color w:val="5B6470"/>
          <w:sz w:val="18"/>
        </w:rPr>
        <w:t>Table 20.</w:t>
      </w:r>
      <w:r>
        <w:rPr>
          <w:color w:val="5B6470"/>
          <w:sz w:val="18"/>
        </w:rPr>
        <w:t xml:space="preserve"> Where each grade is used, and where not to use it</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907"/>
        <w:gridCol w:w="3628"/>
        <w:gridCol w:w="2721"/>
        <w:gridCol w:w="2494"/>
      </w:tblGrid>
      <w:tr>
        <w:trPr>
          <w:cantSplit/>
          <w:tblHeader/>
        </w:trPr>
        <w:tc>
          <w:tcPr>
            <w:tcW w:type="dxa" w:w="907"/>
            <w:shd w:val="clear" w:color="auto" w:fill="1F4E79"/>
            <w:vAlign w:val="center"/>
          </w:tcPr>
          <w:p>
            <w:pPr>
              <w:spacing w:after="0" w:line="240" w:lineRule="auto"/>
            </w:pPr>
            <w:r>
              <w:rPr>
                <w:b/>
                <w:color w:val="FFFFFF"/>
                <w:sz w:val="16"/>
              </w:rPr>
              <w:t>Grade</w:t>
            </w:r>
          </w:p>
        </w:tc>
        <w:tc>
          <w:tcPr>
            <w:tcW w:type="dxa" w:w="3628"/>
            <w:shd w:val="clear" w:color="auto" w:fill="1F4E79"/>
            <w:vAlign w:val="center"/>
          </w:tcPr>
          <w:p>
            <w:pPr>
              <w:spacing w:after="0" w:line="240" w:lineRule="auto"/>
            </w:pPr>
            <w:r>
              <w:rPr>
                <w:b/>
                <w:color w:val="FFFFFF"/>
                <w:sz w:val="16"/>
              </w:rPr>
              <w:t>Primary uses</w:t>
            </w:r>
          </w:p>
        </w:tc>
        <w:tc>
          <w:tcPr>
            <w:tcW w:type="dxa" w:w="2721"/>
            <w:shd w:val="clear" w:color="auto" w:fill="1F4E79"/>
            <w:vAlign w:val="center"/>
          </w:tcPr>
          <w:p>
            <w:pPr>
              <w:spacing w:after="0" w:line="240" w:lineRule="auto"/>
            </w:pPr>
            <w:r>
              <w:rPr>
                <w:b/>
                <w:color w:val="FFFFFF"/>
                <w:sz w:val="16"/>
              </w:rPr>
              <w:t>Secondary uses</w:t>
            </w:r>
          </w:p>
        </w:tc>
        <w:tc>
          <w:tcPr>
            <w:tcW w:type="dxa" w:w="2494"/>
            <w:shd w:val="clear" w:color="auto" w:fill="1F4E79"/>
            <w:vAlign w:val="center"/>
          </w:tcPr>
          <w:p>
            <w:pPr>
              <w:spacing w:after="0" w:line="240" w:lineRule="auto"/>
            </w:pPr>
            <w:r>
              <w:rPr>
                <w:b/>
                <w:color w:val="FFFFFF"/>
                <w:sz w:val="16"/>
              </w:rPr>
              <w:t>Avoid</w:t>
            </w:r>
          </w:p>
        </w:tc>
      </w:tr>
      <w:tr>
        <w:trPr>
          <w:cantSplit/>
        </w:trPr>
        <w:tc>
          <w:tcPr>
            <w:tcW w:type="dxa" w:w="907"/>
            <w:vAlign w:val="top"/>
          </w:tcPr>
          <w:p>
            <w:pPr>
              <w:spacing w:after="0" w:line="240" w:lineRule="auto"/>
            </w:pPr>
            <w:r>
              <w:rPr>
                <w:color w:val="2B2F36"/>
                <w:sz w:val="16"/>
              </w:rPr>
              <w:t>CC490K</w:t>
            </w:r>
          </w:p>
        </w:tc>
        <w:tc>
          <w:tcPr>
            <w:tcW w:type="dxa" w:w="3628"/>
            <w:vAlign w:val="top"/>
          </w:tcPr>
          <w:p>
            <w:pPr>
              <w:spacing w:after="0" w:line="240" w:lineRule="auto"/>
            </w:pPr>
            <w:r>
              <w:rPr>
                <w:color w:val="2B2F36"/>
                <w:sz w:val="16"/>
              </w:rPr>
              <w:t>Plumbing and general hardware, low-pressure valves, budget impellers, decorative</w:t>
            </w:r>
          </w:p>
        </w:tc>
        <w:tc>
          <w:tcPr>
            <w:tcW w:type="dxa" w:w="2721"/>
            <w:vAlign w:val="top"/>
          </w:tcPr>
          <w:p>
            <w:pPr>
              <w:spacing w:after="0" w:line="240" w:lineRule="auto"/>
            </w:pPr>
            <w:r>
              <w:rPr>
                <w:color w:val="2B2F36"/>
                <w:sz w:val="16"/>
              </w:rPr>
              <w:t>Meter bodies, earthing fittings (where lead is allowed)</w:t>
            </w:r>
          </w:p>
        </w:tc>
        <w:tc>
          <w:tcPr>
            <w:tcW w:type="dxa" w:w="2494"/>
            <w:vAlign w:val="top"/>
          </w:tcPr>
          <w:p>
            <w:pPr>
              <w:spacing w:after="0" w:line="240" w:lineRule="auto"/>
            </w:pPr>
            <w:r>
              <w:rPr>
                <w:color w:val="2B2F36"/>
                <w:sz w:val="16"/>
              </w:rPr>
              <w:t>Potable water in the USA/EU; bearings (3 % tin)</w:t>
            </w:r>
          </w:p>
        </w:tc>
      </w:tr>
      <w:tr>
        <w:trPr>
          <w:cantSplit/>
        </w:trPr>
        <w:tc>
          <w:tcPr>
            <w:tcW w:type="dxa" w:w="907"/>
            <w:shd w:val="clear" w:color="auto" w:fill="F7F4EE"/>
            <w:vAlign w:val="top"/>
          </w:tcPr>
          <w:p>
            <w:pPr>
              <w:spacing w:after="0" w:line="240" w:lineRule="auto"/>
            </w:pPr>
            <w:r>
              <w:rPr>
                <w:color w:val="2B2F36"/>
                <w:sz w:val="16"/>
              </w:rPr>
              <w:t>CC491K</w:t>
            </w:r>
          </w:p>
        </w:tc>
        <w:tc>
          <w:tcPr>
            <w:tcW w:type="dxa" w:w="3628"/>
            <w:shd w:val="clear" w:color="auto" w:fill="F7F4EE"/>
            <w:vAlign w:val="top"/>
          </w:tcPr>
          <w:p>
            <w:pPr>
              <w:spacing w:after="0" w:line="240" w:lineRule="auto"/>
            </w:pPr>
            <w:r>
              <w:rPr>
                <w:color w:val="2B2F36"/>
                <w:sz w:val="16"/>
              </w:rPr>
              <w:t>Pump impellers and bowls, water-works and hydrant valves, fire hardware, marine fittings, boiler mountings</w:t>
            </w:r>
          </w:p>
        </w:tc>
        <w:tc>
          <w:tcPr>
            <w:tcW w:type="dxa" w:w="2721"/>
            <w:shd w:val="clear" w:color="auto" w:fill="F7F4EE"/>
            <w:vAlign w:val="top"/>
          </w:tcPr>
          <w:p>
            <w:pPr>
              <w:spacing w:after="0" w:line="240" w:lineRule="auto"/>
            </w:pPr>
            <w:r>
              <w:rPr>
                <w:color w:val="2B2F36"/>
                <w:sz w:val="16"/>
              </w:rPr>
              <w:t>Light bushes, graphite-plugged gate bushes</w:t>
            </w:r>
          </w:p>
        </w:tc>
        <w:tc>
          <w:tcPr>
            <w:tcW w:type="dxa" w:w="2494"/>
            <w:shd w:val="clear" w:color="auto" w:fill="F7F4EE"/>
            <w:vAlign w:val="top"/>
          </w:tcPr>
          <w:p>
            <w:pPr>
              <w:spacing w:after="0" w:line="240" w:lineRule="auto"/>
            </w:pPr>
            <w:r>
              <w:rPr>
                <w:color w:val="2B2F36"/>
                <w:sz w:val="16"/>
              </w:rPr>
              <w:t>Heavy shock bearings</w:t>
            </w:r>
          </w:p>
        </w:tc>
      </w:tr>
      <w:tr>
        <w:trPr>
          <w:cantSplit/>
        </w:trPr>
        <w:tc>
          <w:tcPr>
            <w:tcW w:type="dxa" w:w="907"/>
            <w:vAlign w:val="top"/>
          </w:tcPr>
          <w:p>
            <w:pPr>
              <w:spacing w:after="0" w:line="240" w:lineRule="auto"/>
            </w:pPr>
            <w:r>
              <w:rPr>
                <w:color w:val="2B2F36"/>
                <w:sz w:val="16"/>
              </w:rPr>
              <w:t>CC492K</w:t>
            </w:r>
          </w:p>
        </w:tc>
        <w:tc>
          <w:tcPr>
            <w:tcW w:type="dxa" w:w="3628"/>
            <w:vAlign w:val="top"/>
          </w:tcPr>
          <w:p>
            <w:pPr>
              <w:spacing w:after="0" w:line="240" w:lineRule="auto"/>
            </w:pPr>
            <w:r>
              <w:rPr>
                <w:color w:val="2B2F36"/>
                <w:sz w:val="16"/>
              </w:rPr>
              <w:t>High-velocity water and sea-water pumps, pressure valves, naval castings, gears</w:t>
            </w:r>
          </w:p>
        </w:tc>
        <w:tc>
          <w:tcPr>
            <w:tcW w:type="dxa" w:w="2721"/>
            <w:vAlign w:val="top"/>
          </w:tcPr>
          <w:p>
            <w:pPr>
              <w:spacing w:after="0" w:line="240" w:lineRule="auto"/>
            </w:pPr>
            <w:r>
              <w:rPr>
                <w:color w:val="2B2F36"/>
                <w:sz w:val="16"/>
              </w:rPr>
              <w:t>Railway and engine parts (with good lubrication)</w:t>
            </w:r>
          </w:p>
        </w:tc>
        <w:tc>
          <w:tcPr>
            <w:tcW w:type="dxa" w:w="2494"/>
            <w:vAlign w:val="top"/>
          </w:tcPr>
          <w:p>
            <w:pPr>
              <w:spacing w:after="0" w:line="240" w:lineRule="auto"/>
            </w:pPr>
            <w:r>
              <w:rPr>
                <w:color w:val="2B2F36"/>
                <w:sz w:val="16"/>
              </w:rPr>
              <w:t>Bearings where lubrication can fail (3 % lead)</w:t>
            </w:r>
          </w:p>
        </w:tc>
      </w:tr>
      <w:tr>
        <w:trPr>
          <w:cantSplit/>
        </w:trPr>
        <w:tc>
          <w:tcPr>
            <w:tcW w:type="dxa" w:w="907"/>
            <w:shd w:val="clear" w:color="auto" w:fill="F7F4EE"/>
            <w:vAlign w:val="top"/>
          </w:tcPr>
          <w:p>
            <w:pPr>
              <w:spacing w:after="0" w:line="240" w:lineRule="auto"/>
            </w:pPr>
            <w:r>
              <w:rPr>
                <w:color w:val="2B2F36"/>
                <w:sz w:val="16"/>
              </w:rPr>
              <w:t>CC493K</w:t>
            </w:r>
          </w:p>
        </w:tc>
        <w:tc>
          <w:tcPr>
            <w:tcW w:type="dxa" w:w="3628"/>
            <w:shd w:val="clear" w:color="auto" w:fill="F7F4EE"/>
            <w:vAlign w:val="top"/>
          </w:tcPr>
          <w:p>
            <w:pPr>
              <w:spacing w:after="0" w:line="240" w:lineRule="auto"/>
            </w:pPr>
            <w:r>
              <w:rPr>
                <w:color w:val="2B2F36"/>
                <w:sz w:val="16"/>
              </w:rPr>
              <w:t>General bushes, hydraulic bushes, valve trim, line-shaft bearings, worm wheels</w:t>
            </w:r>
          </w:p>
        </w:tc>
        <w:tc>
          <w:tcPr>
            <w:tcW w:type="dxa" w:w="2721"/>
            <w:shd w:val="clear" w:color="auto" w:fill="F7F4EE"/>
            <w:vAlign w:val="top"/>
          </w:tcPr>
          <w:p>
            <w:pPr>
              <w:spacing w:after="0" w:line="240" w:lineRule="auto"/>
            </w:pPr>
            <w:r>
              <w:rPr>
                <w:color w:val="2B2F36"/>
                <w:sz w:val="16"/>
              </w:rPr>
              <w:t>Pump and valve bodies, tractor bushes</w:t>
            </w:r>
          </w:p>
        </w:tc>
        <w:tc>
          <w:tcPr>
            <w:tcW w:type="dxa" w:w="2494"/>
            <w:shd w:val="clear" w:color="auto" w:fill="F7F4EE"/>
            <w:vAlign w:val="top"/>
          </w:tcPr>
          <w:p>
            <w:pPr>
              <w:spacing w:after="0" w:line="240" w:lineRule="auto"/>
            </w:pPr>
            <w:r>
              <w:rPr>
                <w:color w:val="2B2F36"/>
                <w:sz w:val="16"/>
              </w:rPr>
              <w:t>Heavy shock, very dirty duty</w:t>
            </w:r>
          </w:p>
        </w:tc>
      </w:tr>
      <w:tr>
        <w:trPr>
          <w:cantSplit/>
        </w:trPr>
        <w:tc>
          <w:tcPr>
            <w:tcW w:type="dxa" w:w="907"/>
            <w:vAlign w:val="top"/>
          </w:tcPr>
          <w:p>
            <w:pPr>
              <w:spacing w:after="0" w:line="240" w:lineRule="auto"/>
            </w:pPr>
            <w:r>
              <w:rPr>
                <w:color w:val="2B2F36"/>
                <w:sz w:val="16"/>
              </w:rPr>
              <w:t>CC494K</w:t>
            </w:r>
          </w:p>
        </w:tc>
        <w:tc>
          <w:tcPr>
            <w:tcW w:type="dxa" w:w="3628"/>
            <w:vAlign w:val="top"/>
          </w:tcPr>
          <w:p>
            <w:pPr>
              <w:spacing w:after="0" w:line="240" w:lineRule="auto"/>
            </w:pPr>
            <w:r>
              <w:rPr>
                <w:color w:val="2B2F36"/>
                <w:sz w:val="16"/>
              </w:rPr>
              <w:t>Tractor, implement, textile and conveyor bushes</w:t>
            </w:r>
          </w:p>
        </w:tc>
        <w:tc>
          <w:tcPr>
            <w:tcW w:type="dxa" w:w="2721"/>
            <w:vAlign w:val="top"/>
          </w:tcPr>
          <w:p>
            <w:pPr>
              <w:spacing w:after="0" w:line="240" w:lineRule="auto"/>
            </w:pPr>
            <w:r>
              <w:rPr>
                <w:color w:val="2B2F36"/>
                <w:sz w:val="16"/>
              </w:rPr>
              <w:t>Pump wear rings, sugar-mill light bearings</w:t>
            </w:r>
          </w:p>
        </w:tc>
        <w:tc>
          <w:tcPr>
            <w:tcW w:type="dxa" w:w="2494"/>
            <w:vAlign w:val="top"/>
          </w:tcPr>
          <w:p>
            <w:pPr>
              <w:spacing w:after="0" w:line="240" w:lineRule="auto"/>
            </w:pPr>
            <w:r>
              <w:rPr>
                <w:color w:val="2B2F36"/>
                <w:sz w:val="16"/>
              </w:rPr>
              <w:t>Heavy load (lowest strength, 200 MPa)</w:t>
            </w:r>
          </w:p>
        </w:tc>
      </w:tr>
      <w:tr>
        <w:trPr>
          <w:cantSplit/>
        </w:trPr>
        <w:tc>
          <w:tcPr>
            <w:tcW w:type="dxa" w:w="907"/>
            <w:shd w:val="clear" w:color="auto" w:fill="F7F4EE"/>
            <w:vAlign w:val="top"/>
          </w:tcPr>
          <w:p>
            <w:pPr>
              <w:spacing w:after="0" w:line="240" w:lineRule="auto"/>
            </w:pPr>
            <w:r>
              <w:rPr>
                <w:color w:val="2B2F36"/>
                <w:sz w:val="16"/>
              </w:rPr>
              <w:t>CC495K</w:t>
            </w:r>
          </w:p>
        </w:tc>
        <w:tc>
          <w:tcPr>
            <w:tcW w:type="dxa" w:w="3628"/>
            <w:shd w:val="clear" w:color="auto" w:fill="F7F4EE"/>
            <w:vAlign w:val="top"/>
          </w:tcPr>
          <w:p>
            <w:pPr>
              <w:spacing w:after="0" w:line="240" w:lineRule="auto"/>
            </w:pPr>
            <w:r>
              <w:rPr>
                <w:color w:val="2B2F36"/>
                <w:sz w:val="16"/>
              </w:rPr>
              <w:t>Rolling-mill, crusher, sugar-mill, railway, marine bearings</w:t>
            </w:r>
          </w:p>
        </w:tc>
        <w:tc>
          <w:tcPr>
            <w:tcW w:type="dxa" w:w="2721"/>
            <w:shd w:val="clear" w:color="auto" w:fill="F7F4EE"/>
            <w:vAlign w:val="top"/>
          </w:tcPr>
          <w:p>
            <w:pPr>
              <w:spacing w:after="0" w:line="240" w:lineRule="auto"/>
            </w:pPr>
            <w:r>
              <w:rPr>
                <w:color w:val="2B2F36"/>
                <w:sz w:val="16"/>
              </w:rPr>
              <w:t>Engine and hydro bushes</w:t>
            </w:r>
          </w:p>
        </w:tc>
        <w:tc>
          <w:tcPr>
            <w:tcW w:type="dxa" w:w="2494"/>
            <w:shd w:val="clear" w:color="auto" w:fill="F7F4EE"/>
            <w:vAlign w:val="top"/>
          </w:tcPr>
          <w:p>
            <w:pPr>
              <w:spacing w:after="0" w:line="240" w:lineRule="auto"/>
            </w:pPr>
            <w:r>
              <w:rPr>
                <w:color w:val="2B2F36"/>
                <w:sz w:val="16"/>
              </w:rPr>
              <w:t>Pressure-tight castings; high-volume light duty (dearest)</w:t>
            </w:r>
          </w:p>
        </w:tc>
      </w:tr>
    </w:tbl>
    <w:p>
      <w:pPr>
        <w:spacing w:after="40"/>
      </w:pPr>
    </w:p>
    <w:p>
      <w:r>
        <w:br w:type="page"/>
      </w:r>
    </w:p>
    <w:p>
      <w:pPr>
        <w:pStyle w:val="Heading1"/>
      </w:pPr>
      <w:r>
        <w:t>9. Bushes and bearings deep dive</w:t>
      </w:r>
    </w:p>
    <w:p>
      <w:r>
        <w:t>Bushes and plain bearings take about 25 % of India's demand for the six grades (25 % of tonnes; 26 % of ₹ value) and are the best-paying major use because buyers value certified chemistry and even lead distribution. This section looks at the bush market from Bajaj's sales point of view.</w:t>
      </w:r>
    </w:p>
    <w:p>
      <w:pPr>
        <w:pStyle w:val="Heading2"/>
      </w:pPr>
      <w:r>
        <w:t>9.1 Why bronze bushes still win</w:t>
      </w:r>
    </w:p>
    <w:p>
      <w:pPr>
        <w:pStyle w:val="ListBullet"/>
      </w:pPr>
      <w:r>
        <w:rPr>
          <w:b/>
        </w:rPr>
        <w:t>Lead is a built-in lubricant.</w:t>
      </w:r>
      <w:r>
        <w:t xml:space="preserve"> The 5–11 % lead sits as soft islands that smear over the shaft if the oil film fails, so the bush does not seize.</w:t>
      </w:r>
    </w:p>
    <w:p>
      <w:pPr>
        <w:pStyle w:val="ListBullet"/>
      </w:pPr>
      <w:r>
        <w:rPr>
          <w:b/>
        </w:rPr>
        <w:t>Tin gives the load capacity</w:t>
      </w:r>
      <w:r>
        <w:t xml:space="preserve"> through hard delta-phase particles; CC495K (10 % tin) takes the heaviest duty.</w:t>
      </w:r>
    </w:p>
    <w:p>
      <w:pPr>
        <w:pStyle w:val="ListBullet"/>
      </w:pPr>
      <w:r>
        <w:rPr>
          <w:b/>
        </w:rPr>
        <w:t>Embeddability and conformability:</w:t>
      </w:r>
      <w:r>
        <w:t xml:space="preserve"> soft bronze swallows grit and adapts to slight misalignment instead of scoring a costly shaft.</w:t>
      </w:r>
    </w:p>
    <w:p>
      <w:pPr>
        <w:pStyle w:val="ListBullet"/>
      </w:pPr>
      <w:r>
        <w:rPr>
          <w:b/>
        </w:rPr>
        <w:t>Better than rolling bearings</w:t>
      </w:r>
      <w:r>
        <w:t xml:space="preserve"> for slow, heavy, shock, dirty and oscillating duty, and wherever a split bearing is needed.</w:t>
      </w:r>
    </w:p>
    <w:p>
      <w:pPr>
        <w:pStyle w:val="ListBullet"/>
      </w:pPr>
      <w:r>
        <w:rPr>
          <w:b/>
        </w:rPr>
        <w:t>Design limit (cited):</w:t>
      </w:r>
      <w:r>
        <w:t xml:space="preserve"> US catalogues rate C93200 (CC493K) plain bearings to 4,000 psi (27.6 MPa) load, 750 ft/min (3.8 m/s) sliding speed and PV 75,000 psi·ft/min (≈ 2.6 MPa·m/s) when lubricated (Bunting Bearings).</w:t>
      </w:r>
    </w:p>
    <w:p>
      <w:pPr>
        <w:pStyle w:val="Heading2"/>
      </w:pPr>
      <w:r>
        <w:t>9.2 Bush types and what they need</w:t>
      </w:r>
    </w:p>
    <w:p>
      <w:pPr>
        <w:keepNext/>
        <w:spacing w:after="40"/>
      </w:pPr>
      <w:r>
        <w:rPr>
          <w:b/>
          <w:color w:val="5B6470"/>
          <w:sz w:val="18"/>
        </w:rPr>
        <w:t>Table 21.</w:t>
      </w:r>
      <w:r>
        <w:rPr>
          <w:color w:val="5B6470"/>
          <w:sz w:val="18"/>
        </w:rPr>
        <w:t xml:space="preserve"> Bush types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928"/>
        <w:gridCol w:w="1247"/>
        <w:gridCol w:w="2041"/>
        <w:gridCol w:w="2154"/>
        <w:gridCol w:w="2381"/>
      </w:tblGrid>
      <w:tr>
        <w:trPr>
          <w:cantSplit/>
          <w:tblHeader/>
        </w:trPr>
        <w:tc>
          <w:tcPr>
            <w:tcW w:type="dxa" w:w="1928"/>
            <w:shd w:val="clear" w:color="auto" w:fill="1F4E79"/>
            <w:vAlign w:val="center"/>
          </w:tcPr>
          <w:p>
            <w:pPr>
              <w:spacing w:after="0" w:line="240" w:lineRule="auto"/>
            </w:pPr>
            <w:r>
              <w:rPr>
                <w:b/>
                <w:color w:val="FFFFFF"/>
                <w:sz w:val="16"/>
              </w:rPr>
              <w:t>Bush type</w:t>
            </w:r>
          </w:p>
        </w:tc>
        <w:tc>
          <w:tcPr>
            <w:tcW w:type="dxa" w:w="1247"/>
            <w:shd w:val="clear" w:color="auto" w:fill="1F4E79"/>
            <w:vAlign w:val="center"/>
          </w:tcPr>
          <w:p>
            <w:pPr>
              <w:spacing w:after="0" w:line="240" w:lineRule="auto"/>
            </w:pPr>
            <w:r>
              <w:rPr>
                <w:b/>
                <w:color w:val="FFFFFF"/>
                <w:sz w:val="16"/>
              </w:rPr>
              <w:t>Typical size</w:t>
            </w:r>
          </w:p>
        </w:tc>
        <w:tc>
          <w:tcPr>
            <w:tcW w:type="dxa" w:w="2041"/>
            <w:shd w:val="clear" w:color="auto" w:fill="1F4E79"/>
            <w:vAlign w:val="center"/>
          </w:tcPr>
          <w:p>
            <w:pPr>
              <w:spacing w:after="0" w:line="240" w:lineRule="auto"/>
            </w:pPr>
            <w:r>
              <w:rPr>
                <w:b/>
                <w:color w:val="FFFFFF"/>
                <w:sz w:val="16"/>
              </w:rPr>
              <w:t>Grades (UNS)</w:t>
            </w:r>
          </w:p>
        </w:tc>
        <w:tc>
          <w:tcPr>
            <w:tcW w:type="dxa" w:w="2154"/>
            <w:shd w:val="clear" w:color="auto" w:fill="1F4E79"/>
            <w:vAlign w:val="center"/>
          </w:tcPr>
          <w:p>
            <w:pPr>
              <w:spacing w:after="0" w:line="240" w:lineRule="auto"/>
            </w:pPr>
            <w:r>
              <w:rPr>
                <w:b/>
                <w:color w:val="FFFFFF"/>
                <w:sz w:val="16"/>
              </w:rPr>
              <w:t>Made by</w:t>
            </w:r>
          </w:p>
        </w:tc>
        <w:tc>
          <w:tcPr>
            <w:tcW w:type="dxa" w:w="2381"/>
            <w:shd w:val="clear" w:color="auto" w:fill="1F4E79"/>
            <w:vAlign w:val="center"/>
          </w:tcPr>
          <w:p>
            <w:pPr>
              <w:spacing w:after="0" w:line="240" w:lineRule="auto"/>
            </w:pPr>
            <w:r>
              <w:rPr>
                <w:b/>
                <w:color w:val="FFFFFF"/>
                <w:sz w:val="16"/>
              </w:rPr>
              <w:t>Main users</w:t>
            </w:r>
          </w:p>
        </w:tc>
      </w:tr>
      <w:tr>
        <w:trPr>
          <w:cantSplit/>
        </w:trPr>
        <w:tc>
          <w:tcPr>
            <w:tcW w:type="dxa" w:w="1928"/>
            <w:vAlign w:val="top"/>
          </w:tcPr>
          <w:p>
            <w:pPr>
              <w:spacing w:after="0" w:line="240" w:lineRule="auto"/>
            </w:pPr>
            <w:r>
              <w:rPr>
                <w:color w:val="2B2F36"/>
                <w:sz w:val="16"/>
              </w:rPr>
              <w:t>Plain sleeve bush</w:t>
            </w:r>
          </w:p>
        </w:tc>
        <w:tc>
          <w:tcPr>
            <w:tcW w:type="dxa" w:w="1247"/>
            <w:vAlign w:val="top"/>
          </w:tcPr>
          <w:p>
            <w:pPr>
              <w:spacing w:after="0" w:line="240" w:lineRule="auto"/>
            </w:pPr>
            <w:r>
              <w:rPr>
                <w:color w:val="2B2F36"/>
                <w:sz w:val="16"/>
              </w:rPr>
              <w:t>10–300 mm bore</w:t>
            </w:r>
          </w:p>
        </w:tc>
        <w:tc>
          <w:tcPr>
            <w:tcW w:type="dxa" w:w="2041"/>
            <w:vAlign w:val="top"/>
          </w:tcPr>
          <w:p>
            <w:pPr>
              <w:spacing w:after="0" w:line="240" w:lineRule="auto"/>
            </w:pPr>
            <w:r>
              <w:rPr>
                <w:color w:val="2B2F36"/>
                <w:sz w:val="16"/>
              </w:rPr>
              <w:t>CC493K (C93200), CC494K (C93500)</w:t>
            </w:r>
          </w:p>
        </w:tc>
        <w:tc>
          <w:tcPr>
            <w:tcW w:type="dxa" w:w="2154"/>
            <w:vAlign w:val="top"/>
          </w:tcPr>
          <w:p>
            <w:pPr>
              <w:spacing w:after="0" w:line="240" w:lineRule="auto"/>
            </w:pPr>
            <w:r>
              <w:rPr>
                <w:color w:val="2B2F36"/>
                <w:sz w:val="16"/>
              </w:rPr>
              <w:t>Continuous-cast tube, machined</w:t>
            </w:r>
          </w:p>
        </w:tc>
        <w:tc>
          <w:tcPr>
            <w:tcW w:type="dxa" w:w="2381"/>
            <w:vAlign w:val="top"/>
          </w:tcPr>
          <w:p>
            <w:pPr>
              <w:spacing w:after="0" w:line="240" w:lineRule="auto"/>
            </w:pPr>
            <w:r>
              <w:rPr>
                <w:color w:val="2B2F36"/>
                <w:sz w:val="16"/>
              </w:rPr>
              <w:t>Machine tools, conveyors, gearboxes, pumps</w:t>
            </w:r>
          </w:p>
        </w:tc>
      </w:tr>
      <w:tr>
        <w:trPr>
          <w:cantSplit/>
        </w:trPr>
        <w:tc>
          <w:tcPr>
            <w:tcW w:type="dxa" w:w="1928"/>
            <w:shd w:val="clear" w:color="auto" w:fill="F7F4EE"/>
            <w:vAlign w:val="top"/>
          </w:tcPr>
          <w:p>
            <w:pPr>
              <w:spacing w:after="0" w:line="240" w:lineRule="auto"/>
            </w:pPr>
            <w:r>
              <w:rPr>
                <w:color w:val="2B2F36"/>
                <w:sz w:val="16"/>
              </w:rPr>
              <w:t>Flanged bush</w:t>
            </w:r>
          </w:p>
        </w:tc>
        <w:tc>
          <w:tcPr>
            <w:tcW w:type="dxa" w:w="1247"/>
            <w:shd w:val="clear" w:color="auto" w:fill="F7F4EE"/>
            <w:vAlign w:val="top"/>
          </w:tcPr>
          <w:p>
            <w:pPr>
              <w:spacing w:after="0" w:line="240" w:lineRule="auto"/>
            </w:pPr>
            <w:r>
              <w:rPr>
                <w:color w:val="2B2F36"/>
                <w:sz w:val="16"/>
              </w:rPr>
              <w:t>10–150 mm bore</w:t>
            </w:r>
          </w:p>
        </w:tc>
        <w:tc>
          <w:tcPr>
            <w:tcW w:type="dxa" w:w="2041"/>
            <w:shd w:val="clear" w:color="auto" w:fill="F7F4EE"/>
            <w:vAlign w:val="top"/>
          </w:tcPr>
          <w:p>
            <w:pPr>
              <w:spacing w:after="0" w:line="240" w:lineRule="auto"/>
            </w:pPr>
            <w:r>
              <w:rPr>
                <w:color w:val="2B2F36"/>
                <w:sz w:val="16"/>
              </w:rPr>
              <w:t>CC493K</w:t>
            </w:r>
          </w:p>
        </w:tc>
        <w:tc>
          <w:tcPr>
            <w:tcW w:type="dxa" w:w="2154"/>
            <w:shd w:val="clear" w:color="auto" w:fill="F7F4EE"/>
            <w:vAlign w:val="top"/>
          </w:tcPr>
          <w:p>
            <w:pPr>
              <w:spacing w:after="0" w:line="240" w:lineRule="auto"/>
            </w:pPr>
            <w:r>
              <w:rPr>
                <w:color w:val="2B2F36"/>
                <w:sz w:val="16"/>
              </w:rPr>
              <w:t>Continuous-cast tube or bar</w:t>
            </w:r>
          </w:p>
        </w:tc>
        <w:tc>
          <w:tcPr>
            <w:tcW w:type="dxa" w:w="2381"/>
            <w:shd w:val="clear" w:color="auto" w:fill="F7F4EE"/>
            <w:vAlign w:val="top"/>
          </w:tcPr>
          <w:p>
            <w:pPr>
              <w:spacing w:after="0" w:line="240" w:lineRule="auto"/>
            </w:pPr>
            <w:r>
              <w:rPr>
                <w:color w:val="2B2F36"/>
                <w:sz w:val="16"/>
              </w:rPr>
              <w:t>Linkages, hydraulic cylinders</w:t>
            </w:r>
          </w:p>
        </w:tc>
      </w:tr>
      <w:tr>
        <w:trPr>
          <w:cantSplit/>
        </w:trPr>
        <w:tc>
          <w:tcPr>
            <w:tcW w:type="dxa" w:w="1928"/>
            <w:vAlign w:val="top"/>
          </w:tcPr>
          <w:p>
            <w:pPr>
              <w:spacing w:after="0" w:line="240" w:lineRule="auto"/>
            </w:pPr>
            <w:r>
              <w:rPr>
                <w:color w:val="2B2F36"/>
                <w:sz w:val="16"/>
              </w:rPr>
              <w:t>Thrust washer</w:t>
            </w:r>
          </w:p>
        </w:tc>
        <w:tc>
          <w:tcPr>
            <w:tcW w:type="dxa" w:w="1247"/>
            <w:vAlign w:val="top"/>
          </w:tcPr>
          <w:p>
            <w:pPr>
              <w:spacing w:after="0" w:line="240" w:lineRule="auto"/>
            </w:pPr>
            <w:r>
              <w:rPr>
                <w:color w:val="2B2F36"/>
                <w:sz w:val="16"/>
              </w:rPr>
              <w:t>20–300 mm OD</w:t>
            </w:r>
          </w:p>
        </w:tc>
        <w:tc>
          <w:tcPr>
            <w:tcW w:type="dxa" w:w="2041"/>
            <w:vAlign w:val="top"/>
          </w:tcPr>
          <w:p>
            <w:pPr>
              <w:spacing w:after="0" w:line="240" w:lineRule="auto"/>
            </w:pPr>
            <w:r>
              <w:rPr>
                <w:color w:val="2B2F36"/>
                <w:sz w:val="16"/>
              </w:rPr>
              <w:t>CC493K, CC495K</w:t>
            </w:r>
          </w:p>
        </w:tc>
        <w:tc>
          <w:tcPr>
            <w:tcW w:type="dxa" w:w="2154"/>
            <w:vAlign w:val="top"/>
          </w:tcPr>
          <w:p>
            <w:pPr>
              <w:spacing w:after="0" w:line="240" w:lineRule="auto"/>
            </w:pPr>
            <w:r>
              <w:rPr>
                <w:color w:val="2B2F36"/>
                <w:sz w:val="16"/>
              </w:rPr>
              <w:t>Cut from bar or tube</w:t>
            </w:r>
          </w:p>
        </w:tc>
        <w:tc>
          <w:tcPr>
            <w:tcW w:type="dxa" w:w="2381"/>
            <w:vAlign w:val="top"/>
          </w:tcPr>
          <w:p>
            <w:pPr>
              <w:spacing w:after="0" w:line="240" w:lineRule="auto"/>
            </w:pPr>
            <w:r>
              <w:rPr>
                <w:color w:val="2B2F36"/>
                <w:sz w:val="16"/>
              </w:rPr>
              <w:t>Tractor axles, gear pumps, engines</w:t>
            </w:r>
          </w:p>
        </w:tc>
      </w:tr>
      <w:tr>
        <w:trPr>
          <w:cantSplit/>
        </w:trPr>
        <w:tc>
          <w:tcPr>
            <w:tcW w:type="dxa" w:w="1928"/>
            <w:shd w:val="clear" w:color="auto" w:fill="F7F4EE"/>
            <w:vAlign w:val="top"/>
          </w:tcPr>
          <w:p>
            <w:pPr>
              <w:spacing w:after="0" w:line="240" w:lineRule="auto"/>
            </w:pPr>
            <w:r>
              <w:rPr>
                <w:color w:val="2B2F36"/>
                <w:sz w:val="16"/>
              </w:rPr>
              <w:t>Split bearing / half-shell</w:t>
            </w:r>
          </w:p>
        </w:tc>
        <w:tc>
          <w:tcPr>
            <w:tcW w:type="dxa" w:w="1247"/>
            <w:shd w:val="clear" w:color="auto" w:fill="F7F4EE"/>
            <w:vAlign w:val="top"/>
          </w:tcPr>
          <w:p>
            <w:pPr>
              <w:spacing w:after="0" w:line="240" w:lineRule="auto"/>
            </w:pPr>
            <w:r>
              <w:rPr>
                <w:color w:val="2B2F36"/>
                <w:sz w:val="16"/>
              </w:rPr>
              <w:t>100–1,500 mm</w:t>
            </w:r>
          </w:p>
        </w:tc>
        <w:tc>
          <w:tcPr>
            <w:tcW w:type="dxa" w:w="2041"/>
            <w:shd w:val="clear" w:color="auto" w:fill="F7F4EE"/>
            <w:vAlign w:val="top"/>
          </w:tcPr>
          <w:p>
            <w:pPr>
              <w:spacing w:after="0" w:line="240" w:lineRule="auto"/>
            </w:pPr>
            <w:r>
              <w:rPr>
                <w:color w:val="2B2F36"/>
                <w:sz w:val="16"/>
              </w:rPr>
              <w:t>CC495K (C93700)</w:t>
            </w:r>
          </w:p>
        </w:tc>
        <w:tc>
          <w:tcPr>
            <w:tcW w:type="dxa" w:w="2154"/>
            <w:shd w:val="clear" w:color="auto" w:fill="F7F4EE"/>
            <w:vAlign w:val="top"/>
          </w:tcPr>
          <w:p>
            <w:pPr>
              <w:spacing w:after="0" w:line="240" w:lineRule="auto"/>
            </w:pPr>
            <w:r>
              <w:rPr>
                <w:color w:val="2B2F36"/>
                <w:sz w:val="16"/>
              </w:rPr>
              <w:t>Sand or centrifugal cast</w:t>
            </w:r>
          </w:p>
        </w:tc>
        <w:tc>
          <w:tcPr>
            <w:tcW w:type="dxa" w:w="2381"/>
            <w:shd w:val="clear" w:color="auto" w:fill="F7F4EE"/>
            <w:vAlign w:val="top"/>
          </w:tcPr>
          <w:p>
            <w:pPr>
              <w:spacing w:after="0" w:line="240" w:lineRule="auto"/>
            </w:pPr>
            <w:r>
              <w:rPr>
                <w:color w:val="2B2F36"/>
                <w:sz w:val="16"/>
              </w:rPr>
              <w:t>Rolling mills, crushers, sugar mills, ships</w:t>
            </w:r>
          </w:p>
        </w:tc>
      </w:tr>
      <w:tr>
        <w:trPr>
          <w:cantSplit/>
        </w:trPr>
        <w:tc>
          <w:tcPr>
            <w:tcW w:type="dxa" w:w="1928"/>
            <w:vAlign w:val="top"/>
          </w:tcPr>
          <w:p>
            <w:pPr>
              <w:spacing w:after="0" w:line="240" w:lineRule="auto"/>
            </w:pPr>
            <w:r>
              <w:rPr>
                <w:color w:val="2B2F36"/>
                <w:sz w:val="16"/>
              </w:rPr>
              <w:t>Grooved oil / grease bush</w:t>
            </w:r>
          </w:p>
        </w:tc>
        <w:tc>
          <w:tcPr>
            <w:tcW w:type="dxa" w:w="1247"/>
            <w:vAlign w:val="top"/>
          </w:tcPr>
          <w:p>
            <w:pPr>
              <w:spacing w:after="0" w:line="240" w:lineRule="auto"/>
            </w:pPr>
            <w:r>
              <w:rPr>
                <w:color w:val="2B2F36"/>
                <w:sz w:val="16"/>
              </w:rPr>
              <w:t>Any</w:t>
            </w:r>
          </w:p>
        </w:tc>
        <w:tc>
          <w:tcPr>
            <w:tcW w:type="dxa" w:w="2041"/>
            <w:vAlign w:val="top"/>
          </w:tcPr>
          <w:p>
            <w:pPr>
              <w:spacing w:after="0" w:line="240" w:lineRule="auto"/>
            </w:pPr>
            <w:r>
              <w:rPr>
                <w:color w:val="2B2F36"/>
                <w:sz w:val="16"/>
              </w:rPr>
              <w:t>All bearing grades</w:t>
            </w:r>
          </w:p>
        </w:tc>
        <w:tc>
          <w:tcPr>
            <w:tcW w:type="dxa" w:w="2154"/>
            <w:vAlign w:val="top"/>
          </w:tcPr>
          <w:p>
            <w:pPr>
              <w:spacing w:after="0" w:line="240" w:lineRule="auto"/>
            </w:pPr>
            <w:r>
              <w:rPr>
                <w:color w:val="2B2F36"/>
                <w:sz w:val="16"/>
              </w:rPr>
              <w:t>Machined from tube</w:t>
            </w:r>
          </w:p>
        </w:tc>
        <w:tc>
          <w:tcPr>
            <w:tcW w:type="dxa" w:w="2381"/>
            <w:vAlign w:val="top"/>
          </w:tcPr>
          <w:p>
            <w:pPr>
              <w:spacing w:after="0" w:line="240" w:lineRule="auto"/>
            </w:pPr>
            <w:r>
              <w:rPr>
                <w:color w:val="2B2F36"/>
                <w:sz w:val="16"/>
              </w:rPr>
              <w:t>Cranes, presses, slow heavy pivots</w:t>
            </w:r>
          </w:p>
        </w:tc>
      </w:tr>
      <w:tr>
        <w:trPr>
          <w:cantSplit/>
        </w:trPr>
        <w:tc>
          <w:tcPr>
            <w:tcW w:type="dxa" w:w="1928"/>
            <w:shd w:val="clear" w:color="auto" w:fill="F7F4EE"/>
            <w:vAlign w:val="top"/>
          </w:tcPr>
          <w:p>
            <w:pPr>
              <w:spacing w:after="0" w:line="240" w:lineRule="auto"/>
            </w:pPr>
            <w:r>
              <w:rPr>
                <w:color w:val="2B2F36"/>
                <w:sz w:val="16"/>
              </w:rPr>
              <w:t>Graphite-plugged bush</w:t>
            </w:r>
          </w:p>
        </w:tc>
        <w:tc>
          <w:tcPr>
            <w:tcW w:type="dxa" w:w="1247"/>
            <w:shd w:val="clear" w:color="auto" w:fill="F7F4EE"/>
            <w:vAlign w:val="top"/>
          </w:tcPr>
          <w:p>
            <w:pPr>
              <w:spacing w:after="0" w:line="240" w:lineRule="auto"/>
            </w:pPr>
            <w:r>
              <w:rPr>
                <w:color w:val="2B2F36"/>
                <w:sz w:val="16"/>
              </w:rPr>
              <w:t>20–600 mm</w:t>
            </w:r>
          </w:p>
        </w:tc>
        <w:tc>
          <w:tcPr>
            <w:tcW w:type="dxa" w:w="2041"/>
            <w:shd w:val="clear" w:color="auto" w:fill="F7F4EE"/>
            <w:vAlign w:val="top"/>
          </w:tcPr>
          <w:p>
            <w:pPr>
              <w:spacing w:after="0" w:line="240" w:lineRule="auto"/>
            </w:pPr>
            <w:r>
              <w:rPr>
                <w:color w:val="2B2F36"/>
                <w:sz w:val="16"/>
              </w:rPr>
              <w:t>CC491K or CC493K base</w:t>
            </w:r>
          </w:p>
        </w:tc>
        <w:tc>
          <w:tcPr>
            <w:tcW w:type="dxa" w:w="2154"/>
            <w:shd w:val="clear" w:color="auto" w:fill="F7F4EE"/>
            <w:vAlign w:val="top"/>
          </w:tcPr>
          <w:p>
            <w:pPr>
              <w:spacing w:after="0" w:line="240" w:lineRule="auto"/>
            </w:pPr>
            <w:r>
              <w:rPr>
                <w:color w:val="2B2F36"/>
                <w:sz w:val="16"/>
              </w:rPr>
              <w:t>Machined tube + plugs</w:t>
            </w:r>
          </w:p>
        </w:tc>
        <w:tc>
          <w:tcPr>
            <w:tcW w:type="dxa" w:w="2381"/>
            <w:shd w:val="clear" w:color="auto" w:fill="F7F4EE"/>
            <w:vAlign w:val="top"/>
          </w:tcPr>
          <w:p>
            <w:pPr>
              <w:spacing w:after="0" w:line="240" w:lineRule="auto"/>
            </w:pPr>
            <w:r>
              <w:rPr>
                <w:color w:val="2B2F36"/>
                <w:sz w:val="16"/>
              </w:rPr>
              <w:t>Dam and sluice gates, hydro wicket gates</w:t>
            </w:r>
          </w:p>
        </w:tc>
      </w:tr>
      <w:tr>
        <w:trPr>
          <w:cantSplit/>
        </w:trPr>
        <w:tc>
          <w:tcPr>
            <w:tcW w:type="dxa" w:w="1928"/>
            <w:vAlign w:val="top"/>
          </w:tcPr>
          <w:p>
            <w:pPr>
              <w:spacing w:after="0" w:line="240" w:lineRule="auto"/>
            </w:pPr>
            <w:r>
              <w:rPr>
                <w:color w:val="2B2F36"/>
                <w:sz w:val="16"/>
              </w:rPr>
              <w:t>Wear / slide plate, gib</w:t>
            </w:r>
          </w:p>
        </w:tc>
        <w:tc>
          <w:tcPr>
            <w:tcW w:type="dxa" w:w="1247"/>
            <w:vAlign w:val="top"/>
          </w:tcPr>
          <w:p>
            <w:pPr>
              <w:spacing w:after="0" w:line="240" w:lineRule="auto"/>
            </w:pPr>
            <w:r>
              <w:rPr>
                <w:color w:val="2B2F36"/>
                <w:sz w:val="16"/>
              </w:rPr>
              <w:t>Plates</w:t>
            </w:r>
          </w:p>
        </w:tc>
        <w:tc>
          <w:tcPr>
            <w:tcW w:type="dxa" w:w="2041"/>
            <w:vAlign w:val="top"/>
          </w:tcPr>
          <w:p>
            <w:pPr>
              <w:spacing w:after="0" w:line="240" w:lineRule="auto"/>
            </w:pPr>
            <w:r>
              <w:rPr>
                <w:color w:val="2B2F36"/>
                <w:sz w:val="16"/>
              </w:rPr>
              <w:t>CC493K</w:t>
            </w:r>
          </w:p>
        </w:tc>
        <w:tc>
          <w:tcPr>
            <w:tcW w:type="dxa" w:w="2154"/>
            <w:vAlign w:val="top"/>
          </w:tcPr>
          <w:p>
            <w:pPr>
              <w:spacing w:after="0" w:line="240" w:lineRule="auto"/>
            </w:pPr>
            <w:r>
              <w:rPr>
                <w:color w:val="2B2F36"/>
                <w:sz w:val="16"/>
              </w:rPr>
              <w:t>Continuous-cast flat bar</w:t>
            </w:r>
          </w:p>
        </w:tc>
        <w:tc>
          <w:tcPr>
            <w:tcW w:type="dxa" w:w="2381"/>
            <w:vAlign w:val="top"/>
          </w:tcPr>
          <w:p>
            <w:pPr>
              <w:spacing w:after="0" w:line="240" w:lineRule="auto"/>
            </w:pPr>
            <w:r>
              <w:rPr>
                <w:color w:val="2B2F36"/>
                <w:sz w:val="16"/>
              </w:rPr>
              <w:t>Presses, die sets, machine-tool slides</w:t>
            </w:r>
          </w:p>
        </w:tc>
      </w:tr>
      <w:tr>
        <w:trPr>
          <w:cantSplit/>
        </w:trPr>
        <w:tc>
          <w:tcPr>
            <w:tcW w:type="dxa" w:w="1928"/>
            <w:shd w:val="clear" w:color="auto" w:fill="F7F4EE"/>
            <w:vAlign w:val="top"/>
          </w:tcPr>
          <w:p>
            <w:pPr>
              <w:spacing w:after="0" w:line="240" w:lineRule="auto"/>
            </w:pPr>
            <w:r>
              <w:rPr>
                <w:color w:val="2B2F36"/>
                <w:sz w:val="16"/>
              </w:rPr>
              <w:t>Water-lubricated line-shaft bearing</w:t>
            </w:r>
          </w:p>
        </w:tc>
        <w:tc>
          <w:tcPr>
            <w:tcW w:type="dxa" w:w="1247"/>
            <w:shd w:val="clear" w:color="auto" w:fill="F7F4EE"/>
            <w:vAlign w:val="top"/>
          </w:tcPr>
          <w:p>
            <w:pPr>
              <w:spacing w:after="0" w:line="240" w:lineRule="auto"/>
            </w:pPr>
            <w:r>
              <w:rPr>
                <w:color w:val="2B2F36"/>
                <w:sz w:val="16"/>
              </w:rPr>
              <w:t>25–150 mm</w:t>
            </w:r>
          </w:p>
        </w:tc>
        <w:tc>
          <w:tcPr>
            <w:tcW w:type="dxa" w:w="2041"/>
            <w:shd w:val="clear" w:color="auto" w:fill="F7F4EE"/>
            <w:vAlign w:val="top"/>
          </w:tcPr>
          <w:p>
            <w:pPr>
              <w:spacing w:after="0" w:line="240" w:lineRule="auto"/>
            </w:pPr>
            <w:r>
              <w:rPr>
                <w:color w:val="2B2F36"/>
                <w:sz w:val="16"/>
              </w:rPr>
              <w:t>CC491K, CC493K</w:t>
            </w:r>
          </w:p>
        </w:tc>
        <w:tc>
          <w:tcPr>
            <w:tcW w:type="dxa" w:w="2154"/>
            <w:shd w:val="clear" w:color="auto" w:fill="F7F4EE"/>
            <w:vAlign w:val="top"/>
          </w:tcPr>
          <w:p>
            <w:pPr>
              <w:spacing w:after="0" w:line="240" w:lineRule="auto"/>
            </w:pPr>
            <w:r>
              <w:rPr>
                <w:color w:val="2B2F36"/>
                <w:sz w:val="16"/>
              </w:rPr>
              <w:t>Continuous-cast tube</w:t>
            </w:r>
          </w:p>
        </w:tc>
        <w:tc>
          <w:tcPr>
            <w:tcW w:type="dxa" w:w="2381"/>
            <w:shd w:val="clear" w:color="auto" w:fill="F7F4EE"/>
            <w:vAlign w:val="top"/>
          </w:tcPr>
          <w:p>
            <w:pPr>
              <w:spacing w:after="0" w:line="240" w:lineRule="auto"/>
            </w:pPr>
            <w:r>
              <w:rPr>
                <w:color w:val="2B2F36"/>
                <w:sz w:val="16"/>
              </w:rPr>
              <w:t>Vertical turbine and borewell pumps</w:t>
            </w:r>
          </w:p>
        </w:tc>
      </w:tr>
      <w:tr>
        <w:trPr>
          <w:cantSplit/>
        </w:trPr>
        <w:tc>
          <w:tcPr>
            <w:tcW w:type="dxa" w:w="1928"/>
            <w:vAlign w:val="top"/>
          </w:tcPr>
          <w:p>
            <w:pPr>
              <w:spacing w:after="0" w:line="240" w:lineRule="auto"/>
            </w:pPr>
            <w:r>
              <w:rPr>
                <w:color w:val="2B2F36"/>
                <w:sz w:val="16"/>
              </w:rPr>
              <w:t>Bush stock (bar, tube)</w:t>
            </w:r>
          </w:p>
        </w:tc>
        <w:tc>
          <w:tcPr>
            <w:tcW w:type="dxa" w:w="1247"/>
            <w:vAlign w:val="top"/>
          </w:tcPr>
          <w:p>
            <w:pPr>
              <w:spacing w:after="0" w:line="240" w:lineRule="auto"/>
            </w:pPr>
            <w:r>
              <w:rPr>
                <w:color w:val="2B2F36"/>
                <w:sz w:val="16"/>
              </w:rPr>
              <w:t>15–300 mm OD</w:t>
            </w:r>
          </w:p>
        </w:tc>
        <w:tc>
          <w:tcPr>
            <w:tcW w:type="dxa" w:w="2041"/>
            <w:vAlign w:val="top"/>
          </w:tcPr>
          <w:p>
            <w:pPr>
              <w:spacing w:after="0" w:line="240" w:lineRule="auto"/>
            </w:pPr>
            <w:r>
              <w:rPr>
                <w:color w:val="2B2F36"/>
                <w:sz w:val="16"/>
              </w:rPr>
              <w:t>CC493K, CC495K</w:t>
            </w:r>
          </w:p>
        </w:tc>
        <w:tc>
          <w:tcPr>
            <w:tcW w:type="dxa" w:w="2154"/>
            <w:vAlign w:val="top"/>
          </w:tcPr>
          <w:p>
            <w:pPr>
              <w:spacing w:after="0" w:line="240" w:lineRule="auto"/>
            </w:pPr>
            <w:r>
              <w:rPr>
                <w:color w:val="2B2F36"/>
                <w:sz w:val="16"/>
              </w:rPr>
              <w:t>Continuous casting</w:t>
            </w:r>
          </w:p>
        </w:tc>
        <w:tc>
          <w:tcPr>
            <w:tcW w:type="dxa" w:w="2381"/>
            <w:vAlign w:val="top"/>
          </w:tcPr>
          <w:p>
            <w:pPr>
              <w:spacing w:after="0" w:line="240" w:lineRule="auto"/>
            </w:pPr>
            <w:r>
              <w:rPr>
                <w:color w:val="2B2F36"/>
                <w:sz w:val="16"/>
              </w:rPr>
              <w:t>Stockists, job shops, maintenance stores</w:t>
            </w:r>
          </w:p>
        </w:tc>
      </w:tr>
    </w:tbl>
    <w:p>
      <w:pPr>
        <w:spacing w:after="40"/>
      </w:pPr>
    </w:p>
    <w:p>
      <w:pPr>
        <w:pStyle w:val="Heading2"/>
      </w:pPr>
      <w:r>
        <w:t>9.3 Who buys bushes</w:t>
      </w:r>
    </w:p>
    <w:p>
      <w:pPr>
        <w:keepNext/>
        <w:spacing w:after="40"/>
        <w:jc w:val="center"/>
      </w:pPr>
      <w:r>
        <w:drawing>
          <wp:inline xmlns:a="http://schemas.openxmlformats.org/drawingml/2006/main" xmlns:pic="http://schemas.openxmlformats.org/drawingml/2006/picture">
            <wp:extent cx="6192000" cy="2880432"/>
            <wp:docPr id="28" name="Picture 28"/>
            <wp:cNvGraphicFramePr>
              <a:graphicFrameLocks noChangeAspect="1"/>
            </wp:cNvGraphicFramePr>
            <a:graphic>
              <a:graphicData uri="http://schemas.openxmlformats.org/drawingml/2006/picture">
                <pic:pic>
                  <pic:nvPicPr>
                    <pic:cNvPr id="0" name="d09.png"/>
                    <pic:cNvPicPr/>
                  </pic:nvPicPr>
                  <pic:blipFill>
                    <a:blip r:embed="rId38"/>
                    <a:stretch>
                      <a:fillRect/>
                    </a:stretch>
                  </pic:blipFill>
                  <pic:spPr>
                    <a:xfrm>
                      <a:off x="0" y="0"/>
                      <a:ext cx="6192000" cy="2880432"/>
                    </a:xfrm>
                    <a:prstGeom prst="rect"/>
                  </pic:spPr>
                </pic:pic>
              </a:graphicData>
            </a:graphic>
          </wp:inline>
        </w:drawing>
      </w:r>
    </w:p>
    <w:p>
      <w:pPr>
        <w:spacing w:after="160"/>
      </w:pPr>
      <w:r>
        <w:rPr>
          <w:b/>
          <w:color w:val="5B6470"/>
          <w:sz w:val="17"/>
        </w:rPr>
        <w:t>Figure 28.</w:t>
      </w:r>
      <w:r>
        <w:rPr>
          <w:color w:val="5B6470"/>
          <w:sz w:val="17"/>
        </w:rPr>
        <w:t xml:space="preserve"> The bush segment split by end industry. Machine tools, tractors, steel mills, earth-moving and mining take 60 % of bush tonnes; tractors and earth-moving grow fastest (+7 %/yr). Estimate.</w:t>
      </w:r>
    </w:p>
    <w:p>
      <w:pPr>
        <w:keepNext/>
        <w:spacing w:after="40"/>
      </w:pPr>
      <w:r>
        <w:rPr>
          <w:b/>
          <w:color w:val="5B6470"/>
          <w:sz w:val="18"/>
        </w:rPr>
        <w:t>Table 22.</w:t>
      </w:r>
      <w:r>
        <w:rPr>
          <w:color w:val="5B6470"/>
          <w:sz w:val="18"/>
        </w:rPr>
        <w:t xml:space="preserve"> Bush buyers, growth and the nearest cluster to Bhiwadi</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041"/>
        <w:gridCol w:w="680"/>
        <w:gridCol w:w="680"/>
        <w:gridCol w:w="1474"/>
        <w:gridCol w:w="3855"/>
        <w:gridCol w:w="1020"/>
      </w:tblGrid>
      <w:tr>
        <w:trPr>
          <w:cantSplit/>
          <w:tblHeader/>
        </w:trPr>
        <w:tc>
          <w:tcPr>
            <w:tcW w:type="dxa" w:w="2041"/>
            <w:shd w:val="clear" w:color="auto" w:fill="1F4E79"/>
            <w:vAlign w:val="center"/>
          </w:tcPr>
          <w:p>
            <w:pPr>
              <w:spacing w:after="0" w:line="240" w:lineRule="auto"/>
            </w:pPr>
            <w:r>
              <w:rPr>
                <w:b/>
                <w:color w:val="FFFFFF"/>
                <w:sz w:val="16"/>
              </w:rPr>
              <w:t>End industry</w:t>
            </w:r>
          </w:p>
        </w:tc>
        <w:tc>
          <w:tcPr>
            <w:tcW w:type="dxa" w:w="680"/>
            <w:shd w:val="clear" w:color="auto" w:fill="1F4E79"/>
            <w:vAlign w:val="center"/>
          </w:tcPr>
          <w:p>
            <w:pPr>
              <w:spacing w:after="0" w:line="240" w:lineRule="auto"/>
            </w:pPr>
            <w:r>
              <w:rPr>
                <w:b/>
                <w:color w:val="FFFFFF"/>
                <w:sz w:val="16"/>
              </w:rPr>
              <w:t>Share</w:t>
            </w:r>
          </w:p>
        </w:tc>
        <w:tc>
          <w:tcPr>
            <w:tcW w:type="dxa" w:w="680"/>
            <w:shd w:val="clear" w:color="auto" w:fill="1F4E79"/>
            <w:vAlign w:val="center"/>
          </w:tcPr>
          <w:p>
            <w:pPr>
              <w:spacing w:after="0" w:line="240" w:lineRule="auto"/>
            </w:pPr>
            <w:r>
              <w:rPr>
                <w:b/>
                <w:color w:val="FFFFFF"/>
                <w:sz w:val="16"/>
              </w:rPr>
              <w:t>Growth</w:t>
            </w:r>
          </w:p>
        </w:tc>
        <w:tc>
          <w:tcPr>
            <w:tcW w:type="dxa" w:w="1474"/>
            <w:shd w:val="clear" w:color="auto" w:fill="1F4E79"/>
            <w:vAlign w:val="center"/>
          </w:tcPr>
          <w:p>
            <w:pPr>
              <w:spacing w:after="0" w:line="240" w:lineRule="auto"/>
            </w:pPr>
            <w:r>
              <w:rPr>
                <w:b/>
                <w:color w:val="FFFFFF"/>
                <w:sz w:val="16"/>
              </w:rPr>
              <w:t>Main grade (UNS)</w:t>
            </w:r>
          </w:p>
        </w:tc>
        <w:tc>
          <w:tcPr>
            <w:tcW w:type="dxa" w:w="3855"/>
            <w:shd w:val="clear" w:color="auto" w:fill="1F4E79"/>
            <w:vAlign w:val="center"/>
          </w:tcPr>
          <w:p>
            <w:pPr>
              <w:spacing w:after="0" w:line="240" w:lineRule="auto"/>
            </w:pPr>
            <w:r>
              <w:rPr>
                <w:b/>
                <w:color w:val="FFFFFF"/>
                <w:sz w:val="16"/>
              </w:rPr>
              <w:t>Buyer clusters (approx. km from Bhiwadi)</w:t>
            </w:r>
          </w:p>
        </w:tc>
        <w:tc>
          <w:tcPr>
            <w:tcW w:type="dxa" w:w="1020"/>
            <w:shd w:val="clear" w:color="auto" w:fill="1F4E79"/>
            <w:vAlign w:val="center"/>
          </w:tcPr>
          <w:p>
            <w:pPr>
              <w:spacing w:after="0" w:line="240" w:lineRule="auto"/>
            </w:pPr>
            <w:r>
              <w:rPr>
                <w:b/>
                <w:color w:val="FFFFFF"/>
                <w:sz w:val="16"/>
              </w:rPr>
              <w:t>Nearest</w:t>
            </w:r>
          </w:p>
        </w:tc>
      </w:tr>
      <w:tr>
        <w:trPr>
          <w:cantSplit/>
        </w:trPr>
        <w:tc>
          <w:tcPr>
            <w:tcW w:type="dxa" w:w="2041"/>
            <w:vAlign w:val="top"/>
          </w:tcPr>
          <w:p>
            <w:pPr>
              <w:spacing w:after="0" w:line="240" w:lineRule="auto"/>
            </w:pPr>
            <w:r>
              <w:rPr>
                <w:color w:val="2B2F36"/>
                <w:sz w:val="16"/>
              </w:rPr>
              <w:t>Machine tools &amp; general engineering</w:t>
            </w:r>
          </w:p>
        </w:tc>
        <w:tc>
          <w:tcPr>
            <w:tcW w:type="dxa" w:w="680"/>
            <w:vAlign w:val="top"/>
          </w:tcPr>
          <w:p>
            <w:pPr>
              <w:spacing w:after="0" w:line="240" w:lineRule="auto"/>
              <w:jc w:val="center"/>
            </w:pPr>
            <w:r>
              <w:rPr>
                <w:color w:val="2B2F36"/>
                <w:sz w:val="16"/>
              </w:rPr>
              <w:t>18 %</w:t>
            </w:r>
          </w:p>
        </w:tc>
        <w:tc>
          <w:tcPr>
            <w:tcW w:type="dxa" w:w="680"/>
            <w:vAlign w:val="top"/>
          </w:tcPr>
          <w:p>
            <w:pPr>
              <w:spacing w:after="0" w:line="240" w:lineRule="auto"/>
              <w:jc w:val="center"/>
            </w:pPr>
            <w:r>
              <w:rPr>
                <w:color w:val="2B2F36"/>
                <w:sz w:val="16"/>
              </w:rPr>
              <w:t>+4</w:t>
            </w:r>
          </w:p>
        </w:tc>
        <w:tc>
          <w:tcPr>
            <w:tcW w:type="dxa" w:w="1474"/>
            <w:vAlign w:val="top"/>
          </w:tcPr>
          <w:p>
            <w:pPr>
              <w:spacing w:after="0" w:line="240" w:lineRule="auto"/>
            </w:pPr>
            <w:r>
              <w:rPr>
                <w:color w:val="2B2F36"/>
                <w:sz w:val="16"/>
              </w:rPr>
              <w:t>CC493K (C93200)</w:t>
            </w:r>
          </w:p>
        </w:tc>
        <w:tc>
          <w:tcPr>
            <w:tcW w:type="dxa" w:w="3855"/>
            <w:vAlign w:val="top"/>
          </w:tcPr>
          <w:p>
            <w:pPr>
              <w:spacing w:after="0" w:line="240" w:lineRule="auto"/>
            </w:pPr>
            <w:r>
              <w:rPr>
                <w:color w:val="2B2F36"/>
                <w:sz w:val="16"/>
              </w:rPr>
              <w:t>Ludhiana (430), Pune (1,450), Rajkot (1,050), Coimbatore (2,300)</w:t>
            </w:r>
          </w:p>
        </w:tc>
        <w:tc>
          <w:tcPr>
            <w:tcW w:type="dxa" w:w="1020"/>
            <w:vAlign w:val="top"/>
          </w:tcPr>
          <w:p>
            <w:pPr>
              <w:spacing w:after="0" w:line="240" w:lineRule="auto"/>
              <w:jc w:val="center"/>
            </w:pPr>
            <w:r>
              <w:rPr>
                <w:color w:val="2B2F36"/>
                <w:sz w:val="16"/>
              </w:rPr>
              <w:t>430 km</w:t>
            </w:r>
          </w:p>
        </w:tc>
      </w:tr>
      <w:tr>
        <w:trPr>
          <w:cantSplit/>
        </w:trPr>
        <w:tc>
          <w:tcPr>
            <w:tcW w:type="dxa" w:w="2041"/>
            <w:shd w:val="clear" w:color="auto" w:fill="F7F4EE"/>
            <w:vAlign w:val="top"/>
          </w:tcPr>
          <w:p>
            <w:pPr>
              <w:spacing w:after="0" w:line="240" w:lineRule="auto"/>
            </w:pPr>
            <w:r>
              <w:rPr>
                <w:color w:val="2B2F36"/>
                <w:sz w:val="16"/>
              </w:rPr>
              <w:t>Tractors &amp; farm machinery</w:t>
            </w:r>
          </w:p>
        </w:tc>
        <w:tc>
          <w:tcPr>
            <w:tcW w:type="dxa" w:w="680"/>
            <w:shd w:val="clear" w:color="auto" w:fill="F7F4EE"/>
            <w:vAlign w:val="top"/>
          </w:tcPr>
          <w:p>
            <w:pPr>
              <w:spacing w:after="0" w:line="240" w:lineRule="auto"/>
              <w:jc w:val="center"/>
            </w:pPr>
            <w:r>
              <w:rPr>
                <w:color w:val="2B2F36"/>
                <w:sz w:val="16"/>
              </w:rPr>
              <w:t>14 %</w:t>
            </w:r>
          </w:p>
        </w:tc>
        <w:tc>
          <w:tcPr>
            <w:tcW w:type="dxa" w:w="680"/>
            <w:shd w:val="clear" w:color="auto" w:fill="F7F4EE"/>
            <w:vAlign w:val="top"/>
          </w:tcPr>
          <w:p>
            <w:pPr>
              <w:spacing w:after="0" w:line="240" w:lineRule="auto"/>
              <w:jc w:val="center"/>
            </w:pPr>
            <w:r>
              <w:rPr>
                <w:color w:val="2B2F36"/>
                <w:sz w:val="16"/>
              </w:rPr>
              <w:t>+7</w:t>
            </w:r>
          </w:p>
        </w:tc>
        <w:tc>
          <w:tcPr>
            <w:tcW w:type="dxa" w:w="1474"/>
            <w:shd w:val="clear" w:color="auto" w:fill="F7F4EE"/>
            <w:vAlign w:val="top"/>
          </w:tcPr>
          <w:p>
            <w:pPr>
              <w:spacing w:after="0" w:line="240" w:lineRule="auto"/>
            </w:pPr>
            <w:r>
              <w:rPr>
                <w:color w:val="2B2F36"/>
                <w:sz w:val="16"/>
              </w:rPr>
              <w:t>CC494K / CC493K</w:t>
            </w:r>
          </w:p>
        </w:tc>
        <w:tc>
          <w:tcPr>
            <w:tcW w:type="dxa" w:w="3855"/>
            <w:shd w:val="clear" w:color="auto" w:fill="F7F4EE"/>
            <w:vAlign w:val="top"/>
          </w:tcPr>
          <w:p>
            <w:pPr>
              <w:spacing w:after="0" w:line="240" w:lineRule="auto"/>
            </w:pPr>
            <w:r>
              <w:rPr>
                <w:b/>
                <w:color w:val="2B2F36"/>
                <w:sz w:val="16"/>
              </w:rPr>
              <w:t>Faridabad (110)</w:t>
            </w:r>
            <w:r>
              <w:rPr>
                <w:color w:val="2B2F36"/>
                <w:sz w:val="16"/>
              </w:rPr>
              <w:t>, Mohali (440), Pune, Chennai</w:t>
            </w:r>
          </w:p>
        </w:tc>
        <w:tc>
          <w:tcPr>
            <w:tcW w:type="dxa" w:w="1020"/>
            <w:shd w:val="clear" w:color="auto" w:fill="F7F4EE"/>
            <w:vAlign w:val="top"/>
          </w:tcPr>
          <w:p>
            <w:pPr>
              <w:spacing w:after="0" w:line="240" w:lineRule="auto"/>
              <w:jc w:val="center"/>
            </w:pPr>
            <w:r>
              <w:rPr>
                <w:color w:val="2B2F36"/>
                <w:sz w:val="16"/>
              </w:rPr>
              <w:t>110 km</w:t>
            </w:r>
          </w:p>
        </w:tc>
      </w:tr>
      <w:tr>
        <w:trPr>
          <w:cantSplit/>
        </w:trPr>
        <w:tc>
          <w:tcPr>
            <w:tcW w:type="dxa" w:w="2041"/>
            <w:vAlign w:val="top"/>
          </w:tcPr>
          <w:p>
            <w:pPr>
              <w:spacing w:after="0" w:line="240" w:lineRule="auto"/>
            </w:pPr>
            <w:r>
              <w:rPr>
                <w:color w:val="2B2F36"/>
                <w:sz w:val="16"/>
              </w:rPr>
              <w:t>Steel &amp; rolling mills</w:t>
            </w:r>
          </w:p>
        </w:tc>
        <w:tc>
          <w:tcPr>
            <w:tcW w:type="dxa" w:w="680"/>
            <w:vAlign w:val="top"/>
          </w:tcPr>
          <w:p>
            <w:pPr>
              <w:spacing w:after="0" w:line="240" w:lineRule="auto"/>
              <w:jc w:val="center"/>
            </w:pPr>
            <w:r>
              <w:rPr>
                <w:color w:val="2B2F36"/>
                <w:sz w:val="16"/>
              </w:rPr>
              <w:t>10 %</w:t>
            </w:r>
          </w:p>
        </w:tc>
        <w:tc>
          <w:tcPr>
            <w:tcW w:type="dxa" w:w="680"/>
            <w:vAlign w:val="top"/>
          </w:tcPr>
          <w:p>
            <w:pPr>
              <w:spacing w:after="0" w:line="240" w:lineRule="auto"/>
              <w:jc w:val="center"/>
            </w:pPr>
            <w:r>
              <w:rPr>
                <w:color w:val="2B2F36"/>
                <w:sz w:val="16"/>
              </w:rPr>
              <w:t>+5</w:t>
            </w:r>
          </w:p>
        </w:tc>
        <w:tc>
          <w:tcPr>
            <w:tcW w:type="dxa" w:w="1474"/>
            <w:vAlign w:val="top"/>
          </w:tcPr>
          <w:p>
            <w:pPr>
              <w:spacing w:after="0" w:line="240" w:lineRule="auto"/>
            </w:pPr>
            <w:r>
              <w:rPr>
                <w:color w:val="2B2F36"/>
                <w:sz w:val="16"/>
              </w:rPr>
              <w:t>CC495K (C93700)</w:t>
            </w:r>
          </w:p>
        </w:tc>
        <w:tc>
          <w:tcPr>
            <w:tcW w:type="dxa" w:w="3855"/>
            <w:vAlign w:val="top"/>
          </w:tcPr>
          <w:p>
            <w:pPr>
              <w:spacing w:after="0" w:line="240" w:lineRule="auto"/>
            </w:pPr>
            <w:r>
              <w:rPr>
                <w:color w:val="2B2F36"/>
                <w:sz w:val="16"/>
              </w:rPr>
              <w:t>Mandi Gobindgarh (≈ 400); Jharkhand, Odisha, Chhattisgarh (&gt; 1,200)</w:t>
            </w:r>
          </w:p>
        </w:tc>
        <w:tc>
          <w:tcPr>
            <w:tcW w:type="dxa" w:w="1020"/>
            <w:vAlign w:val="top"/>
          </w:tcPr>
          <w:p>
            <w:pPr>
              <w:spacing w:after="0" w:line="240" w:lineRule="auto"/>
              <w:jc w:val="center"/>
            </w:pPr>
            <w:r>
              <w:rPr>
                <w:color w:val="2B2F36"/>
                <w:sz w:val="16"/>
              </w:rPr>
              <w:t>≈ 400 km</w:t>
            </w:r>
          </w:p>
        </w:tc>
      </w:tr>
      <w:tr>
        <w:trPr>
          <w:cantSplit/>
        </w:trPr>
        <w:tc>
          <w:tcPr>
            <w:tcW w:type="dxa" w:w="2041"/>
            <w:shd w:val="clear" w:color="auto" w:fill="F7F4EE"/>
            <w:vAlign w:val="top"/>
          </w:tcPr>
          <w:p>
            <w:pPr>
              <w:spacing w:after="0" w:line="240" w:lineRule="auto"/>
            </w:pPr>
            <w:r>
              <w:rPr>
                <w:color w:val="2B2F36"/>
                <w:sz w:val="16"/>
              </w:rPr>
              <w:t>Earth-moving &amp; construction</w:t>
            </w:r>
          </w:p>
        </w:tc>
        <w:tc>
          <w:tcPr>
            <w:tcW w:type="dxa" w:w="680"/>
            <w:shd w:val="clear" w:color="auto" w:fill="F7F4EE"/>
            <w:vAlign w:val="top"/>
          </w:tcPr>
          <w:p>
            <w:pPr>
              <w:spacing w:after="0" w:line="240" w:lineRule="auto"/>
              <w:jc w:val="center"/>
            </w:pPr>
            <w:r>
              <w:rPr>
                <w:color w:val="2B2F36"/>
                <w:sz w:val="16"/>
              </w:rPr>
              <w:t>9 %</w:t>
            </w:r>
          </w:p>
        </w:tc>
        <w:tc>
          <w:tcPr>
            <w:tcW w:type="dxa" w:w="680"/>
            <w:shd w:val="clear" w:color="auto" w:fill="F7F4EE"/>
            <w:vAlign w:val="top"/>
          </w:tcPr>
          <w:p>
            <w:pPr>
              <w:spacing w:after="0" w:line="240" w:lineRule="auto"/>
              <w:jc w:val="center"/>
            </w:pPr>
            <w:r>
              <w:rPr>
                <w:color w:val="2B2F36"/>
                <w:sz w:val="16"/>
              </w:rPr>
              <w:t>+7</w:t>
            </w:r>
          </w:p>
        </w:tc>
        <w:tc>
          <w:tcPr>
            <w:tcW w:type="dxa" w:w="1474"/>
            <w:shd w:val="clear" w:color="auto" w:fill="F7F4EE"/>
            <w:vAlign w:val="top"/>
          </w:tcPr>
          <w:p>
            <w:pPr>
              <w:spacing w:after="0" w:line="240" w:lineRule="auto"/>
            </w:pPr>
            <w:r>
              <w:rPr>
                <w:color w:val="2B2F36"/>
                <w:sz w:val="16"/>
              </w:rPr>
              <w:t>CC493K / CC495K</w:t>
            </w:r>
          </w:p>
        </w:tc>
        <w:tc>
          <w:tcPr>
            <w:tcW w:type="dxa" w:w="3855"/>
            <w:shd w:val="clear" w:color="auto" w:fill="F7F4EE"/>
            <w:vAlign w:val="top"/>
          </w:tcPr>
          <w:p>
            <w:pPr>
              <w:spacing w:after="0" w:line="240" w:lineRule="auto"/>
            </w:pPr>
            <w:r>
              <w:rPr>
                <w:b/>
                <w:color w:val="2B2F36"/>
                <w:sz w:val="16"/>
              </w:rPr>
              <w:t>Faridabad–Ballabgarh (110)</w:t>
            </w:r>
            <w:r>
              <w:rPr>
                <w:color w:val="2B2F36"/>
                <w:sz w:val="16"/>
              </w:rPr>
              <w:t>, Bengaluru, Pithampur, Kharagpur</w:t>
            </w:r>
          </w:p>
        </w:tc>
        <w:tc>
          <w:tcPr>
            <w:tcW w:type="dxa" w:w="1020"/>
            <w:shd w:val="clear" w:color="auto" w:fill="F7F4EE"/>
            <w:vAlign w:val="top"/>
          </w:tcPr>
          <w:p>
            <w:pPr>
              <w:spacing w:after="0" w:line="240" w:lineRule="auto"/>
              <w:jc w:val="center"/>
            </w:pPr>
            <w:r>
              <w:rPr>
                <w:color w:val="2B2F36"/>
                <w:sz w:val="16"/>
              </w:rPr>
              <w:t>110 km</w:t>
            </w:r>
          </w:p>
        </w:tc>
      </w:tr>
      <w:tr>
        <w:trPr>
          <w:cantSplit/>
        </w:trPr>
        <w:tc>
          <w:tcPr>
            <w:tcW w:type="dxa" w:w="2041"/>
            <w:vAlign w:val="top"/>
          </w:tcPr>
          <w:p>
            <w:pPr>
              <w:spacing w:after="0" w:line="240" w:lineRule="auto"/>
            </w:pPr>
            <w:r>
              <w:rPr>
                <w:color w:val="2B2F36"/>
                <w:sz w:val="16"/>
              </w:rPr>
              <w:t>Mining, cement &amp; crushers</w:t>
            </w:r>
          </w:p>
        </w:tc>
        <w:tc>
          <w:tcPr>
            <w:tcW w:type="dxa" w:w="680"/>
            <w:vAlign w:val="top"/>
          </w:tcPr>
          <w:p>
            <w:pPr>
              <w:spacing w:after="0" w:line="240" w:lineRule="auto"/>
              <w:jc w:val="center"/>
            </w:pPr>
            <w:r>
              <w:rPr>
                <w:color w:val="2B2F36"/>
                <w:sz w:val="16"/>
              </w:rPr>
              <w:t>9 %</w:t>
            </w:r>
          </w:p>
        </w:tc>
        <w:tc>
          <w:tcPr>
            <w:tcW w:type="dxa" w:w="680"/>
            <w:vAlign w:val="top"/>
          </w:tcPr>
          <w:p>
            <w:pPr>
              <w:spacing w:after="0" w:line="240" w:lineRule="auto"/>
              <w:jc w:val="center"/>
            </w:pPr>
            <w:r>
              <w:rPr>
                <w:color w:val="2B2F36"/>
                <w:sz w:val="16"/>
              </w:rPr>
              <w:t>+5</w:t>
            </w:r>
          </w:p>
        </w:tc>
        <w:tc>
          <w:tcPr>
            <w:tcW w:type="dxa" w:w="1474"/>
            <w:vAlign w:val="top"/>
          </w:tcPr>
          <w:p>
            <w:pPr>
              <w:spacing w:after="0" w:line="240" w:lineRule="auto"/>
            </w:pPr>
            <w:r>
              <w:rPr>
                <w:color w:val="2B2F36"/>
                <w:sz w:val="16"/>
              </w:rPr>
              <w:t>CC495K</w:t>
            </w:r>
          </w:p>
        </w:tc>
        <w:tc>
          <w:tcPr>
            <w:tcW w:type="dxa" w:w="3855"/>
            <w:vAlign w:val="top"/>
          </w:tcPr>
          <w:p>
            <w:pPr>
              <w:spacing w:after="0" w:line="240" w:lineRule="auto"/>
            </w:pPr>
            <w:r>
              <w:rPr>
                <w:color w:val="2B2F36"/>
                <w:sz w:val="16"/>
              </w:rPr>
              <w:t>Beawar (340), Chittorgarh–Nimbahera (540), MP, AP</w:t>
            </w:r>
          </w:p>
        </w:tc>
        <w:tc>
          <w:tcPr>
            <w:tcW w:type="dxa" w:w="1020"/>
            <w:vAlign w:val="top"/>
          </w:tcPr>
          <w:p>
            <w:pPr>
              <w:spacing w:after="0" w:line="240" w:lineRule="auto"/>
              <w:jc w:val="center"/>
            </w:pPr>
            <w:r>
              <w:rPr>
                <w:color w:val="2B2F36"/>
                <w:sz w:val="16"/>
              </w:rPr>
              <w:t>340 km</w:t>
            </w:r>
          </w:p>
        </w:tc>
      </w:tr>
      <w:tr>
        <w:trPr>
          <w:cantSplit/>
        </w:trPr>
        <w:tc>
          <w:tcPr>
            <w:tcW w:type="dxa" w:w="2041"/>
            <w:shd w:val="clear" w:color="auto" w:fill="F7F4EE"/>
            <w:vAlign w:val="top"/>
          </w:tcPr>
          <w:p>
            <w:pPr>
              <w:spacing w:after="0" w:line="240" w:lineRule="auto"/>
            </w:pPr>
            <w:r>
              <w:rPr>
                <w:color w:val="2B2F36"/>
                <w:sz w:val="16"/>
              </w:rPr>
              <w:t>Pumps (wear rings, line-shaft)</w:t>
            </w:r>
          </w:p>
        </w:tc>
        <w:tc>
          <w:tcPr>
            <w:tcW w:type="dxa" w:w="680"/>
            <w:shd w:val="clear" w:color="auto" w:fill="F7F4EE"/>
            <w:vAlign w:val="top"/>
          </w:tcPr>
          <w:p>
            <w:pPr>
              <w:spacing w:after="0" w:line="240" w:lineRule="auto"/>
              <w:jc w:val="center"/>
            </w:pPr>
            <w:r>
              <w:rPr>
                <w:color w:val="2B2F36"/>
                <w:sz w:val="16"/>
              </w:rPr>
              <w:t>8 %</w:t>
            </w:r>
          </w:p>
        </w:tc>
        <w:tc>
          <w:tcPr>
            <w:tcW w:type="dxa" w:w="680"/>
            <w:shd w:val="clear" w:color="auto" w:fill="F7F4EE"/>
            <w:vAlign w:val="top"/>
          </w:tcPr>
          <w:p>
            <w:pPr>
              <w:spacing w:after="0" w:line="240" w:lineRule="auto"/>
              <w:jc w:val="center"/>
            </w:pPr>
            <w:r>
              <w:rPr>
                <w:color w:val="2B2F36"/>
                <w:sz w:val="16"/>
              </w:rPr>
              <w:t>+3</w:t>
            </w:r>
          </w:p>
        </w:tc>
        <w:tc>
          <w:tcPr>
            <w:tcW w:type="dxa" w:w="1474"/>
            <w:shd w:val="clear" w:color="auto" w:fill="F7F4EE"/>
            <w:vAlign w:val="top"/>
          </w:tcPr>
          <w:p>
            <w:pPr>
              <w:spacing w:after="0" w:line="240" w:lineRule="auto"/>
            </w:pPr>
            <w:r>
              <w:rPr>
                <w:color w:val="2B2F36"/>
                <w:sz w:val="16"/>
              </w:rPr>
              <w:t>CC493K / CC494K</w:t>
            </w:r>
          </w:p>
        </w:tc>
        <w:tc>
          <w:tcPr>
            <w:tcW w:type="dxa" w:w="3855"/>
            <w:shd w:val="clear" w:color="auto" w:fill="F7F4EE"/>
            <w:vAlign w:val="top"/>
          </w:tcPr>
          <w:p>
            <w:pPr>
              <w:spacing w:after="0" w:line="240" w:lineRule="auto"/>
            </w:pPr>
            <w:r>
              <w:rPr>
                <w:color w:val="2B2F36"/>
                <w:sz w:val="16"/>
              </w:rPr>
              <w:t>Ahmedabad (900), Kolhapur (1,650), Coimbatore (2,300)</w:t>
            </w:r>
          </w:p>
        </w:tc>
        <w:tc>
          <w:tcPr>
            <w:tcW w:type="dxa" w:w="1020"/>
            <w:shd w:val="clear" w:color="auto" w:fill="F7F4EE"/>
            <w:vAlign w:val="top"/>
          </w:tcPr>
          <w:p>
            <w:pPr>
              <w:spacing w:after="0" w:line="240" w:lineRule="auto"/>
              <w:jc w:val="center"/>
            </w:pPr>
            <w:r>
              <w:rPr>
                <w:color w:val="2B2F36"/>
                <w:sz w:val="16"/>
              </w:rPr>
              <w:t>900 km</w:t>
            </w:r>
          </w:p>
        </w:tc>
      </w:tr>
      <w:tr>
        <w:trPr>
          <w:cantSplit/>
        </w:trPr>
        <w:tc>
          <w:tcPr>
            <w:tcW w:type="dxa" w:w="2041"/>
            <w:vAlign w:val="top"/>
          </w:tcPr>
          <w:p>
            <w:pPr>
              <w:spacing w:after="0" w:line="240" w:lineRule="auto"/>
            </w:pPr>
            <w:r>
              <w:rPr>
                <w:color w:val="2B2F36"/>
                <w:sz w:val="16"/>
              </w:rPr>
              <w:t>Railways &amp; metro</w:t>
            </w:r>
          </w:p>
        </w:tc>
        <w:tc>
          <w:tcPr>
            <w:tcW w:type="dxa" w:w="680"/>
            <w:vAlign w:val="top"/>
          </w:tcPr>
          <w:p>
            <w:pPr>
              <w:spacing w:after="0" w:line="240" w:lineRule="auto"/>
              <w:jc w:val="center"/>
            </w:pPr>
            <w:r>
              <w:rPr>
                <w:color w:val="2B2F36"/>
                <w:sz w:val="16"/>
              </w:rPr>
              <w:t>7 %</w:t>
            </w:r>
          </w:p>
        </w:tc>
        <w:tc>
          <w:tcPr>
            <w:tcW w:type="dxa" w:w="680"/>
            <w:vAlign w:val="top"/>
          </w:tcPr>
          <w:p>
            <w:pPr>
              <w:spacing w:after="0" w:line="240" w:lineRule="auto"/>
              <w:jc w:val="center"/>
            </w:pPr>
            <w:r>
              <w:rPr>
                <w:color w:val="2B2F36"/>
                <w:sz w:val="16"/>
              </w:rPr>
              <w:t>+6</w:t>
            </w:r>
          </w:p>
        </w:tc>
        <w:tc>
          <w:tcPr>
            <w:tcW w:type="dxa" w:w="1474"/>
            <w:vAlign w:val="top"/>
          </w:tcPr>
          <w:p>
            <w:pPr>
              <w:spacing w:after="0" w:line="240" w:lineRule="auto"/>
            </w:pPr>
            <w:r>
              <w:rPr>
                <w:color w:val="2B2F36"/>
                <w:sz w:val="16"/>
              </w:rPr>
              <w:t>CC495K</w:t>
            </w:r>
          </w:p>
        </w:tc>
        <w:tc>
          <w:tcPr>
            <w:tcW w:type="dxa" w:w="3855"/>
            <w:vAlign w:val="top"/>
          </w:tcPr>
          <w:p>
            <w:pPr>
              <w:spacing w:after="0" w:line="240" w:lineRule="auto"/>
            </w:pPr>
            <w:r>
              <w:rPr>
                <w:b/>
                <w:color w:val="2B2F36"/>
                <w:sz w:val="16"/>
              </w:rPr>
              <w:t>Delhi-NCR workshops (125)</w:t>
            </w:r>
            <w:r>
              <w:rPr>
                <w:color w:val="2B2F36"/>
                <w:sz w:val="16"/>
              </w:rPr>
              <w:t>, Varanasi, Kolkata, Chennai</w:t>
            </w:r>
          </w:p>
        </w:tc>
        <w:tc>
          <w:tcPr>
            <w:tcW w:type="dxa" w:w="1020"/>
            <w:vAlign w:val="top"/>
          </w:tcPr>
          <w:p>
            <w:pPr>
              <w:spacing w:after="0" w:line="240" w:lineRule="auto"/>
              <w:jc w:val="center"/>
            </w:pPr>
            <w:r>
              <w:rPr>
                <w:color w:val="2B2F36"/>
                <w:sz w:val="16"/>
              </w:rPr>
              <w:t>125 km</w:t>
            </w:r>
          </w:p>
        </w:tc>
      </w:tr>
      <w:tr>
        <w:trPr>
          <w:cantSplit/>
        </w:trPr>
        <w:tc>
          <w:tcPr>
            <w:tcW w:type="dxa" w:w="2041"/>
            <w:shd w:val="clear" w:color="auto" w:fill="F7F4EE"/>
            <w:vAlign w:val="top"/>
          </w:tcPr>
          <w:p>
            <w:pPr>
              <w:spacing w:after="0" w:line="240" w:lineRule="auto"/>
            </w:pPr>
            <w:r>
              <w:rPr>
                <w:color w:val="2B2F36"/>
                <w:sz w:val="16"/>
              </w:rPr>
              <w:t>Hydraulic cylinders &amp; valves</w:t>
            </w:r>
          </w:p>
        </w:tc>
        <w:tc>
          <w:tcPr>
            <w:tcW w:type="dxa" w:w="680"/>
            <w:shd w:val="clear" w:color="auto" w:fill="F7F4EE"/>
            <w:vAlign w:val="top"/>
          </w:tcPr>
          <w:p>
            <w:pPr>
              <w:spacing w:after="0" w:line="240" w:lineRule="auto"/>
              <w:jc w:val="center"/>
            </w:pPr>
            <w:r>
              <w:rPr>
                <w:color w:val="2B2F36"/>
                <w:sz w:val="16"/>
              </w:rPr>
              <w:t>6 %</w:t>
            </w:r>
          </w:p>
        </w:tc>
        <w:tc>
          <w:tcPr>
            <w:tcW w:type="dxa" w:w="680"/>
            <w:shd w:val="clear" w:color="auto" w:fill="F7F4EE"/>
            <w:vAlign w:val="top"/>
          </w:tcPr>
          <w:p>
            <w:pPr>
              <w:spacing w:after="0" w:line="240" w:lineRule="auto"/>
              <w:jc w:val="center"/>
            </w:pPr>
            <w:r>
              <w:rPr>
                <w:color w:val="2B2F36"/>
                <w:sz w:val="16"/>
              </w:rPr>
              <w:t>+5</w:t>
            </w:r>
          </w:p>
        </w:tc>
        <w:tc>
          <w:tcPr>
            <w:tcW w:type="dxa" w:w="1474"/>
            <w:shd w:val="clear" w:color="auto" w:fill="F7F4EE"/>
            <w:vAlign w:val="top"/>
          </w:tcPr>
          <w:p>
            <w:pPr>
              <w:spacing w:after="0" w:line="240" w:lineRule="auto"/>
            </w:pPr>
            <w:r>
              <w:rPr>
                <w:color w:val="2B2F36"/>
                <w:sz w:val="16"/>
              </w:rPr>
              <w:t>CC493K</w:t>
            </w:r>
          </w:p>
        </w:tc>
        <w:tc>
          <w:tcPr>
            <w:tcW w:type="dxa" w:w="3855"/>
            <w:shd w:val="clear" w:color="auto" w:fill="F7F4EE"/>
            <w:vAlign w:val="top"/>
          </w:tcPr>
          <w:p>
            <w:pPr>
              <w:spacing w:after="0" w:line="240" w:lineRule="auto"/>
            </w:pPr>
            <w:r>
              <w:rPr>
                <w:b/>
                <w:color w:val="2B2F36"/>
                <w:sz w:val="16"/>
              </w:rPr>
              <w:t>Faridabad (110)</w:t>
            </w:r>
            <w:r>
              <w:rPr>
                <w:color w:val="2B2F36"/>
                <w:sz w:val="16"/>
              </w:rPr>
              <w:t>, Pune, Ahmedabad</w:t>
            </w:r>
          </w:p>
        </w:tc>
        <w:tc>
          <w:tcPr>
            <w:tcW w:type="dxa" w:w="1020"/>
            <w:shd w:val="clear" w:color="auto" w:fill="F7F4EE"/>
            <w:vAlign w:val="top"/>
          </w:tcPr>
          <w:p>
            <w:pPr>
              <w:spacing w:after="0" w:line="240" w:lineRule="auto"/>
              <w:jc w:val="center"/>
            </w:pPr>
            <w:r>
              <w:rPr>
                <w:color w:val="2B2F36"/>
                <w:sz w:val="16"/>
              </w:rPr>
              <w:t>110 km</w:t>
            </w:r>
          </w:p>
        </w:tc>
      </w:tr>
      <w:tr>
        <w:trPr>
          <w:cantSplit/>
        </w:trPr>
        <w:tc>
          <w:tcPr>
            <w:tcW w:type="dxa" w:w="2041"/>
            <w:vAlign w:val="top"/>
          </w:tcPr>
          <w:p>
            <w:pPr>
              <w:spacing w:after="0" w:line="240" w:lineRule="auto"/>
            </w:pPr>
            <w:r>
              <w:rPr>
                <w:color w:val="2B2F36"/>
                <w:sz w:val="16"/>
              </w:rPr>
              <w:t>Textile &amp; food machinery</w:t>
            </w:r>
          </w:p>
        </w:tc>
        <w:tc>
          <w:tcPr>
            <w:tcW w:type="dxa" w:w="680"/>
            <w:vAlign w:val="top"/>
          </w:tcPr>
          <w:p>
            <w:pPr>
              <w:spacing w:after="0" w:line="240" w:lineRule="auto"/>
              <w:jc w:val="center"/>
            </w:pPr>
            <w:r>
              <w:rPr>
                <w:color w:val="2B2F36"/>
                <w:sz w:val="16"/>
              </w:rPr>
              <w:t>5 %</w:t>
            </w:r>
          </w:p>
        </w:tc>
        <w:tc>
          <w:tcPr>
            <w:tcW w:type="dxa" w:w="680"/>
            <w:vAlign w:val="top"/>
          </w:tcPr>
          <w:p>
            <w:pPr>
              <w:spacing w:after="0" w:line="240" w:lineRule="auto"/>
              <w:jc w:val="center"/>
            </w:pPr>
            <w:r>
              <w:rPr>
                <w:color w:val="2B2F36"/>
                <w:sz w:val="16"/>
              </w:rPr>
              <w:t>+2</w:t>
            </w:r>
          </w:p>
        </w:tc>
        <w:tc>
          <w:tcPr>
            <w:tcW w:type="dxa" w:w="1474"/>
            <w:vAlign w:val="top"/>
          </w:tcPr>
          <w:p>
            <w:pPr>
              <w:spacing w:after="0" w:line="240" w:lineRule="auto"/>
            </w:pPr>
            <w:r>
              <w:rPr>
                <w:color w:val="2B2F36"/>
                <w:sz w:val="16"/>
              </w:rPr>
              <w:t>CC494K</w:t>
            </w:r>
          </w:p>
        </w:tc>
        <w:tc>
          <w:tcPr>
            <w:tcW w:type="dxa" w:w="3855"/>
            <w:vAlign w:val="top"/>
          </w:tcPr>
          <w:p>
            <w:pPr>
              <w:spacing w:after="0" w:line="240" w:lineRule="auto"/>
            </w:pPr>
            <w:r>
              <w:rPr>
                <w:color w:val="2B2F36"/>
                <w:sz w:val="16"/>
              </w:rPr>
              <w:t>Ludhiana (430), Bhilwara, Surat, Coimbatore</w:t>
            </w:r>
          </w:p>
        </w:tc>
        <w:tc>
          <w:tcPr>
            <w:tcW w:type="dxa" w:w="1020"/>
            <w:vAlign w:val="top"/>
          </w:tcPr>
          <w:p>
            <w:pPr>
              <w:spacing w:after="0" w:line="240" w:lineRule="auto"/>
              <w:jc w:val="center"/>
            </w:pPr>
            <w:r>
              <w:rPr>
                <w:color w:val="2B2F36"/>
                <w:sz w:val="16"/>
              </w:rPr>
              <w:t>430 km</w:t>
            </w:r>
          </w:p>
        </w:tc>
      </w:tr>
      <w:tr>
        <w:trPr>
          <w:cantSplit/>
        </w:trPr>
        <w:tc>
          <w:tcPr>
            <w:tcW w:type="dxa" w:w="2041"/>
            <w:shd w:val="clear" w:color="auto" w:fill="F7F4EE"/>
            <w:vAlign w:val="top"/>
          </w:tcPr>
          <w:p>
            <w:pPr>
              <w:spacing w:after="0" w:line="240" w:lineRule="auto"/>
            </w:pPr>
            <w:r>
              <w:rPr>
                <w:color w:val="2B2F36"/>
                <w:sz w:val="16"/>
              </w:rPr>
              <w:t>Cranes, hoists &amp; handling</w:t>
            </w:r>
          </w:p>
        </w:tc>
        <w:tc>
          <w:tcPr>
            <w:tcW w:type="dxa" w:w="680"/>
            <w:shd w:val="clear" w:color="auto" w:fill="F7F4EE"/>
            <w:vAlign w:val="top"/>
          </w:tcPr>
          <w:p>
            <w:pPr>
              <w:spacing w:after="0" w:line="240" w:lineRule="auto"/>
              <w:jc w:val="center"/>
            </w:pPr>
            <w:r>
              <w:rPr>
                <w:color w:val="2B2F36"/>
                <w:sz w:val="16"/>
              </w:rPr>
              <w:t>5 %</w:t>
            </w:r>
          </w:p>
        </w:tc>
        <w:tc>
          <w:tcPr>
            <w:tcW w:type="dxa" w:w="680"/>
            <w:shd w:val="clear" w:color="auto" w:fill="F7F4EE"/>
            <w:vAlign w:val="top"/>
          </w:tcPr>
          <w:p>
            <w:pPr>
              <w:spacing w:after="0" w:line="240" w:lineRule="auto"/>
              <w:jc w:val="center"/>
            </w:pPr>
            <w:r>
              <w:rPr>
                <w:color w:val="2B2F36"/>
                <w:sz w:val="16"/>
              </w:rPr>
              <w:t>+5</w:t>
            </w:r>
          </w:p>
        </w:tc>
        <w:tc>
          <w:tcPr>
            <w:tcW w:type="dxa" w:w="1474"/>
            <w:shd w:val="clear" w:color="auto" w:fill="F7F4EE"/>
            <w:vAlign w:val="top"/>
          </w:tcPr>
          <w:p>
            <w:pPr>
              <w:spacing w:after="0" w:line="240" w:lineRule="auto"/>
            </w:pPr>
            <w:r>
              <w:rPr>
                <w:color w:val="2B2F36"/>
                <w:sz w:val="16"/>
              </w:rPr>
              <w:t>CC493K / CC495K</w:t>
            </w:r>
          </w:p>
        </w:tc>
        <w:tc>
          <w:tcPr>
            <w:tcW w:type="dxa" w:w="3855"/>
            <w:shd w:val="clear" w:color="auto" w:fill="F7F4EE"/>
            <w:vAlign w:val="top"/>
          </w:tcPr>
          <w:p>
            <w:pPr>
              <w:spacing w:after="0" w:line="240" w:lineRule="auto"/>
            </w:pPr>
            <w:r>
              <w:rPr>
                <w:b/>
                <w:color w:val="2B2F36"/>
                <w:sz w:val="16"/>
              </w:rPr>
              <w:t>Faridabad (110)</w:t>
            </w:r>
            <w:r>
              <w:rPr>
                <w:color w:val="2B2F36"/>
                <w:sz w:val="16"/>
              </w:rPr>
              <w:t>, Mumbai, Kolkata</w:t>
            </w:r>
          </w:p>
        </w:tc>
        <w:tc>
          <w:tcPr>
            <w:tcW w:type="dxa" w:w="1020"/>
            <w:shd w:val="clear" w:color="auto" w:fill="F7F4EE"/>
            <w:vAlign w:val="top"/>
          </w:tcPr>
          <w:p>
            <w:pPr>
              <w:spacing w:after="0" w:line="240" w:lineRule="auto"/>
              <w:jc w:val="center"/>
            </w:pPr>
            <w:r>
              <w:rPr>
                <w:color w:val="2B2F36"/>
                <w:sz w:val="16"/>
              </w:rPr>
              <w:t>110 km</w:t>
            </w:r>
          </w:p>
        </w:tc>
      </w:tr>
      <w:tr>
        <w:trPr>
          <w:cantSplit/>
        </w:trPr>
        <w:tc>
          <w:tcPr>
            <w:tcW w:type="dxa" w:w="2041"/>
            <w:vAlign w:val="top"/>
          </w:tcPr>
          <w:p>
            <w:pPr>
              <w:spacing w:after="0" w:line="240" w:lineRule="auto"/>
            </w:pPr>
            <w:r>
              <w:rPr>
                <w:color w:val="2B2F36"/>
                <w:sz w:val="16"/>
              </w:rPr>
              <w:t>Power plants &amp; hydro</w:t>
            </w:r>
          </w:p>
        </w:tc>
        <w:tc>
          <w:tcPr>
            <w:tcW w:type="dxa" w:w="680"/>
            <w:vAlign w:val="top"/>
          </w:tcPr>
          <w:p>
            <w:pPr>
              <w:spacing w:after="0" w:line="240" w:lineRule="auto"/>
              <w:jc w:val="center"/>
            </w:pPr>
            <w:r>
              <w:rPr>
                <w:color w:val="2B2F36"/>
                <w:sz w:val="16"/>
              </w:rPr>
              <w:t>4 %</w:t>
            </w:r>
          </w:p>
        </w:tc>
        <w:tc>
          <w:tcPr>
            <w:tcW w:type="dxa" w:w="680"/>
            <w:vAlign w:val="top"/>
          </w:tcPr>
          <w:p>
            <w:pPr>
              <w:spacing w:after="0" w:line="240" w:lineRule="auto"/>
              <w:jc w:val="center"/>
            </w:pPr>
            <w:r>
              <w:rPr>
                <w:color w:val="2B2F36"/>
                <w:sz w:val="16"/>
              </w:rPr>
              <w:t>+6</w:t>
            </w:r>
          </w:p>
        </w:tc>
        <w:tc>
          <w:tcPr>
            <w:tcW w:type="dxa" w:w="1474"/>
            <w:vAlign w:val="top"/>
          </w:tcPr>
          <w:p>
            <w:pPr>
              <w:spacing w:after="0" w:line="240" w:lineRule="auto"/>
            </w:pPr>
            <w:r>
              <w:rPr>
                <w:color w:val="2B2F36"/>
                <w:sz w:val="16"/>
              </w:rPr>
              <w:t>CC495K / CC493K</w:t>
            </w:r>
          </w:p>
        </w:tc>
        <w:tc>
          <w:tcPr>
            <w:tcW w:type="dxa" w:w="3855"/>
            <w:vAlign w:val="top"/>
          </w:tcPr>
          <w:p>
            <w:pPr>
              <w:spacing w:after="0" w:line="240" w:lineRule="auto"/>
            </w:pPr>
            <w:r>
              <w:rPr>
                <w:b/>
                <w:color w:val="2B2F36"/>
                <w:sz w:val="16"/>
              </w:rPr>
              <w:t>Prithla (130), Noida (150)</w:t>
            </w:r>
            <w:r>
              <w:rPr>
                <w:color w:val="2B2F36"/>
                <w:sz w:val="16"/>
              </w:rPr>
              <w:t>, Haridwar (340), Bhopal</w:t>
            </w:r>
          </w:p>
        </w:tc>
        <w:tc>
          <w:tcPr>
            <w:tcW w:type="dxa" w:w="1020"/>
            <w:vAlign w:val="top"/>
          </w:tcPr>
          <w:p>
            <w:pPr>
              <w:spacing w:after="0" w:line="240" w:lineRule="auto"/>
              <w:jc w:val="center"/>
            </w:pPr>
            <w:r>
              <w:rPr>
                <w:color w:val="2B2F36"/>
                <w:sz w:val="16"/>
              </w:rPr>
              <w:t>130 km</w:t>
            </w:r>
          </w:p>
        </w:tc>
      </w:tr>
      <w:tr>
        <w:trPr>
          <w:cantSplit/>
        </w:trPr>
        <w:tc>
          <w:tcPr>
            <w:tcW w:type="dxa" w:w="2041"/>
            <w:shd w:val="clear" w:color="auto" w:fill="F7F4EE"/>
            <w:vAlign w:val="top"/>
          </w:tcPr>
          <w:p>
            <w:pPr>
              <w:spacing w:after="0" w:line="240" w:lineRule="auto"/>
            </w:pPr>
            <w:r>
              <w:rPr>
                <w:color w:val="2B2F36"/>
                <w:sz w:val="16"/>
              </w:rPr>
              <w:t>Marine</w:t>
            </w:r>
          </w:p>
        </w:tc>
        <w:tc>
          <w:tcPr>
            <w:tcW w:type="dxa" w:w="680"/>
            <w:shd w:val="clear" w:color="auto" w:fill="F7F4EE"/>
            <w:vAlign w:val="top"/>
          </w:tcPr>
          <w:p>
            <w:pPr>
              <w:spacing w:after="0" w:line="240" w:lineRule="auto"/>
              <w:jc w:val="center"/>
            </w:pPr>
            <w:r>
              <w:rPr>
                <w:color w:val="2B2F36"/>
                <w:sz w:val="16"/>
              </w:rPr>
              <w:t>3 %</w:t>
            </w:r>
          </w:p>
        </w:tc>
        <w:tc>
          <w:tcPr>
            <w:tcW w:type="dxa" w:w="680"/>
            <w:shd w:val="clear" w:color="auto" w:fill="F7F4EE"/>
            <w:vAlign w:val="top"/>
          </w:tcPr>
          <w:p>
            <w:pPr>
              <w:spacing w:after="0" w:line="240" w:lineRule="auto"/>
              <w:jc w:val="center"/>
            </w:pPr>
            <w:r>
              <w:rPr>
                <w:color w:val="2B2F36"/>
                <w:sz w:val="16"/>
              </w:rPr>
              <w:t>+6</w:t>
            </w:r>
          </w:p>
        </w:tc>
        <w:tc>
          <w:tcPr>
            <w:tcW w:type="dxa" w:w="1474"/>
            <w:shd w:val="clear" w:color="auto" w:fill="F7F4EE"/>
            <w:vAlign w:val="top"/>
          </w:tcPr>
          <w:p>
            <w:pPr>
              <w:spacing w:after="0" w:line="240" w:lineRule="auto"/>
            </w:pPr>
            <w:r>
              <w:rPr>
                <w:color w:val="2B2F36"/>
                <w:sz w:val="16"/>
              </w:rPr>
              <w:t>CC495K</w:t>
            </w:r>
          </w:p>
        </w:tc>
        <w:tc>
          <w:tcPr>
            <w:tcW w:type="dxa" w:w="3855"/>
            <w:shd w:val="clear" w:color="auto" w:fill="F7F4EE"/>
            <w:vAlign w:val="top"/>
          </w:tcPr>
          <w:p>
            <w:pPr>
              <w:spacing w:after="0" w:line="240" w:lineRule="auto"/>
            </w:pPr>
            <w:r>
              <w:rPr>
                <w:color w:val="2B2F36"/>
                <w:sz w:val="16"/>
              </w:rPr>
              <w:t>Mumbai, Kochi, Visakhapatnam, Kolkata (&gt; 1,300)</w:t>
            </w:r>
          </w:p>
        </w:tc>
        <w:tc>
          <w:tcPr>
            <w:tcW w:type="dxa" w:w="1020"/>
            <w:shd w:val="clear" w:color="auto" w:fill="F7F4EE"/>
            <w:vAlign w:val="top"/>
          </w:tcPr>
          <w:p>
            <w:pPr>
              <w:spacing w:after="0" w:line="240" w:lineRule="auto"/>
              <w:jc w:val="center"/>
            </w:pPr>
            <w:r>
              <w:rPr>
                <w:color w:val="2B2F36"/>
                <w:sz w:val="16"/>
              </w:rPr>
              <w:t>&gt; 1,300 km</w:t>
            </w:r>
          </w:p>
        </w:tc>
      </w:tr>
      <w:tr>
        <w:trPr>
          <w:cantSplit/>
        </w:trPr>
        <w:tc>
          <w:tcPr>
            <w:tcW w:type="dxa" w:w="2041"/>
            <w:vAlign w:val="top"/>
          </w:tcPr>
          <w:p>
            <w:pPr>
              <w:spacing w:after="0" w:line="240" w:lineRule="auto"/>
            </w:pPr>
            <w:r>
              <w:rPr>
                <w:color w:val="2B2F36"/>
                <w:sz w:val="16"/>
              </w:rPr>
              <w:t>Automotive aftermarket</w:t>
            </w:r>
          </w:p>
        </w:tc>
        <w:tc>
          <w:tcPr>
            <w:tcW w:type="dxa" w:w="680"/>
            <w:vAlign w:val="top"/>
          </w:tcPr>
          <w:p>
            <w:pPr>
              <w:spacing w:after="0" w:line="240" w:lineRule="auto"/>
              <w:jc w:val="center"/>
            </w:pPr>
            <w:r>
              <w:rPr>
                <w:color w:val="2B2F36"/>
                <w:sz w:val="16"/>
              </w:rPr>
              <w:t>2 %</w:t>
            </w:r>
          </w:p>
        </w:tc>
        <w:tc>
          <w:tcPr>
            <w:tcW w:type="dxa" w:w="680"/>
            <w:vAlign w:val="top"/>
          </w:tcPr>
          <w:p>
            <w:pPr>
              <w:spacing w:after="0" w:line="240" w:lineRule="auto"/>
              <w:jc w:val="center"/>
            </w:pPr>
            <w:r>
              <w:rPr>
                <w:color w:val="2B2F36"/>
                <w:sz w:val="16"/>
              </w:rPr>
              <w:t>0</w:t>
            </w:r>
          </w:p>
        </w:tc>
        <w:tc>
          <w:tcPr>
            <w:tcW w:type="dxa" w:w="1474"/>
            <w:vAlign w:val="top"/>
          </w:tcPr>
          <w:p>
            <w:pPr>
              <w:spacing w:after="0" w:line="240" w:lineRule="auto"/>
            </w:pPr>
            <w:r>
              <w:rPr>
                <w:color w:val="2B2F36"/>
                <w:sz w:val="16"/>
              </w:rPr>
              <w:t>CC493K</w:t>
            </w:r>
          </w:p>
        </w:tc>
        <w:tc>
          <w:tcPr>
            <w:tcW w:type="dxa" w:w="3855"/>
            <w:vAlign w:val="top"/>
          </w:tcPr>
          <w:p>
            <w:pPr>
              <w:spacing w:after="0" w:line="240" w:lineRule="auto"/>
            </w:pPr>
            <w:r>
              <w:rPr>
                <w:b/>
                <w:color w:val="2B2F36"/>
                <w:sz w:val="16"/>
              </w:rPr>
              <w:t>Delhi (125)</w:t>
            </w:r>
            <w:r>
              <w:rPr>
                <w:color w:val="2B2F36"/>
                <w:sz w:val="16"/>
              </w:rPr>
              <w:t>, Jalandhar (470)</w:t>
            </w:r>
          </w:p>
        </w:tc>
        <w:tc>
          <w:tcPr>
            <w:tcW w:type="dxa" w:w="1020"/>
            <w:vAlign w:val="top"/>
          </w:tcPr>
          <w:p>
            <w:pPr>
              <w:spacing w:after="0" w:line="240" w:lineRule="auto"/>
              <w:jc w:val="center"/>
            </w:pPr>
            <w:r>
              <w:rPr>
                <w:color w:val="2B2F36"/>
                <w:sz w:val="16"/>
              </w:rPr>
              <w:t>125 km</w:t>
            </w:r>
          </w:p>
        </w:tc>
      </w:tr>
    </w:tbl>
    <w:p>
      <w:pPr>
        <w:spacing w:after="40"/>
      </w:pPr>
    </w:p>
    <w:p>
      <w:r>
        <w:t>Industries that have a main buyer cluster within about 160 km of Bhiwadi account for 47 % of bush tonnes. Each cluster holds only part of its industry's national volume, so the scorecard (Section 10.1) assumes about 40 % of bush buyers are within 450 km.</w:t>
      </w:r>
    </w:p>
    <w:p>
      <w:pPr>
        <w:pStyle w:val="Heading2"/>
      </w:pPr>
      <w:r>
        <w:t>9.4 Geography: which clusters are really near</w:t>
      </w:r>
    </w:p>
    <w:p>
      <w:pPr>
        <w:keepNext/>
        <w:spacing w:after="40"/>
        <w:jc w:val="center"/>
      </w:pPr>
      <w:r>
        <w:drawing>
          <wp:inline xmlns:a="http://schemas.openxmlformats.org/drawingml/2006/main" xmlns:pic="http://schemas.openxmlformats.org/drawingml/2006/picture">
            <wp:extent cx="5220000" cy="3189999"/>
            <wp:docPr id="29" name="Picture 29"/>
            <wp:cNvGraphicFramePr>
              <a:graphicFrameLocks noChangeAspect="1"/>
            </wp:cNvGraphicFramePr>
            <a:graphic>
              <a:graphicData uri="http://schemas.openxmlformats.org/drawingml/2006/picture">
                <pic:pic>
                  <pic:nvPicPr>
                    <pic:cNvPr id="0" name="d10.png"/>
                    <pic:cNvPicPr/>
                  </pic:nvPicPr>
                  <pic:blipFill>
                    <a:blip r:embed="rId39"/>
                    <a:stretch>
                      <a:fillRect/>
                    </a:stretch>
                  </pic:blipFill>
                  <pic:spPr>
                    <a:xfrm>
                      <a:off x="0" y="0"/>
                      <a:ext cx="5220000" cy="3189999"/>
                    </a:xfrm>
                    <a:prstGeom prst="rect"/>
                  </pic:spPr>
                </pic:pic>
              </a:graphicData>
            </a:graphic>
          </wp:inline>
        </w:drawing>
      </w:r>
    </w:p>
    <w:p>
      <w:pPr>
        <w:spacing w:after="160"/>
      </w:pPr>
      <w:r>
        <w:rPr>
          <w:b/>
          <w:color w:val="5B6470"/>
          <w:sz w:val="17"/>
        </w:rPr>
        <w:t>Figure 29.</w:t>
      </w:r>
      <w:r>
        <w:rPr>
          <w:color w:val="5B6470"/>
          <w:sz w:val="17"/>
        </w:rPr>
        <w:t xml:space="preserve"> Approximate road distance from Bhiwadi to buyer clusters (±15 %; indicative). The Faridabad–Delhi–Ghaziabad–Noida–Prithla belt is 75–160 km; the Rajasthan cement belt is 340–540 km; Gujarat 900–1,050 km; Coimbatore 2,300 km.</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B26A00"/>
            </w:tcBorders>
            <w:shd w:val="clear" w:color="auto" w:fill="FBF5EA"/>
          </w:tcPr>
          <w:p>
            <w:pPr>
              <w:spacing w:after="60"/>
            </w:pPr>
            <w:r>
              <w:rPr>
                <w:b/>
                <w:color w:val="B26A00"/>
                <w:sz w:val="20"/>
              </w:rPr>
              <w:t>Corrections to Revision 5</w:t>
            </w:r>
          </w:p>
          <w:p>
            <w:pPr>
              <w:spacing w:after="40" w:line="252" w:lineRule="auto"/>
              <w:ind w:left="255" w:hanging="255"/>
            </w:pPr>
            <w:r>
              <w:rPr>
                <w:color w:val="2B2F36"/>
                <w:sz w:val="19"/>
              </w:rPr>
              <w:t>• Rev 5 called the Rajasthan cement belt (Chittorgarh–Nimbahera–Beawar) one of the “nearest” bush buyers. It is 340–540 km away. The nearest are Faridabad–Ballabgarh, Delhi, Ghaziabad, Noida and Prithla.</w:t>
            </w:r>
          </w:p>
          <w:p>
            <w:pPr>
              <w:spacing w:after="40" w:line="252" w:lineRule="auto"/>
              <w:ind w:left="255" w:hanging="255"/>
            </w:pPr>
            <w:r>
              <w:rPr>
                <w:color w:val="2B2F36"/>
                <w:sz w:val="19"/>
              </w:rPr>
              <w:t>• Rev 5 said Bhiwadi is “close to Gujarat foundry clusters”. Rajkot and Ahmedabad are 900–1,050 km away; they are a market-development target, not the home base.</w:t>
            </w:r>
          </w:p>
        </w:tc>
      </w:tr>
    </w:tbl>
    <w:p>
      <w:pPr>
        <w:spacing w:after="40"/>
      </w:pPr>
    </w:p>
    <w:p>
      <w:pPr>
        <w:pStyle w:val="Heading2"/>
      </w:pPr>
      <w:r>
        <w:t>9.5 Choosing the grade for a bush</w:t>
      </w:r>
    </w:p>
    <w:p>
      <w:r>
        <w:t>Section 8.2 computed the fit: CC493K is the default for light-to-medium bushes and hydraulics (3.26 and 3.54), CC494K edges ahead for tractor and dirty duty (3.36), CC495K is clearly best for heavy bearings and railway/marine (4.26 and 3.91). CC492K is excluded from lubrication-critical bearings (3 % lead).</w:t>
      </w:r>
    </w:p>
    <w:p>
      <w:pPr>
        <w:keepNext/>
        <w:spacing w:after="40"/>
      </w:pPr>
      <w:r>
        <w:rPr>
          <w:b/>
          <w:color w:val="5B6470"/>
          <w:sz w:val="18"/>
        </w:rPr>
        <w:t>Table 23.</w:t>
      </w:r>
      <w:r>
        <w:rPr>
          <w:color w:val="5B6470"/>
          <w:sz w:val="18"/>
        </w:rPr>
        <w:t xml:space="preserve"> Grade by bush duty</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587"/>
        <w:gridCol w:w="2948"/>
        <w:gridCol w:w="2835"/>
        <w:gridCol w:w="2381"/>
      </w:tblGrid>
      <w:tr>
        <w:trPr>
          <w:cantSplit/>
          <w:tblHeader/>
        </w:trPr>
        <w:tc>
          <w:tcPr>
            <w:tcW w:type="dxa" w:w="1587"/>
            <w:shd w:val="clear" w:color="auto" w:fill="1F4E79"/>
            <w:vAlign w:val="center"/>
          </w:tcPr>
          <w:p>
            <w:pPr>
              <w:spacing w:after="0" w:line="240" w:lineRule="auto"/>
            </w:pPr>
            <w:r>
              <w:rPr>
                <w:b/>
                <w:color w:val="FFFFFF"/>
                <w:sz w:val="16"/>
              </w:rPr>
              <w:t>Grade (UNS)</w:t>
            </w:r>
          </w:p>
        </w:tc>
        <w:tc>
          <w:tcPr>
            <w:tcW w:type="dxa" w:w="2948"/>
            <w:shd w:val="clear" w:color="auto" w:fill="1F4E79"/>
            <w:vAlign w:val="center"/>
          </w:tcPr>
          <w:p>
            <w:pPr>
              <w:spacing w:after="0" w:line="240" w:lineRule="auto"/>
            </w:pPr>
            <w:r>
              <w:rPr>
                <w:b/>
                <w:color w:val="FFFFFF"/>
                <w:sz w:val="16"/>
              </w:rPr>
              <w:t>Strength in bushes</w:t>
            </w:r>
          </w:p>
        </w:tc>
        <w:tc>
          <w:tcPr>
            <w:tcW w:type="dxa" w:w="2835"/>
            <w:shd w:val="clear" w:color="auto" w:fill="1F4E79"/>
            <w:vAlign w:val="center"/>
          </w:tcPr>
          <w:p>
            <w:pPr>
              <w:spacing w:after="0" w:line="240" w:lineRule="auto"/>
            </w:pPr>
            <w:r>
              <w:rPr>
                <w:b/>
                <w:color w:val="FFFFFF"/>
                <w:sz w:val="16"/>
              </w:rPr>
              <w:t>Watch-outs</w:t>
            </w:r>
          </w:p>
        </w:tc>
        <w:tc>
          <w:tcPr>
            <w:tcW w:type="dxa" w:w="2381"/>
            <w:shd w:val="clear" w:color="auto" w:fill="1F4E79"/>
            <w:vAlign w:val="center"/>
          </w:tcPr>
          <w:p>
            <w:pPr>
              <w:spacing w:after="0" w:line="240" w:lineRule="auto"/>
            </w:pPr>
            <w:r>
              <w:rPr>
                <w:b/>
                <w:color w:val="FFFFFF"/>
                <w:sz w:val="16"/>
              </w:rPr>
              <w:t>Best bush uses</w:t>
            </w:r>
          </w:p>
        </w:tc>
      </w:tr>
      <w:tr>
        <w:trPr>
          <w:cantSplit/>
        </w:trPr>
        <w:tc>
          <w:tcPr>
            <w:tcW w:type="dxa" w:w="1587"/>
            <w:vAlign w:val="top"/>
          </w:tcPr>
          <w:p>
            <w:pPr>
              <w:spacing w:after="0" w:line="240" w:lineRule="auto"/>
            </w:pPr>
            <w:r>
              <w:rPr>
                <w:color w:val="2B2F36"/>
                <w:sz w:val="16"/>
              </w:rPr>
              <w:t>CC493K (C93200)</w:t>
            </w:r>
          </w:p>
        </w:tc>
        <w:tc>
          <w:tcPr>
            <w:tcW w:type="dxa" w:w="2948"/>
            <w:vAlign w:val="top"/>
          </w:tcPr>
          <w:p>
            <w:pPr>
              <w:spacing w:after="0" w:line="240" w:lineRule="auto"/>
            </w:pPr>
            <w:r>
              <w:rPr>
                <w:color w:val="2B2F36"/>
                <w:sz w:val="16"/>
              </w:rPr>
              <w:t>Best all-round: tin for load, lead for poor lubrication; machines freely</w:t>
            </w:r>
          </w:p>
        </w:tc>
        <w:tc>
          <w:tcPr>
            <w:tcW w:type="dxa" w:w="2835"/>
            <w:vAlign w:val="top"/>
          </w:tcPr>
          <w:p>
            <w:pPr>
              <w:spacing w:after="0" w:line="240" w:lineRule="auto"/>
            </w:pPr>
            <w:r>
              <w:rPr>
                <w:color w:val="2B2F36"/>
                <w:sz w:val="16"/>
              </w:rPr>
              <w:t>Not for heavy shock or very dirty duty</w:t>
            </w:r>
          </w:p>
        </w:tc>
        <w:tc>
          <w:tcPr>
            <w:tcW w:type="dxa" w:w="2381"/>
            <w:vAlign w:val="top"/>
          </w:tcPr>
          <w:p>
            <w:pPr>
              <w:spacing w:after="0" w:line="240" w:lineRule="auto"/>
            </w:pPr>
            <w:r>
              <w:rPr>
                <w:color w:val="2B2F36"/>
                <w:sz w:val="16"/>
              </w:rPr>
              <w:t>Machine-tool, gearbox, hydraulic, conveyor bushes; bush stock</w:t>
            </w:r>
          </w:p>
        </w:tc>
      </w:tr>
      <w:tr>
        <w:trPr>
          <w:cantSplit/>
        </w:trPr>
        <w:tc>
          <w:tcPr>
            <w:tcW w:type="dxa" w:w="1587"/>
            <w:shd w:val="clear" w:color="auto" w:fill="F7F4EE"/>
            <w:vAlign w:val="top"/>
          </w:tcPr>
          <w:p>
            <w:pPr>
              <w:spacing w:after="0" w:line="240" w:lineRule="auto"/>
            </w:pPr>
            <w:r>
              <w:rPr>
                <w:color w:val="2B2F36"/>
                <w:sz w:val="16"/>
              </w:rPr>
              <w:t>CC495K (C93700)</w:t>
            </w:r>
          </w:p>
        </w:tc>
        <w:tc>
          <w:tcPr>
            <w:tcW w:type="dxa" w:w="2948"/>
            <w:shd w:val="clear" w:color="auto" w:fill="F7F4EE"/>
            <w:vAlign w:val="top"/>
          </w:tcPr>
          <w:p>
            <w:pPr>
              <w:spacing w:after="0" w:line="240" w:lineRule="auto"/>
            </w:pPr>
            <w:r>
              <w:rPr>
                <w:color w:val="2B2F36"/>
                <w:sz w:val="16"/>
              </w:rPr>
              <w:t>Highest load and shock capacity; 10 % lead tolerates lubrication failure</w:t>
            </w:r>
          </w:p>
        </w:tc>
        <w:tc>
          <w:tcPr>
            <w:tcW w:type="dxa" w:w="2835"/>
            <w:shd w:val="clear" w:color="auto" w:fill="F7F4EE"/>
            <w:vAlign w:val="top"/>
          </w:tcPr>
          <w:p>
            <w:pPr>
              <w:spacing w:after="0" w:line="240" w:lineRule="auto"/>
            </w:pPr>
            <w:r>
              <w:rPr>
                <w:color w:val="2B2F36"/>
                <w:sz w:val="16"/>
              </w:rPr>
              <w:t>Dearest (tin 32 % of metal value); lead must stay evenly spread in large castings</w:t>
            </w:r>
          </w:p>
        </w:tc>
        <w:tc>
          <w:tcPr>
            <w:tcW w:type="dxa" w:w="2381"/>
            <w:shd w:val="clear" w:color="auto" w:fill="F7F4EE"/>
            <w:vAlign w:val="top"/>
          </w:tcPr>
          <w:p>
            <w:pPr>
              <w:spacing w:after="0" w:line="240" w:lineRule="auto"/>
            </w:pPr>
            <w:r>
              <w:rPr>
                <w:color w:val="2B2F36"/>
                <w:sz w:val="16"/>
              </w:rPr>
              <w:t>Rolling-mill, crusher, sugar-mill, railway and marine bearings</w:t>
            </w:r>
          </w:p>
        </w:tc>
      </w:tr>
      <w:tr>
        <w:trPr>
          <w:cantSplit/>
        </w:trPr>
        <w:tc>
          <w:tcPr>
            <w:tcW w:type="dxa" w:w="1587"/>
            <w:vAlign w:val="top"/>
          </w:tcPr>
          <w:p>
            <w:pPr>
              <w:spacing w:after="0" w:line="240" w:lineRule="auto"/>
            </w:pPr>
            <w:r>
              <w:rPr>
                <w:color w:val="2B2F36"/>
                <w:sz w:val="16"/>
              </w:rPr>
              <w:t>CC494K (C93500)</w:t>
            </w:r>
          </w:p>
        </w:tc>
        <w:tc>
          <w:tcPr>
            <w:tcW w:type="dxa" w:w="2948"/>
            <w:vAlign w:val="top"/>
          </w:tcPr>
          <w:p>
            <w:pPr>
              <w:spacing w:after="0" w:line="240" w:lineRule="auto"/>
            </w:pPr>
            <w:r>
              <w:rPr>
                <w:color w:val="2B2F36"/>
                <w:sz w:val="16"/>
              </w:rPr>
              <w:t>Most forgiving: 9 % lead embeds dirt and conforms to misalignment</w:t>
            </w:r>
          </w:p>
        </w:tc>
        <w:tc>
          <w:tcPr>
            <w:tcW w:type="dxa" w:w="2835"/>
            <w:vAlign w:val="top"/>
          </w:tcPr>
          <w:p>
            <w:pPr>
              <w:spacing w:after="0" w:line="240" w:lineRule="auto"/>
            </w:pPr>
            <w:r>
              <w:rPr>
                <w:color w:val="2B2F36"/>
                <w:sz w:val="16"/>
              </w:rPr>
              <w:t>Lowest strength (200 MPa); not for heavy load</w:t>
            </w:r>
          </w:p>
        </w:tc>
        <w:tc>
          <w:tcPr>
            <w:tcW w:type="dxa" w:w="2381"/>
            <w:vAlign w:val="top"/>
          </w:tcPr>
          <w:p>
            <w:pPr>
              <w:spacing w:after="0" w:line="240" w:lineRule="auto"/>
            </w:pPr>
            <w:r>
              <w:rPr>
                <w:color w:val="2B2F36"/>
                <w:sz w:val="16"/>
              </w:rPr>
              <w:t>Tractor, textile, conveyor and implement bushes; pump wear rings</w:t>
            </w:r>
          </w:p>
        </w:tc>
      </w:tr>
      <w:tr>
        <w:trPr>
          <w:cantSplit/>
        </w:trPr>
        <w:tc>
          <w:tcPr>
            <w:tcW w:type="dxa" w:w="1587"/>
            <w:shd w:val="clear" w:color="auto" w:fill="F7F4EE"/>
            <w:vAlign w:val="top"/>
          </w:tcPr>
          <w:p>
            <w:pPr>
              <w:spacing w:after="0" w:line="240" w:lineRule="auto"/>
            </w:pPr>
            <w:r>
              <w:rPr>
                <w:color w:val="2B2F36"/>
                <w:sz w:val="16"/>
              </w:rPr>
              <w:t>CC492K (≈C92200)</w:t>
            </w:r>
          </w:p>
        </w:tc>
        <w:tc>
          <w:tcPr>
            <w:tcW w:type="dxa" w:w="2948"/>
            <w:shd w:val="clear" w:color="auto" w:fill="F7F4EE"/>
            <w:vAlign w:val="top"/>
          </w:tcPr>
          <w:p>
            <w:pPr>
              <w:spacing w:after="0" w:line="240" w:lineRule="auto"/>
            </w:pPr>
            <w:r>
              <w:rPr>
                <w:color w:val="2B2F36"/>
                <w:sz w:val="16"/>
              </w:rPr>
              <w:t>Strongest, hardest gunmetal; good in sea water</w:t>
            </w:r>
          </w:p>
        </w:tc>
        <w:tc>
          <w:tcPr>
            <w:tcW w:type="dxa" w:w="2835"/>
            <w:shd w:val="clear" w:color="auto" w:fill="F7F4EE"/>
            <w:vAlign w:val="top"/>
          </w:tcPr>
          <w:p>
            <w:pPr>
              <w:spacing w:after="0" w:line="240" w:lineRule="auto"/>
            </w:pPr>
            <w:r>
              <w:rPr>
                <w:color w:val="2B2F36"/>
                <w:sz w:val="16"/>
              </w:rPr>
              <w:t>Only 3 % lead: poor if lubrication fails</w:t>
            </w:r>
          </w:p>
        </w:tc>
        <w:tc>
          <w:tcPr>
            <w:tcW w:type="dxa" w:w="2381"/>
            <w:shd w:val="clear" w:color="auto" w:fill="F7F4EE"/>
            <w:vAlign w:val="top"/>
          </w:tcPr>
          <w:p>
            <w:pPr>
              <w:spacing w:after="0" w:line="240" w:lineRule="auto"/>
            </w:pPr>
            <w:r>
              <w:rPr>
                <w:color w:val="2B2F36"/>
                <w:sz w:val="16"/>
              </w:rPr>
              <w:t>Well-lubricated railway and marine bushes (not lubrication-critical)</w:t>
            </w:r>
          </w:p>
        </w:tc>
      </w:tr>
      <w:tr>
        <w:trPr>
          <w:cantSplit/>
        </w:trPr>
        <w:tc>
          <w:tcPr>
            <w:tcW w:type="dxa" w:w="1587"/>
            <w:vAlign w:val="top"/>
          </w:tcPr>
          <w:p>
            <w:pPr>
              <w:spacing w:after="0" w:line="240" w:lineRule="auto"/>
            </w:pPr>
            <w:r>
              <w:rPr>
                <w:color w:val="2B2F36"/>
                <w:sz w:val="16"/>
              </w:rPr>
              <w:t>CC491K (C83600)</w:t>
            </w:r>
          </w:p>
        </w:tc>
        <w:tc>
          <w:tcPr>
            <w:tcW w:type="dxa" w:w="2948"/>
            <w:vAlign w:val="top"/>
          </w:tcPr>
          <w:p>
            <w:pPr>
              <w:spacing w:after="0" w:line="240" w:lineRule="auto"/>
            </w:pPr>
            <w:r>
              <w:rPr>
                <w:color w:val="2B2F36"/>
                <w:sz w:val="16"/>
              </w:rPr>
              <w:t>Cheap, corrosion-resistant, water-lubricated duty</w:t>
            </w:r>
          </w:p>
        </w:tc>
        <w:tc>
          <w:tcPr>
            <w:tcW w:type="dxa" w:w="2835"/>
            <w:vAlign w:val="top"/>
          </w:tcPr>
          <w:p>
            <w:pPr>
              <w:spacing w:after="0" w:line="240" w:lineRule="auto"/>
            </w:pPr>
            <w:r>
              <w:rPr>
                <w:color w:val="2B2F36"/>
                <w:sz w:val="16"/>
              </w:rPr>
              <w:t>Lower load capacity than the bearing bronzes</w:t>
            </w:r>
          </w:p>
        </w:tc>
        <w:tc>
          <w:tcPr>
            <w:tcW w:type="dxa" w:w="2381"/>
            <w:vAlign w:val="top"/>
          </w:tcPr>
          <w:p>
            <w:pPr>
              <w:spacing w:after="0" w:line="240" w:lineRule="auto"/>
            </w:pPr>
            <w:r>
              <w:rPr>
                <w:color w:val="2B2F36"/>
                <w:sz w:val="16"/>
              </w:rPr>
              <w:t>Pump line-shaft bearings, graphite-plugged gate bushes, light bushes</w:t>
            </w:r>
          </w:p>
        </w:tc>
      </w:tr>
    </w:tbl>
    <w:p>
      <w:pPr>
        <w:spacing w:after="40"/>
      </w:pPr>
    </w:p>
    <w:p>
      <w:pPr>
        <w:pStyle w:val="Heading2"/>
      </w:pPr>
      <w:r>
        <w:t>9.6 How bushes are made, and what the ingot must deliver</w:t>
      </w:r>
    </w:p>
    <w:p>
      <w:pPr>
        <w:keepNext/>
        <w:spacing w:after="40"/>
      </w:pPr>
      <w:r>
        <w:rPr>
          <w:b/>
          <w:color w:val="5B6470"/>
          <w:sz w:val="18"/>
        </w:rPr>
        <w:t>Table 24.</w:t>
      </w:r>
      <w:r>
        <w:rPr>
          <w:color w:val="5B6470"/>
          <w:sz w:val="18"/>
        </w:rPr>
        <w:t xml:space="preserve"> Manufacturing routes (route shares are estimates from Indian bush-maker and US/UK bar catalogues)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587"/>
        <w:gridCol w:w="1474"/>
        <w:gridCol w:w="1134"/>
        <w:gridCol w:w="3515"/>
        <w:gridCol w:w="2041"/>
      </w:tblGrid>
      <w:tr>
        <w:trPr>
          <w:cantSplit/>
          <w:tblHeader/>
        </w:trPr>
        <w:tc>
          <w:tcPr>
            <w:tcW w:type="dxa" w:w="1587"/>
            <w:shd w:val="clear" w:color="auto" w:fill="1F4E79"/>
            <w:vAlign w:val="center"/>
          </w:tcPr>
          <w:p>
            <w:pPr>
              <w:spacing w:after="0" w:line="240" w:lineRule="auto"/>
            </w:pPr>
            <w:r>
              <w:rPr>
                <w:b/>
                <w:color w:val="FFFFFF"/>
                <w:sz w:val="16"/>
              </w:rPr>
              <w:t>Route</w:t>
            </w:r>
          </w:p>
        </w:tc>
        <w:tc>
          <w:tcPr>
            <w:tcW w:type="dxa" w:w="1474"/>
            <w:shd w:val="clear" w:color="auto" w:fill="1F4E79"/>
            <w:vAlign w:val="center"/>
          </w:tcPr>
          <w:p>
            <w:pPr>
              <w:spacing w:after="0" w:line="240" w:lineRule="auto"/>
            </w:pPr>
            <w:r>
              <w:rPr>
                <w:b/>
                <w:color w:val="FFFFFF"/>
                <w:sz w:val="16"/>
              </w:rPr>
              <w:t>Size range</w:t>
            </w:r>
          </w:p>
        </w:tc>
        <w:tc>
          <w:tcPr>
            <w:tcW w:type="dxa" w:w="1134"/>
            <w:shd w:val="clear" w:color="auto" w:fill="1F4E79"/>
            <w:vAlign w:val="center"/>
          </w:tcPr>
          <w:p>
            <w:pPr>
              <w:spacing w:after="0" w:line="240" w:lineRule="auto"/>
            </w:pPr>
            <w:r>
              <w:rPr>
                <w:b/>
                <w:color w:val="FFFFFF"/>
                <w:sz w:val="16"/>
              </w:rPr>
              <w:t>Share of bush tonnes</w:t>
            </w:r>
          </w:p>
        </w:tc>
        <w:tc>
          <w:tcPr>
            <w:tcW w:type="dxa" w:w="3515"/>
            <w:shd w:val="clear" w:color="auto" w:fill="1F4E79"/>
            <w:vAlign w:val="center"/>
          </w:tcPr>
          <w:p>
            <w:pPr>
              <w:spacing w:after="0" w:line="240" w:lineRule="auto"/>
            </w:pPr>
            <w:r>
              <w:rPr>
                <w:b/>
                <w:color w:val="FFFFFF"/>
                <w:sz w:val="16"/>
              </w:rPr>
              <w:t>What the ingot must deliver</w:t>
            </w:r>
          </w:p>
        </w:tc>
        <w:tc>
          <w:tcPr>
            <w:tcW w:type="dxa" w:w="2041"/>
            <w:shd w:val="clear" w:color="auto" w:fill="1F4E79"/>
            <w:vAlign w:val="center"/>
          </w:tcPr>
          <w:p>
            <w:pPr>
              <w:spacing w:after="0" w:line="240" w:lineRule="auto"/>
            </w:pPr>
            <w:r>
              <w:rPr>
                <w:b/>
                <w:color w:val="FFFFFF"/>
                <w:sz w:val="16"/>
              </w:rPr>
              <w:t>Sales angle</w:t>
            </w:r>
          </w:p>
        </w:tc>
      </w:tr>
      <w:tr>
        <w:trPr>
          <w:cantSplit/>
        </w:trPr>
        <w:tc>
          <w:tcPr>
            <w:tcW w:type="dxa" w:w="1587"/>
            <w:vAlign w:val="top"/>
          </w:tcPr>
          <w:p>
            <w:pPr>
              <w:spacing w:after="0" w:line="240" w:lineRule="auto"/>
            </w:pPr>
            <w:r>
              <w:rPr>
                <w:color w:val="2B2F36"/>
                <w:sz w:val="16"/>
              </w:rPr>
              <w:t>Continuous-cast bar and tube</w:t>
            </w:r>
          </w:p>
        </w:tc>
        <w:tc>
          <w:tcPr>
            <w:tcW w:type="dxa" w:w="1474"/>
            <w:vAlign w:val="top"/>
          </w:tcPr>
          <w:p>
            <w:pPr>
              <w:spacing w:after="0" w:line="240" w:lineRule="auto"/>
            </w:pPr>
            <w:r>
              <w:rPr>
                <w:color w:val="2B2F36"/>
                <w:sz w:val="16"/>
              </w:rPr>
              <w:t>15–300 mm OD; to 3 m</w:t>
            </w:r>
          </w:p>
        </w:tc>
        <w:tc>
          <w:tcPr>
            <w:tcW w:type="dxa" w:w="1134"/>
            <w:vAlign w:val="top"/>
          </w:tcPr>
          <w:p>
            <w:pPr>
              <w:spacing w:after="0" w:line="240" w:lineRule="auto"/>
            </w:pPr>
            <w:r>
              <w:rPr>
                <w:color w:val="2B2F36"/>
                <w:sz w:val="16"/>
              </w:rPr>
              <w:t>≈ 45 %</w:t>
            </w:r>
          </w:p>
        </w:tc>
        <w:tc>
          <w:tcPr>
            <w:tcW w:type="dxa" w:w="3515"/>
            <w:vAlign w:val="top"/>
          </w:tcPr>
          <w:p>
            <w:pPr>
              <w:spacing w:after="0" w:line="240" w:lineRule="auto"/>
            </w:pPr>
            <w:r>
              <w:rPr>
                <w:color w:val="2B2F36"/>
                <w:sz w:val="16"/>
              </w:rPr>
              <w:t>Low Fe, Sb, S so graphite dies last; clean, degassed melt; even lead so bars do not “sweat” lead</w:t>
            </w:r>
          </w:p>
        </w:tc>
        <w:tc>
          <w:tcPr>
            <w:tcW w:type="dxa" w:w="2041"/>
            <w:vAlign w:val="top"/>
          </w:tcPr>
          <w:p>
            <w:pPr>
              <w:spacing w:after="0" w:line="240" w:lineRule="auto"/>
            </w:pPr>
            <w:r>
              <w:rPr>
                <w:color w:val="2B2F36"/>
                <w:sz w:val="16"/>
              </w:rPr>
              <w:t>Bush-stock makers buy monthly; consistency matters most</w:t>
            </w:r>
          </w:p>
        </w:tc>
      </w:tr>
      <w:tr>
        <w:trPr>
          <w:cantSplit/>
        </w:trPr>
        <w:tc>
          <w:tcPr>
            <w:tcW w:type="dxa" w:w="1587"/>
            <w:shd w:val="clear" w:color="auto" w:fill="F7F4EE"/>
            <w:vAlign w:val="top"/>
          </w:tcPr>
          <w:p>
            <w:pPr>
              <w:spacing w:after="0" w:line="240" w:lineRule="auto"/>
            </w:pPr>
            <w:r>
              <w:rPr>
                <w:color w:val="2B2F36"/>
                <w:sz w:val="16"/>
              </w:rPr>
              <w:t>Centrifugal tube</w:t>
            </w:r>
          </w:p>
        </w:tc>
        <w:tc>
          <w:tcPr>
            <w:tcW w:type="dxa" w:w="1474"/>
            <w:shd w:val="clear" w:color="auto" w:fill="F7F4EE"/>
            <w:vAlign w:val="top"/>
          </w:tcPr>
          <w:p>
            <w:pPr>
              <w:spacing w:after="0" w:line="240" w:lineRule="auto"/>
            </w:pPr>
            <w:r>
              <w:rPr>
                <w:color w:val="2B2F36"/>
                <w:sz w:val="16"/>
              </w:rPr>
              <w:t>100–1,500 mm OD</w:t>
            </w:r>
          </w:p>
        </w:tc>
        <w:tc>
          <w:tcPr>
            <w:tcW w:type="dxa" w:w="1134"/>
            <w:shd w:val="clear" w:color="auto" w:fill="F7F4EE"/>
            <w:vAlign w:val="top"/>
          </w:tcPr>
          <w:p>
            <w:pPr>
              <w:spacing w:after="0" w:line="240" w:lineRule="auto"/>
            </w:pPr>
            <w:r>
              <w:rPr>
                <w:color w:val="2B2F36"/>
                <w:sz w:val="16"/>
              </w:rPr>
              <w:t>≈ 35 %</w:t>
            </w:r>
          </w:p>
        </w:tc>
        <w:tc>
          <w:tcPr>
            <w:tcW w:type="dxa" w:w="3515"/>
            <w:shd w:val="clear" w:color="auto" w:fill="F7F4EE"/>
            <w:vAlign w:val="top"/>
          </w:tcPr>
          <w:p>
            <w:pPr>
              <w:spacing w:after="0" w:line="240" w:lineRule="auto"/>
            </w:pPr>
            <w:r>
              <w:rPr>
                <w:color w:val="2B2F36"/>
                <w:sz w:val="16"/>
              </w:rPr>
              <w:t>Fine, even lead dispersion (lead segregates outward when spun); tight tin control</w:t>
            </w:r>
          </w:p>
        </w:tc>
        <w:tc>
          <w:tcPr>
            <w:tcW w:type="dxa" w:w="2041"/>
            <w:shd w:val="clear" w:color="auto" w:fill="F7F4EE"/>
            <w:vAlign w:val="top"/>
          </w:tcPr>
          <w:p>
            <w:pPr>
              <w:spacing w:after="0" w:line="240" w:lineRule="auto"/>
            </w:pPr>
            <w:r>
              <w:rPr>
                <w:color w:val="2B2F36"/>
                <w:sz w:val="16"/>
              </w:rPr>
              <w:t>CC495K melt practice is the selling point; certify lead distribution</w:t>
            </w:r>
          </w:p>
        </w:tc>
      </w:tr>
      <w:tr>
        <w:trPr>
          <w:cantSplit/>
        </w:trPr>
        <w:tc>
          <w:tcPr>
            <w:tcW w:type="dxa" w:w="1587"/>
            <w:vAlign w:val="top"/>
          </w:tcPr>
          <w:p>
            <w:pPr>
              <w:spacing w:after="0" w:line="240" w:lineRule="auto"/>
            </w:pPr>
            <w:r>
              <w:rPr>
                <w:color w:val="2B2F36"/>
                <w:sz w:val="16"/>
              </w:rPr>
              <w:t>Sand casting</w:t>
            </w:r>
          </w:p>
        </w:tc>
        <w:tc>
          <w:tcPr>
            <w:tcW w:type="dxa" w:w="1474"/>
            <w:vAlign w:val="top"/>
          </w:tcPr>
          <w:p>
            <w:pPr>
              <w:spacing w:after="0" w:line="240" w:lineRule="auto"/>
            </w:pPr>
            <w:r>
              <w:rPr>
                <w:color w:val="2B2F36"/>
                <w:sz w:val="16"/>
              </w:rPr>
              <w:t>Large split bearings, odd shapes</w:t>
            </w:r>
          </w:p>
        </w:tc>
        <w:tc>
          <w:tcPr>
            <w:tcW w:type="dxa" w:w="1134"/>
            <w:vAlign w:val="top"/>
          </w:tcPr>
          <w:p>
            <w:pPr>
              <w:spacing w:after="0" w:line="240" w:lineRule="auto"/>
            </w:pPr>
            <w:r>
              <w:rPr>
                <w:color w:val="2B2F36"/>
                <w:sz w:val="16"/>
              </w:rPr>
              <w:t>≈ 20 %</w:t>
            </w:r>
          </w:p>
        </w:tc>
        <w:tc>
          <w:tcPr>
            <w:tcW w:type="dxa" w:w="3515"/>
            <w:vAlign w:val="top"/>
          </w:tcPr>
          <w:p>
            <w:pPr>
              <w:spacing w:after="0" w:line="240" w:lineRule="auto"/>
            </w:pPr>
            <w:r>
              <w:rPr>
                <w:color w:val="2B2F36"/>
                <w:sz w:val="16"/>
              </w:rPr>
              <w:t>Low gas, good fluidity; chemistry within limits</w:t>
            </w:r>
          </w:p>
        </w:tc>
        <w:tc>
          <w:tcPr>
            <w:tcW w:type="dxa" w:w="2041"/>
            <w:vAlign w:val="top"/>
          </w:tcPr>
          <w:p>
            <w:pPr>
              <w:spacing w:after="0" w:line="240" w:lineRule="auto"/>
            </w:pPr>
            <w:r>
              <w:rPr>
                <w:color w:val="2B2F36"/>
                <w:sz w:val="16"/>
              </w:rPr>
              <w:t>Sugar-mill, kiln, ship bearings; seasonal and lumpy</w:t>
            </w:r>
          </w:p>
        </w:tc>
      </w:tr>
    </w:tbl>
    <w:p>
      <w:pPr>
        <w:spacing w:after="40"/>
      </w:pPr>
    </w:p>
    <w:p>
      <w:pPr>
        <w:pStyle w:val="Heading2"/>
      </w:pPr>
      <w:r>
        <w:t>9.7 Bush price build-up (rebuilt)</w:t>
      </w:r>
    </w:p>
    <w:p>
      <w:r>
        <w:t xml:space="preserve">Rev 5 gave a tube price (₹2,000) and bush price (₹2,500) with no stated basis. Rev 6 builds the chain step by step from inputs that can each be replaced. </w:t>
      </w:r>
      <w:r>
        <w:rPr>
          <w:b/>
        </w:rPr>
        <w:t>It is a cost model, not a market price list.</w:t>
      </w:r>
      <w:r>
        <w:t xml:space="preserve"> The result is validated only by internal consistency (it reproduces Rev 5's ≈ ₹2,500 and 1.5× ingot) and should be checked against two or three real bush-maker quotes.</w:t>
      </w:r>
    </w:p>
    <w:p>
      <w:pPr>
        <w:keepNext/>
        <w:spacing w:after="40"/>
      </w:pPr>
      <w:r>
        <w:rPr>
          <w:b/>
          <w:color w:val="5B6470"/>
          <w:sz w:val="18"/>
        </w:rPr>
        <w:t>Table 25.</w:t>
      </w:r>
      <w:r>
        <w:rPr>
          <w:color w:val="5B6470"/>
          <w:sz w:val="18"/>
        </w:rPr>
        <w:t xml:space="preserve"> Inputs (base case CC493K)</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020"/>
        <w:gridCol w:w="3175"/>
        <w:gridCol w:w="1701"/>
        <w:gridCol w:w="1361"/>
        <w:gridCol w:w="2494"/>
      </w:tblGrid>
      <w:tr>
        <w:trPr>
          <w:cantSplit/>
          <w:tblHeader/>
        </w:trPr>
        <w:tc>
          <w:tcPr>
            <w:tcW w:type="dxa" w:w="1020"/>
            <w:shd w:val="clear" w:color="auto" w:fill="1F4E79"/>
            <w:vAlign w:val="center"/>
          </w:tcPr>
          <w:p>
            <w:pPr>
              <w:spacing w:after="0" w:line="240" w:lineRule="auto"/>
            </w:pPr>
            <w:r>
              <w:rPr>
                <w:b/>
                <w:color w:val="FFFFFF"/>
                <w:sz w:val="16"/>
              </w:rPr>
              <w:t>Step</w:t>
            </w:r>
          </w:p>
        </w:tc>
        <w:tc>
          <w:tcPr>
            <w:tcW w:type="dxa" w:w="3175"/>
            <w:shd w:val="clear" w:color="auto" w:fill="1F4E79"/>
            <w:vAlign w:val="center"/>
          </w:tcPr>
          <w:p>
            <w:pPr>
              <w:spacing w:after="0" w:line="240" w:lineRule="auto"/>
            </w:pPr>
            <w:r>
              <w:rPr>
                <w:b/>
                <w:color w:val="FFFFFF"/>
                <w:sz w:val="16"/>
              </w:rPr>
              <w:t>Input</w:t>
            </w:r>
          </w:p>
        </w:tc>
        <w:tc>
          <w:tcPr>
            <w:tcW w:type="dxa" w:w="1701"/>
            <w:shd w:val="clear" w:color="auto" w:fill="1F4E79"/>
            <w:vAlign w:val="center"/>
          </w:tcPr>
          <w:p>
            <w:pPr>
              <w:spacing w:after="0" w:line="240" w:lineRule="auto"/>
            </w:pPr>
            <w:r>
              <w:rPr>
                <w:b/>
                <w:color w:val="FFFFFF"/>
                <w:sz w:val="16"/>
              </w:rPr>
              <w:t>Base case</w:t>
            </w:r>
          </w:p>
        </w:tc>
        <w:tc>
          <w:tcPr>
            <w:tcW w:type="dxa" w:w="1361"/>
            <w:shd w:val="clear" w:color="auto" w:fill="1F4E79"/>
            <w:vAlign w:val="center"/>
          </w:tcPr>
          <w:p>
            <w:pPr>
              <w:spacing w:after="0" w:line="240" w:lineRule="auto"/>
            </w:pPr>
            <w:r>
              <w:rPr>
                <w:b/>
                <w:color w:val="FFFFFF"/>
                <w:sz w:val="16"/>
              </w:rPr>
              <w:t>Range tested</w:t>
            </w:r>
          </w:p>
        </w:tc>
        <w:tc>
          <w:tcPr>
            <w:tcW w:type="dxa" w:w="2494"/>
            <w:shd w:val="clear" w:color="auto" w:fill="1F4E79"/>
            <w:vAlign w:val="center"/>
          </w:tcPr>
          <w:p>
            <w:pPr>
              <w:spacing w:after="0" w:line="240" w:lineRule="auto"/>
            </w:pPr>
            <w:r>
              <w:rPr>
                <w:b/>
                <w:color w:val="FFFFFF"/>
                <w:sz w:val="16"/>
              </w:rPr>
              <w:t>Source</w:t>
            </w:r>
          </w:p>
        </w:tc>
      </w:tr>
      <w:tr>
        <w:trPr>
          <w:cantSplit/>
        </w:trPr>
        <w:tc>
          <w:tcPr>
            <w:tcW w:type="dxa" w:w="1020"/>
            <w:vAlign w:val="top"/>
          </w:tcPr>
          <w:p>
            <w:pPr>
              <w:spacing w:after="0" w:line="240" w:lineRule="auto"/>
            </w:pPr>
            <w:r>
              <w:rPr>
                <w:color w:val="2B2F36"/>
                <w:sz w:val="16"/>
              </w:rPr>
              <w:t>Ingot</w:t>
            </w:r>
          </w:p>
        </w:tc>
        <w:tc>
          <w:tcPr>
            <w:tcW w:type="dxa" w:w="3175"/>
            <w:vAlign w:val="top"/>
          </w:tcPr>
          <w:p>
            <w:pPr>
              <w:spacing w:after="0" w:line="240" w:lineRule="auto"/>
            </w:pPr>
            <w:r>
              <w:rPr>
                <w:color w:val="2B2F36"/>
                <w:sz w:val="16"/>
              </w:rPr>
              <w:t>CC493K formula price (Section 6)</w:t>
            </w:r>
          </w:p>
        </w:tc>
        <w:tc>
          <w:tcPr>
            <w:tcW w:type="dxa" w:w="1701"/>
            <w:vAlign w:val="top"/>
          </w:tcPr>
          <w:p>
            <w:pPr>
              <w:spacing w:after="0" w:line="240" w:lineRule="auto"/>
            </w:pPr>
            <w:r>
              <w:rPr>
                <w:color w:val="2B2F36"/>
                <w:sz w:val="16"/>
              </w:rPr>
              <w:t>₹1,623/kg</w:t>
            </w:r>
          </w:p>
        </w:tc>
        <w:tc>
          <w:tcPr>
            <w:tcW w:type="dxa" w:w="1361"/>
            <w:vAlign w:val="top"/>
          </w:tcPr>
          <w:p>
            <w:pPr>
              <w:spacing w:after="0" w:line="240" w:lineRule="auto"/>
            </w:pPr>
            <w:r>
              <w:rPr>
                <w:color w:val="2B2F36"/>
                <w:sz w:val="16"/>
              </w:rPr>
              <w:t>—</w:t>
            </w:r>
          </w:p>
        </w:tc>
        <w:tc>
          <w:tcPr>
            <w:tcW w:type="dxa" w:w="2494"/>
            <w:vAlign w:val="top"/>
          </w:tcPr>
          <w:p>
            <w:pPr>
              <w:spacing w:after="0" w:line="240" w:lineRule="auto"/>
            </w:pPr>
            <w:r>
              <w:rPr>
                <w:color w:val="2B2F36"/>
                <w:sz w:val="16"/>
              </w:rPr>
              <w:t>Computed</w:t>
            </w:r>
          </w:p>
        </w:tc>
      </w:tr>
      <w:tr>
        <w:trPr>
          <w:cantSplit/>
        </w:trPr>
        <w:tc>
          <w:tcPr>
            <w:tcW w:type="dxa" w:w="1020"/>
            <w:shd w:val="clear" w:color="auto" w:fill="F7F4EE"/>
            <w:vAlign w:val="top"/>
          </w:tcPr>
          <w:p>
            <w:pPr>
              <w:spacing w:after="0" w:line="240" w:lineRule="auto"/>
            </w:pPr>
            <w:r>
              <w:rPr>
                <w:color w:val="2B2F36"/>
                <w:sz w:val="16"/>
              </w:rPr>
              <w:t>Casting</w:t>
            </w:r>
          </w:p>
        </w:tc>
        <w:tc>
          <w:tcPr>
            <w:tcW w:type="dxa" w:w="3175"/>
            <w:shd w:val="clear" w:color="auto" w:fill="F7F4EE"/>
            <w:vAlign w:val="top"/>
          </w:tcPr>
          <w:p>
            <w:pPr>
              <w:spacing w:after="0" w:line="240" w:lineRule="auto"/>
            </w:pPr>
            <w:r>
              <w:rPr>
                <w:color w:val="2B2F36"/>
                <w:sz w:val="16"/>
              </w:rPr>
              <w:t>Casting loss; conversion + margin for continuous-cast tube</w:t>
            </w:r>
          </w:p>
        </w:tc>
        <w:tc>
          <w:tcPr>
            <w:tcW w:type="dxa" w:w="1701"/>
            <w:shd w:val="clear" w:color="auto" w:fill="F7F4EE"/>
            <w:vAlign w:val="top"/>
          </w:tcPr>
          <w:p>
            <w:pPr>
              <w:spacing w:after="0" w:line="240" w:lineRule="auto"/>
            </w:pPr>
            <w:r>
              <w:rPr>
                <w:color w:val="2B2F36"/>
                <w:sz w:val="16"/>
              </w:rPr>
              <w:t>3 %; ₹300/kg</w:t>
            </w:r>
          </w:p>
        </w:tc>
        <w:tc>
          <w:tcPr>
            <w:tcW w:type="dxa" w:w="1361"/>
            <w:shd w:val="clear" w:color="auto" w:fill="F7F4EE"/>
            <w:vAlign w:val="top"/>
          </w:tcPr>
          <w:p>
            <w:pPr>
              <w:spacing w:after="0" w:line="240" w:lineRule="auto"/>
            </w:pPr>
            <w:r>
              <w:rPr>
                <w:color w:val="2B2F36"/>
                <w:sz w:val="16"/>
              </w:rPr>
              <w:t>—</w:t>
            </w:r>
          </w:p>
        </w:tc>
        <w:tc>
          <w:tcPr>
            <w:tcW w:type="dxa" w:w="2494"/>
            <w:shd w:val="clear" w:color="auto" w:fill="F7F4EE"/>
            <w:vAlign w:val="top"/>
          </w:tcPr>
          <w:p>
            <w:pPr>
              <w:spacing w:after="0" w:line="240" w:lineRule="auto"/>
            </w:pPr>
            <w:r>
              <w:rPr>
                <w:color w:val="2B2F36"/>
                <w:sz w:val="16"/>
              </w:rPr>
              <w:t>Assumption (placeholder)</w:t>
            </w:r>
          </w:p>
        </w:tc>
      </w:tr>
      <w:tr>
        <w:trPr>
          <w:cantSplit/>
        </w:trPr>
        <w:tc>
          <w:tcPr>
            <w:tcW w:type="dxa" w:w="1020"/>
            <w:vAlign w:val="top"/>
          </w:tcPr>
          <w:p>
            <w:pPr>
              <w:spacing w:after="0" w:line="240" w:lineRule="auto"/>
            </w:pPr>
            <w:r>
              <w:rPr>
                <w:color w:val="2B2F36"/>
                <w:sz w:val="16"/>
              </w:rPr>
              <w:t>Machining</w:t>
            </w:r>
          </w:p>
        </w:tc>
        <w:tc>
          <w:tcPr>
            <w:tcW w:type="dxa" w:w="3175"/>
            <w:vAlign w:val="top"/>
          </w:tcPr>
          <w:p>
            <w:pPr>
              <w:spacing w:after="0" w:line="240" w:lineRule="auto"/>
            </w:pPr>
            <w:r>
              <w:rPr>
                <w:color w:val="2B2F36"/>
                <w:sz w:val="16"/>
              </w:rPr>
              <w:t>Turnings removed from tube</w:t>
            </w:r>
          </w:p>
        </w:tc>
        <w:tc>
          <w:tcPr>
            <w:tcW w:type="dxa" w:w="1701"/>
            <w:vAlign w:val="top"/>
          </w:tcPr>
          <w:p>
            <w:pPr>
              <w:spacing w:after="0" w:line="240" w:lineRule="auto"/>
            </w:pPr>
            <w:r>
              <w:rPr>
                <w:color w:val="2B2F36"/>
                <w:sz w:val="16"/>
              </w:rPr>
              <w:t>30 %</w:t>
            </w:r>
          </w:p>
        </w:tc>
        <w:tc>
          <w:tcPr>
            <w:tcW w:type="dxa" w:w="1361"/>
            <w:vAlign w:val="top"/>
          </w:tcPr>
          <w:p>
            <w:pPr>
              <w:spacing w:after="0" w:line="240" w:lineRule="auto"/>
            </w:pPr>
            <w:r>
              <w:rPr>
                <w:color w:val="2B2F36"/>
                <w:sz w:val="16"/>
              </w:rPr>
              <w:t>20–45 %</w:t>
            </w:r>
          </w:p>
        </w:tc>
        <w:tc>
          <w:tcPr>
            <w:tcW w:type="dxa" w:w="2494"/>
            <w:vAlign w:val="top"/>
          </w:tcPr>
          <w:p>
            <w:pPr>
              <w:spacing w:after="0" w:line="240" w:lineRule="auto"/>
            </w:pPr>
            <w:r>
              <w:rPr>
                <w:color w:val="2B2F36"/>
                <w:sz w:val="16"/>
              </w:rPr>
              <w:t>Rev 5 range 25–40 %; assumption</w:t>
            </w:r>
          </w:p>
        </w:tc>
      </w:tr>
      <w:tr>
        <w:trPr>
          <w:cantSplit/>
        </w:trPr>
        <w:tc>
          <w:tcPr>
            <w:tcW w:type="dxa" w:w="1020"/>
            <w:shd w:val="clear" w:color="auto" w:fill="F7F4EE"/>
            <w:vAlign w:val="top"/>
          </w:tcPr>
          <w:p>
            <w:pPr>
              <w:spacing w:after="0" w:line="240" w:lineRule="auto"/>
            </w:pPr>
            <w:r>
              <w:rPr>
                <w:color w:val="2B2F36"/>
                <w:sz w:val="16"/>
              </w:rPr>
              <w:t>Turnings</w:t>
            </w:r>
          </w:p>
        </w:tc>
        <w:tc>
          <w:tcPr>
            <w:tcW w:type="dxa" w:w="3175"/>
            <w:shd w:val="clear" w:color="auto" w:fill="F7F4EE"/>
            <w:vAlign w:val="top"/>
          </w:tcPr>
          <w:p>
            <w:pPr>
              <w:spacing w:after="0" w:line="240" w:lineRule="auto"/>
            </w:pPr>
            <w:r>
              <w:rPr>
                <w:color w:val="2B2F36"/>
                <w:sz w:val="16"/>
              </w:rPr>
              <w:t>Credit paid back, % of metal value</w:t>
            </w:r>
          </w:p>
        </w:tc>
        <w:tc>
          <w:tcPr>
            <w:tcW w:type="dxa" w:w="1701"/>
            <w:shd w:val="clear" w:color="auto" w:fill="F7F4EE"/>
            <w:vAlign w:val="top"/>
          </w:tcPr>
          <w:p>
            <w:pPr>
              <w:spacing w:after="0" w:line="240" w:lineRule="auto"/>
            </w:pPr>
            <w:r>
              <w:rPr>
                <w:color w:val="2B2F36"/>
                <w:sz w:val="16"/>
              </w:rPr>
              <w:t>85 % (₹1,305/kg)</w:t>
            </w:r>
          </w:p>
        </w:tc>
        <w:tc>
          <w:tcPr>
            <w:tcW w:type="dxa" w:w="1361"/>
            <w:shd w:val="clear" w:color="auto" w:fill="F7F4EE"/>
            <w:vAlign w:val="top"/>
          </w:tcPr>
          <w:p>
            <w:pPr>
              <w:spacing w:after="0" w:line="240" w:lineRule="auto"/>
            </w:pPr>
            <w:r>
              <w:rPr>
                <w:color w:val="2B2F36"/>
                <w:sz w:val="16"/>
              </w:rPr>
              <w:t>70–100 %</w:t>
            </w:r>
          </w:p>
        </w:tc>
        <w:tc>
          <w:tcPr>
            <w:tcW w:type="dxa" w:w="2494"/>
            <w:shd w:val="clear" w:color="auto" w:fill="F7F4EE"/>
            <w:vAlign w:val="top"/>
          </w:tcPr>
          <w:p>
            <w:pPr>
              <w:spacing w:after="0" w:line="240" w:lineRule="auto"/>
            </w:pPr>
            <w:r>
              <w:rPr>
                <w:color w:val="2B2F36"/>
                <w:sz w:val="16"/>
              </w:rPr>
              <w:t>Rev 5; assumption</w:t>
            </w:r>
          </w:p>
        </w:tc>
      </w:tr>
      <w:tr>
        <w:trPr>
          <w:cantSplit/>
        </w:trPr>
        <w:tc>
          <w:tcPr>
            <w:tcW w:type="dxa" w:w="1020"/>
            <w:vAlign w:val="top"/>
          </w:tcPr>
          <w:p>
            <w:pPr>
              <w:spacing w:after="0" w:line="240" w:lineRule="auto"/>
            </w:pPr>
            <w:r>
              <w:rPr>
                <w:color w:val="2B2F36"/>
                <w:sz w:val="16"/>
              </w:rPr>
              <w:t>Machining</w:t>
            </w:r>
          </w:p>
        </w:tc>
        <w:tc>
          <w:tcPr>
            <w:tcW w:type="dxa" w:w="3175"/>
            <w:vAlign w:val="top"/>
          </w:tcPr>
          <w:p>
            <w:pPr>
              <w:spacing w:after="0" w:line="240" w:lineRule="auto"/>
            </w:pPr>
            <w:r>
              <w:rPr>
                <w:color w:val="2B2F36"/>
                <w:sz w:val="16"/>
              </w:rPr>
              <w:t>Machining cost + margin per kg finished</w:t>
            </w:r>
          </w:p>
        </w:tc>
        <w:tc>
          <w:tcPr>
            <w:tcW w:type="dxa" w:w="1701"/>
            <w:vAlign w:val="top"/>
          </w:tcPr>
          <w:p>
            <w:pPr>
              <w:spacing w:after="0" w:line="240" w:lineRule="auto"/>
            </w:pPr>
            <w:r>
              <w:rPr>
                <w:color w:val="2B2F36"/>
                <w:sz w:val="16"/>
              </w:rPr>
              <w:t>₹200/kg</w:t>
            </w:r>
          </w:p>
        </w:tc>
        <w:tc>
          <w:tcPr>
            <w:tcW w:type="dxa" w:w="1361"/>
            <w:vAlign w:val="top"/>
          </w:tcPr>
          <w:p>
            <w:pPr>
              <w:spacing w:after="0" w:line="240" w:lineRule="auto"/>
            </w:pPr>
            <w:r>
              <w:rPr>
                <w:color w:val="2B2F36"/>
                <w:sz w:val="16"/>
              </w:rPr>
              <w:t>—</w:t>
            </w:r>
          </w:p>
        </w:tc>
        <w:tc>
          <w:tcPr>
            <w:tcW w:type="dxa" w:w="2494"/>
            <w:vAlign w:val="top"/>
          </w:tcPr>
          <w:p>
            <w:pPr>
              <w:spacing w:after="0" w:line="240" w:lineRule="auto"/>
            </w:pPr>
            <w:r>
              <w:rPr>
                <w:color w:val="2B2F36"/>
                <w:sz w:val="16"/>
              </w:rPr>
              <w:t>Assumption (placeholder)</w:t>
            </w:r>
          </w:p>
        </w:tc>
      </w:tr>
    </w:tbl>
    <w:p>
      <w:pPr>
        <w:spacing w:after="40"/>
      </w:pPr>
    </w:p>
    <w:p>
      <w:pPr>
        <w:keepNext/>
        <w:spacing w:after="40"/>
        <w:jc w:val="center"/>
      </w:pPr>
      <w:r>
        <w:drawing>
          <wp:inline xmlns:a="http://schemas.openxmlformats.org/drawingml/2006/main" xmlns:pic="http://schemas.openxmlformats.org/drawingml/2006/picture">
            <wp:extent cx="6192000" cy="2726451"/>
            <wp:docPr id="30" name="Picture 30"/>
            <wp:cNvGraphicFramePr>
              <a:graphicFrameLocks noChangeAspect="1"/>
            </wp:cNvGraphicFramePr>
            <a:graphic>
              <a:graphicData uri="http://schemas.openxmlformats.org/drawingml/2006/picture">
                <pic:pic>
                  <pic:nvPicPr>
                    <pic:cNvPr id="0" name="d11.png"/>
                    <pic:cNvPicPr/>
                  </pic:nvPicPr>
                  <pic:blipFill>
                    <a:blip r:embed="rId40"/>
                    <a:stretch>
                      <a:fillRect/>
                    </a:stretch>
                  </pic:blipFill>
                  <pic:spPr>
                    <a:xfrm>
                      <a:off x="0" y="0"/>
                      <a:ext cx="6192000" cy="2726451"/>
                    </a:xfrm>
                    <a:prstGeom prst="rect"/>
                  </pic:spPr>
                </pic:pic>
              </a:graphicData>
            </a:graphic>
          </wp:inline>
        </w:drawing>
      </w:r>
    </w:p>
    <w:p>
      <w:pPr>
        <w:spacing w:after="160"/>
      </w:pPr>
      <w:r>
        <w:rPr>
          <w:b/>
          <w:color w:val="5B6470"/>
          <w:sz w:val="17"/>
        </w:rPr>
        <w:t>Figure 30.</w:t>
      </w:r>
      <w:r>
        <w:rPr>
          <w:color w:val="5B6470"/>
          <w:sz w:val="17"/>
        </w:rPr>
        <w:t xml:space="preserve"> Left: ingot → finished bush for CC493K. Tube = ingot × 1.03 + ₹300 = ₹1,972/kg of tube; ÷ 0.70 for turnings = ₹2,817; less turnings credit ₹559; plus ₹200 machining/margin = </w:t>
      </w:r>
      <w:r>
        <w:rPr>
          <w:b/>
          <w:color w:val="5B6470"/>
          <w:sz w:val="17"/>
        </w:rPr>
        <w:t>₹2,458/kg finished bush</w:t>
      </w:r>
      <w:r>
        <w:rPr>
          <w:color w:val="5B6470"/>
          <w:sz w:val="17"/>
        </w:rPr>
        <w:t xml:space="preserve"> (1.51× ingot). Right: sensitivity.</w:t>
      </w:r>
    </w:p>
    <w:p>
      <w:pPr>
        <w:pStyle w:val="ListBullet"/>
      </w:pPr>
      <w:r>
        <w:rPr>
          <w:b/>
        </w:rPr>
        <w:t>Turnings % moves the price moderately.</w:t>
      </w:r>
      <w:r>
        <w:t xml:space="preserve"> At 85 % credit the finished price runs from ₹2,339 (20 % turnings) to ₹2,718 (45 %) per kg; the credit returns most of the metal.</w:t>
      </w:r>
    </w:p>
    <w:p>
      <w:pPr>
        <w:pStyle w:val="ListBullet"/>
      </w:pPr>
      <w:r>
        <w:rPr>
          <w:b/>
        </w:rPr>
        <w:t>The credit rate moves the price by ₹197/kg between 70 % and 100 %</w:t>
      </w:r>
      <w:r>
        <w:t xml:space="preserve"> at 30 % turnings. Bush makers will negotiate this hardest.</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2E7D4F"/>
            </w:tcBorders>
            <w:shd w:val="clear" w:color="auto" w:fill="EAF3EC"/>
          </w:tcPr>
          <w:p>
            <w:pPr>
              <w:spacing w:after="60"/>
            </w:pPr>
            <w:r>
              <w:rPr>
                <w:b/>
                <w:color w:val="2E7D4F"/>
                <w:sz w:val="20"/>
              </w:rPr>
              <w:t>Turnings buy-back: where Bajaj's scrap skill meets a customer need (illustrative)</w:t>
            </w:r>
          </w:p>
          <w:p>
            <w:pPr>
              <w:spacing w:after="40" w:line="252" w:lineRule="auto"/>
            </w:pPr>
            <w:r>
              <w:rPr>
                <w:color w:val="2B2F36"/>
                <w:sz w:val="19"/>
              </w:rPr>
              <w:t xml:space="preserve">Turnings are same-alloy, known-chemistry scrap. If Bajaj credits 85 % of metal value (₹1,305/kg) and remelts them into CC493K ingot sold at ₹1,623, the gross spread is about ₹286/kg before oil, moisture and extra melt loss (not modelled). The advantage over a remelter is a certified same-alloy return; remelters and importers can also offer credit, so this is a </w:t>
            </w:r>
            <w:r>
              <w:rPr>
                <w:b/>
                <w:color w:val="2B2F36"/>
                <w:sz w:val="19"/>
              </w:rPr>
              <w:t>service differentiator, not an exclusive “closed loop”</w:t>
            </w:r>
            <w:r>
              <w:rPr>
                <w:color w:val="2B2F36"/>
                <w:sz w:val="19"/>
              </w:rPr>
              <w:t xml:space="preserve"> (Rev 5 wording withdrawn). Pilot it with two bush makers before scaling.</w:t>
            </w:r>
          </w:p>
        </w:tc>
      </w:tr>
    </w:tbl>
    <w:p>
      <w:pPr>
        <w:spacing w:after="40"/>
      </w:pPr>
    </w:p>
    <w:p>
      <w:pPr>
        <w:pStyle w:val="ListBullet"/>
      </w:pPr>
      <w:r>
        <w:rPr>
          <w:b/>
        </w:rPr>
        <w:t>Online price lists are not used.</w:t>
      </w:r>
      <w:r>
        <w:t xml:space="preserve"> The undated IndiaMART listings (₹425–1,100/kg for gunmetal and phosphor-bronze bushes) cannot be tied to a date, grade, size or unit, so they are not evidence of “stale” prices. Quote bush makers on the LME formula.</w:t>
      </w:r>
    </w:p>
    <w:p>
      <w:pPr>
        <w:pStyle w:val="Heading2"/>
      </w:pPr>
      <w:r>
        <w:t>9.8 What competes with bronze bushes</w:t>
      </w:r>
    </w:p>
    <w:p>
      <w:pPr>
        <w:keepNext/>
        <w:spacing w:after="40"/>
      </w:pPr>
      <w:r>
        <w:rPr>
          <w:b/>
          <w:color w:val="5B6470"/>
          <w:sz w:val="18"/>
        </w:rPr>
        <w:t>Table 26.</w:t>
      </w:r>
      <w:r>
        <w:rPr>
          <w:color w:val="5B6470"/>
          <w:sz w:val="18"/>
        </w:rPr>
        <w:t xml:space="preserve"> Substitutes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154"/>
        <w:gridCol w:w="2608"/>
        <w:gridCol w:w="2721"/>
        <w:gridCol w:w="2268"/>
      </w:tblGrid>
      <w:tr>
        <w:trPr>
          <w:cantSplit/>
          <w:tblHeader/>
        </w:trPr>
        <w:tc>
          <w:tcPr>
            <w:tcW w:type="dxa" w:w="2154"/>
            <w:shd w:val="clear" w:color="auto" w:fill="1F4E79"/>
            <w:vAlign w:val="center"/>
          </w:tcPr>
          <w:p>
            <w:pPr>
              <w:spacing w:after="0" w:line="240" w:lineRule="auto"/>
            </w:pPr>
            <w:r>
              <w:rPr>
                <w:b/>
                <w:color w:val="FFFFFF"/>
                <w:sz w:val="16"/>
              </w:rPr>
              <w:t>Substitute</w:t>
            </w:r>
          </w:p>
        </w:tc>
        <w:tc>
          <w:tcPr>
            <w:tcW w:type="dxa" w:w="2608"/>
            <w:shd w:val="clear" w:color="auto" w:fill="1F4E79"/>
            <w:vAlign w:val="center"/>
          </w:tcPr>
          <w:p>
            <w:pPr>
              <w:spacing w:after="0" w:line="240" w:lineRule="auto"/>
            </w:pPr>
            <w:r>
              <w:rPr>
                <w:b/>
                <w:color w:val="FFFFFF"/>
                <w:sz w:val="16"/>
              </w:rPr>
              <w:t>Where it wins</w:t>
            </w:r>
          </w:p>
        </w:tc>
        <w:tc>
          <w:tcPr>
            <w:tcW w:type="dxa" w:w="2721"/>
            <w:shd w:val="clear" w:color="auto" w:fill="1F4E79"/>
            <w:vAlign w:val="center"/>
          </w:tcPr>
          <w:p>
            <w:pPr>
              <w:spacing w:after="0" w:line="240" w:lineRule="auto"/>
            </w:pPr>
            <w:r>
              <w:rPr>
                <w:b/>
                <w:color w:val="FFFFFF"/>
                <w:sz w:val="16"/>
              </w:rPr>
              <w:t>Where bronze holds</w:t>
            </w:r>
          </w:p>
        </w:tc>
        <w:tc>
          <w:tcPr>
            <w:tcW w:type="dxa" w:w="2268"/>
            <w:shd w:val="clear" w:color="auto" w:fill="1F4E79"/>
            <w:vAlign w:val="center"/>
          </w:tcPr>
          <w:p>
            <w:pPr>
              <w:spacing w:after="0" w:line="240" w:lineRule="auto"/>
            </w:pPr>
            <w:r>
              <w:rPr>
                <w:b/>
                <w:color w:val="FFFFFF"/>
                <w:sz w:val="16"/>
              </w:rPr>
              <w:t>Threat</w:t>
            </w:r>
          </w:p>
        </w:tc>
      </w:tr>
      <w:tr>
        <w:trPr>
          <w:cantSplit/>
        </w:trPr>
        <w:tc>
          <w:tcPr>
            <w:tcW w:type="dxa" w:w="2154"/>
            <w:vAlign w:val="top"/>
          </w:tcPr>
          <w:p>
            <w:pPr>
              <w:spacing w:after="0" w:line="240" w:lineRule="auto"/>
            </w:pPr>
            <w:r>
              <w:rPr>
                <w:color w:val="2B2F36"/>
                <w:sz w:val="16"/>
              </w:rPr>
              <w:t>Steel-backed bimetal (Cu-Pb-Sn lining)</w:t>
            </w:r>
          </w:p>
        </w:tc>
        <w:tc>
          <w:tcPr>
            <w:tcW w:type="dxa" w:w="2608"/>
            <w:vAlign w:val="top"/>
          </w:tcPr>
          <w:p>
            <w:pPr>
              <w:spacing w:after="0" w:line="240" w:lineRule="auto"/>
            </w:pPr>
            <w:r>
              <w:rPr>
                <w:color w:val="2B2F36"/>
                <w:sz w:val="16"/>
              </w:rPr>
              <w:t>Engines, truck and tractor high-volume small bushes</w:t>
            </w:r>
          </w:p>
        </w:tc>
        <w:tc>
          <w:tcPr>
            <w:tcW w:type="dxa" w:w="2721"/>
            <w:vAlign w:val="top"/>
          </w:tcPr>
          <w:p>
            <w:pPr>
              <w:spacing w:after="0" w:line="240" w:lineRule="auto"/>
            </w:pPr>
            <w:r>
              <w:rPr>
                <w:color w:val="2B2F36"/>
                <w:sz w:val="16"/>
              </w:rPr>
              <w:t>Large sizes, short runs, shock, dirt</w:t>
            </w:r>
          </w:p>
        </w:tc>
        <w:tc>
          <w:tcPr>
            <w:tcW w:type="dxa" w:w="2268"/>
            <w:vAlign w:val="top"/>
          </w:tcPr>
          <w:p>
            <w:pPr>
              <w:spacing w:after="0" w:line="240" w:lineRule="auto"/>
            </w:pPr>
            <w:r>
              <w:rPr>
                <w:color w:val="2B2F36"/>
                <w:sz w:val="16"/>
              </w:rPr>
              <w:t>High in automotive; low in heavy industry</w:t>
            </w:r>
          </w:p>
        </w:tc>
      </w:tr>
      <w:tr>
        <w:trPr>
          <w:cantSplit/>
        </w:trPr>
        <w:tc>
          <w:tcPr>
            <w:tcW w:type="dxa" w:w="2154"/>
            <w:shd w:val="clear" w:color="auto" w:fill="F7F4EE"/>
            <w:vAlign w:val="top"/>
          </w:tcPr>
          <w:p>
            <w:pPr>
              <w:spacing w:after="0" w:line="240" w:lineRule="auto"/>
            </w:pPr>
            <w:r>
              <w:rPr>
                <w:color w:val="2B2F36"/>
                <w:sz w:val="16"/>
              </w:rPr>
              <w:t>Sintered bronze or iron (oil-impregnated)</w:t>
            </w:r>
          </w:p>
        </w:tc>
        <w:tc>
          <w:tcPr>
            <w:tcW w:type="dxa" w:w="2608"/>
            <w:shd w:val="clear" w:color="auto" w:fill="F7F4EE"/>
            <w:vAlign w:val="top"/>
          </w:tcPr>
          <w:p>
            <w:pPr>
              <w:spacing w:after="0" w:line="240" w:lineRule="auto"/>
            </w:pPr>
            <w:r>
              <w:rPr>
                <w:color w:val="2B2F36"/>
                <w:sz w:val="16"/>
              </w:rPr>
              <w:t>Small motors, appliances, light pivots</w:t>
            </w:r>
          </w:p>
        </w:tc>
        <w:tc>
          <w:tcPr>
            <w:tcW w:type="dxa" w:w="2721"/>
            <w:shd w:val="clear" w:color="auto" w:fill="F7F4EE"/>
            <w:vAlign w:val="top"/>
          </w:tcPr>
          <w:p>
            <w:pPr>
              <w:spacing w:after="0" w:line="240" w:lineRule="auto"/>
            </w:pPr>
            <w:r>
              <w:rPr>
                <w:color w:val="2B2F36"/>
                <w:sz w:val="16"/>
              </w:rPr>
              <w:t>Above light load or 50 mm bore</w:t>
            </w:r>
          </w:p>
        </w:tc>
        <w:tc>
          <w:tcPr>
            <w:tcW w:type="dxa" w:w="2268"/>
            <w:shd w:val="clear" w:color="auto" w:fill="F7F4EE"/>
            <w:vAlign w:val="top"/>
          </w:tcPr>
          <w:p>
            <w:pPr>
              <w:spacing w:after="0" w:line="240" w:lineRule="auto"/>
            </w:pPr>
            <w:r>
              <w:rPr>
                <w:color w:val="2B2F36"/>
                <w:sz w:val="16"/>
              </w:rPr>
              <w:t>High in light duty only</w:t>
            </w:r>
          </w:p>
        </w:tc>
      </w:tr>
      <w:tr>
        <w:trPr>
          <w:cantSplit/>
        </w:trPr>
        <w:tc>
          <w:tcPr>
            <w:tcW w:type="dxa" w:w="2154"/>
            <w:vAlign w:val="top"/>
          </w:tcPr>
          <w:p>
            <w:pPr>
              <w:spacing w:after="0" w:line="240" w:lineRule="auto"/>
            </w:pPr>
            <w:r>
              <w:rPr>
                <w:color w:val="2B2F36"/>
                <w:sz w:val="16"/>
              </w:rPr>
              <w:t>Polymer / PTFE-composite</w:t>
            </w:r>
          </w:p>
        </w:tc>
        <w:tc>
          <w:tcPr>
            <w:tcW w:type="dxa" w:w="2608"/>
            <w:vAlign w:val="top"/>
          </w:tcPr>
          <w:p>
            <w:pPr>
              <w:spacing w:after="0" w:line="240" w:lineRule="auto"/>
            </w:pPr>
            <w:r>
              <w:rPr>
                <w:color w:val="2B2F36"/>
                <w:sz w:val="16"/>
              </w:rPr>
              <w:t>Dry-running pivots, hydraulics, food machinery</w:t>
            </w:r>
          </w:p>
        </w:tc>
        <w:tc>
          <w:tcPr>
            <w:tcW w:type="dxa" w:w="2721"/>
            <w:vAlign w:val="top"/>
          </w:tcPr>
          <w:p>
            <w:pPr>
              <w:spacing w:after="0" w:line="240" w:lineRule="auto"/>
            </w:pPr>
            <w:r>
              <w:rPr>
                <w:color w:val="2B2F36"/>
                <w:sz w:val="16"/>
              </w:rPr>
              <w:t>Heat, heavy or shock load, abrasive dirt</w:t>
            </w:r>
          </w:p>
        </w:tc>
        <w:tc>
          <w:tcPr>
            <w:tcW w:type="dxa" w:w="2268"/>
            <w:vAlign w:val="top"/>
          </w:tcPr>
          <w:p>
            <w:pPr>
              <w:spacing w:after="0" w:line="240" w:lineRule="auto"/>
            </w:pPr>
            <w:r>
              <w:rPr>
                <w:color w:val="2B2F36"/>
                <w:sz w:val="16"/>
              </w:rPr>
              <w:t>Medium</w:t>
            </w:r>
          </w:p>
        </w:tc>
      </w:tr>
      <w:tr>
        <w:trPr>
          <w:cantSplit/>
        </w:trPr>
        <w:tc>
          <w:tcPr>
            <w:tcW w:type="dxa" w:w="2154"/>
            <w:shd w:val="clear" w:color="auto" w:fill="F7F4EE"/>
            <w:vAlign w:val="top"/>
          </w:tcPr>
          <w:p>
            <w:pPr>
              <w:spacing w:after="0" w:line="240" w:lineRule="auto"/>
            </w:pPr>
            <w:r>
              <w:rPr>
                <w:color w:val="2B2F36"/>
                <w:sz w:val="16"/>
              </w:rPr>
              <w:t>Rolling-element bearings</w:t>
            </w:r>
          </w:p>
        </w:tc>
        <w:tc>
          <w:tcPr>
            <w:tcW w:type="dxa" w:w="2608"/>
            <w:shd w:val="clear" w:color="auto" w:fill="F7F4EE"/>
            <w:vAlign w:val="top"/>
          </w:tcPr>
          <w:p>
            <w:pPr>
              <w:spacing w:after="0" w:line="240" w:lineRule="auto"/>
            </w:pPr>
            <w:r>
              <w:rPr>
                <w:color w:val="2B2F36"/>
                <w:sz w:val="16"/>
              </w:rPr>
              <w:t>High speed, precision, low friction</w:t>
            </w:r>
          </w:p>
        </w:tc>
        <w:tc>
          <w:tcPr>
            <w:tcW w:type="dxa" w:w="2721"/>
            <w:shd w:val="clear" w:color="auto" w:fill="F7F4EE"/>
            <w:vAlign w:val="top"/>
          </w:tcPr>
          <w:p>
            <w:pPr>
              <w:spacing w:after="0" w:line="240" w:lineRule="auto"/>
            </w:pPr>
            <w:r>
              <w:rPr>
                <w:color w:val="2B2F36"/>
                <w:sz w:val="16"/>
              </w:rPr>
              <w:t>Shock, oscillation, dirt, split housings, very large shafts</w:t>
            </w:r>
          </w:p>
        </w:tc>
        <w:tc>
          <w:tcPr>
            <w:tcW w:type="dxa" w:w="2268"/>
            <w:shd w:val="clear" w:color="auto" w:fill="F7F4EE"/>
            <w:vAlign w:val="top"/>
          </w:tcPr>
          <w:p>
            <w:pPr>
              <w:spacing w:after="0" w:line="240" w:lineRule="auto"/>
            </w:pPr>
            <w:r>
              <w:rPr>
                <w:color w:val="2B2F36"/>
                <w:sz w:val="16"/>
              </w:rPr>
              <w:t>Medium</w:t>
            </w:r>
          </w:p>
        </w:tc>
      </w:tr>
      <w:tr>
        <w:trPr>
          <w:cantSplit/>
        </w:trPr>
        <w:tc>
          <w:tcPr>
            <w:tcW w:type="dxa" w:w="2154"/>
            <w:vAlign w:val="top"/>
          </w:tcPr>
          <w:p>
            <w:pPr>
              <w:spacing w:after="0" w:line="240" w:lineRule="auto"/>
            </w:pPr>
            <w:r>
              <w:rPr>
                <w:color w:val="2B2F36"/>
                <w:sz w:val="16"/>
              </w:rPr>
              <w:t>Cast iron or steel with grease</w:t>
            </w:r>
          </w:p>
        </w:tc>
        <w:tc>
          <w:tcPr>
            <w:tcW w:type="dxa" w:w="2608"/>
            <w:vAlign w:val="top"/>
          </w:tcPr>
          <w:p>
            <w:pPr>
              <w:spacing w:after="0" w:line="240" w:lineRule="auto"/>
            </w:pPr>
            <w:r>
              <w:rPr>
                <w:color w:val="2B2F36"/>
                <w:sz w:val="16"/>
              </w:rPr>
              <w:t>Cheap slow pivots</w:t>
            </w:r>
          </w:p>
        </w:tc>
        <w:tc>
          <w:tcPr>
            <w:tcW w:type="dxa" w:w="2721"/>
            <w:vAlign w:val="top"/>
          </w:tcPr>
          <w:p>
            <w:pPr>
              <w:spacing w:after="0" w:line="240" w:lineRule="auto"/>
            </w:pPr>
            <w:r>
              <w:rPr>
                <w:color w:val="2B2F36"/>
                <w:sz w:val="16"/>
              </w:rPr>
              <w:t>Corrosion, seizure resistance</w:t>
            </w:r>
          </w:p>
        </w:tc>
        <w:tc>
          <w:tcPr>
            <w:tcW w:type="dxa" w:w="2268"/>
            <w:vAlign w:val="top"/>
          </w:tcPr>
          <w:p>
            <w:pPr>
              <w:spacing w:after="0" w:line="240" w:lineRule="auto"/>
            </w:pPr>
            <w:r>
              <w:rPr>
                <w:color w:val="2B2F36"/>
                <w:sz w:val="16"/>
              </w:rPr>
              <w:t>Low</w:t>
            </w:r>
          </w:p>
        </w:tc>
      </w:tr>
    </w:tbl>
    <w:p>
      <w:pPr>
        <w:spacing w:after="40"/>
      </w:pPr>
    </w:p>
    <w:p>
      <w:pPr>
        <w:pStyle w:val="Heading2"/>
      </w:pPr>
      <w:r>
        <w:t>9.9 Where to sell bushes first</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1F4E79"/>
            </w:tcBorders>
            <w:shd w:val="clear" w:color="auto" w:fill="EEF3F8"/>
          </w:tcPr>
          <w:p>
            <w:pPr>
              <w:spacing w:after="60"/>
            </w:pPr>
            <w:r>
              <w:rPr>
                <w:b/>
                <w:color w:val="1F4E79"/>
                <w:sz w:val="20"/>
              </w:rPr>
              <w:t>Order of attack (distances from Bhiwadi)</w:t>
            </w:r>
          </w:p>
          <w:p>
            <w:pPr>
              <w:spacing w:after="40" w:line="252" w:lineRule="auto"/>
              <w:ind w:left="255" w:hanging="255"/>
            </w:pPr>
            <w:r>
              <w:rPr>
                <w:color w:val="2B2F36"/>
                <w:sz w:val="19"/>
              </w:rPr>
              <w:t xml:space="preserve">• </w:t>
            </w:r>
            <w:r>
              <w:rPr>
                <w:b/>
                <w:color w:val="2B2F36"/>
                <w:sz w:val="19"/>
              </w:rPr>
              <w:t>Faridabad–Ballabgarh (≈ 110 km):</w:t>
            </w:r>
            <w:r>
              <w:rPr>
                <w:color w:val="2B2F36"/>
                <w:sz w:val="19"/>
              </w:rPr>
              <w:t xml:space="preserve"> tractor (Escorts Kubota), earth-moving (JCB), hydraulics and crane chains buy CC493K and CC494K bushes and thrust washers monthly.</w:t>
            </w:r>
          </w:p>
          <w:p>
            <w:pPr>
              <w:spacing w:after="40" w:line="252" w:lineRule="auto"/>
              <w:ind w:left="255" w:hanging="255"/>
            </w:pPr>
            <w:r>
              <w:rPr>
                <w:color w:val="2B2F36"/>
                <w:sz w:val="19"/>
              </w:rPr>
              <w:t xml:space="preserve">• </w:t>
            </w:r>
            <w:r>
              <w:rPr>
                <w:b/>
                <w:color w:val="2B2F36"/>
                <w:sz w:val="19"/>
              </w:rPr>
              <w:t>Delhi, Ghaziabad (125–160 km):</w:t>
            </w:r>
            <w:r>
              <w:rPr>
                <w:color w:val="2B2F36"/>
                <w:sz w:val="19"/>
              </w:rPr>
              <w:t xml:space="preserve"> sugar-mill bearing makers (CC495K liners bought ahead of the April–September off-season); railway workshops; aftermarket.</w:t>
            </w:r>
          </w:p>
          <w:p>
            <w:pPr>
              <w:spacing w:after="40" w:line="252" w:lineRule="auto"/>
              <w:ind w:left="255" w:hanging="255"/>
            </w:pPr>
            <w:r>
              <w:rPr>
                <w:color w:val="2B2F36"/>
                <w:sz w:val="19"/>
              </w:rPr>
              <w:t xml:space="preserve">• </w:t>
            </w:r>
            <w:r>
              <w:rPr>
                <w:b/>
                <w:color w:val="2B2F36"/>
                <w:sz w:val="19"/>
              </w:rPr>
              <w:t>Noida and Prithla (130–150 km):</w:t>
            </w:r>
            <w:r>
              <w:rPr>
                <w:color w:val="2B2F36"/>
                <w:sz w:val="19"/>
              </w:rPr>
              <w:t xml:space="preserve"> hydro OEMs; graphite-plugged CC491K/CC493K gate bushes; slow approval, loyal once approved.</w:t>
            </w:r>
          </w:p>
          <w:p>
            <w:pPr>
              <w:spacing w:after="40" w:line="252" w:lineRule="auto"/>
              <w:ind w:left="255" w:hanging="255"/>
            </w:pPr>
            <w:r>
              <w:rPr>
                <w:color w:val="2B2F36"/>
                <w:sz w:val="19"/>
              </w:rPr>
              <w:t xml:space="preserve">• </w:t>
            </w:r>
            <w:r>
              <w:rPr>
                <w:b/>
                <w:color w:val="2B2F36"/>
                <w:sz w:val="19"/>
              </w:rPr>
              <w:t>Bush-stock and continuous-cast bar makers (nationwide):</w:t>
            </w:r>
            <w:r>
              <w:rPr>
                <w:color w:val="2B2F36"/>
                <w:sz w:val="19"/>
              </w:rPr>
              <w:t xml:space="preserve"> the steadiest monthly ingot buyers; sell consistency.</w:t>
            </w:r>
          </w:p>
          <w:p>
            <w:pPr>
              <w:spacing w:after="40" w:line="252" w:lineRule="auto"/>
              <w:ind w:left="255" w:hanging="255"/>
            </w:pPr>
            <w:r>
              <w:rPr>
                <w:color w:val="2B2F36"/>
                <w:sz w:val="19"/>
              </w:rPr>
              <w:t xml:space="preserve">• </w:t>
            </w:r>
            <w:r>
              <w:rPr>
                <w:b/>
                <w:color w:val="2B2F36"/>
                <w:sz w:val="19"/>
              </w:rPr>
              <w:t>Next ring (340–540 km):</w:t>
            </w:r>
            <w:r>
              <w:rPr>
                <w:color w:val="2B2F36"/>
                <w:sz w:val="19"/>
              </w:rPr>
              <w:t xml:space="preserve"> Rajasthan cement belt (CC495K crusher and kiln bushes), Ludhiana–Mohali machine-tool and tractor chain, Haridwar.</w:t>
            </w:r>
          </w:p>
        </w:tc>
      </w:tr>
    </w:tbl>
    <w:p>
      <w:pPr>
        <w:spacing w:after="40"/>
      </w:pPr>
    </w:p>
    <w:p>
      <w:r>
        <w:br w:type="page"/>
      </w:r>
    </w:p>
    <w:p>
      <w:pPr>
        <w:pStyle w:val="Heading1"/>
      </w:pPr>
      <w:r>
        <w:t>10. Minor applications deep dive</w:t>
      </w:r>
    </w:p>
    <w:p>
      <w:r>
        <w:t>Section 7 sized the 14 named minor applications (27 % of tonnes with “Other”). This section ranks them for Bajaj's sales team with a rule-based scorecard, shows when customers buy, and profiles the eight that score 22 or more.</w:t>
      </w:r>
    </w:p>
    <w:p>
      <w:pPr>
        <w:pStyle w:val="Heading2"/>
      </w:pPr>
      <w:r>
        <w:t>10.1 Scorecard (rebuilt after the yellow flag)</w:t>
      </w:r>
    </w:p>
    <w:p>
      <w:pPr>
        <w:keepNext/>
        <w:spacing w:after="40"/>
      </w:pPr>
      <w:r>
        <w:rPr>
          <w:b/>
          <w:color w:val="5B6470"/>
          <w:sz w:val="18"/>
        </w:rPr>
        <w:t>Table 27.</w:t>
      </w:r>
      <w:r>
        <w:rPr>
          <w:color w:val="5B6470"/>
          <w:sz w:val="18"/>
        </w:rPr>
        <w:t xml:space="preserve"> Scoring rules, each criterion 1–5</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4762"/>
        <w:gridCol w:w="3288"/>
      </w:tblGrid>
      <w:tr>
        <w:trPr>
          <w:cantSplit/>
          <w:tblHeader/>
        </w:trPr>
        <w:tc>
          <w:tcPr>
            <w:tcW w:type="dxa" w:w="1701"/>
            <w:shd w:val="clear" w:color="auto" w:fill="1F4E79"/>
            <w:vAlign w:val="center"/>
          </w:tcPr>
          <w:p>
            <w:pPr>
              <w:spacing w:after="0" w:line="240" w:lineRule="auto"/>
            </w:pPr>
            <w:r>
              <w:rPr>
                <w:b/>
                <w:color w:val="FFFFFF"/>
                <w:sz w:val="16"/>
              </w:rPr>
              <w:t>Criterion</w:t>
            </w:r>
          </w:p>
        </w:tc>
        <w:tc>
          <w:tcPr>
            <w:tcW w:type="dxa" w:w="4762"/>
            <w:shd w:val="clear" w:color="auto" w:fill="1F4E79"/>
            <w:vAlign w:val="center"/>
          </w:tcPr>
          <w:p>
            <w:pPr>
              <w:spacing w:after="0" w:line="240" w:lineRule="auto"/>
            </w:pPr>
            <w:r>
              <w:rPr>
                <w:b/>
                <w:color w:val="FFFFFF"/>
                <w:sz w:val="16"/>
              </w:rPr>
              <w:t>Rule</w:t>
            </w:r>
          </w:p>
        </w:tc>
        <w:tc>
          <w:tcPr>
            <w:tcW w:type="dxa" w:w="3288"/>
            <w:shd w:val="clear" w:color="auto" w:fill="1F4E79"/>
            <w:vAlign w:val="center"/>
          </w:tcPr>
          <w:p>
            <w:pPr>
              <w:spacing w:after="0" w:line="240" w:lineRule="auto"/>
            </w:pPr>
            <w:r>
              <w:rPr>
                <w:b/>
                <w:color w:val="FFFFFF"/>
                <w:sz w:val="16"/>
              </w:rPr>
              <w:t>Basis</w:t>
            </w:r>
          </w:p>
        </w:tc>
      </w:tr>
      <w:tr>
        <w:trPr>
          <w:cantSplit/>
        </w:trPr>
        <w:tc>
          <w:tcPr>
            <w:tcW w:type="dxa" w:w="1701"/>
            <w:vAlign w:val="top"/>
          </w:tcPr>
          <w:p>
            <w:pPr>
              <w:spacing w:after="0" w:line="240" w:lineRule="auto"/>
            </w:pPr>
            <w:r>
              <w:rPr>
                <w:color w:val="2B2F36"/>
                <w:sz w:val="16"/>
              </w:rPr>
              <w:t>Share</w:t>
            </w:r>
          </w:p>
        </w:tc>
        <w:tc>
          <w:tcPr>
            <w:tcW w:type="dxa" w:w="4762"/>
            <w:vAlign w:val="top"/>
          </w:tcPr>
          <w:p>
            <w:pPr>
              <w:spacing w:after="0" w:line="240" w:lineRule="auto"/>
            </w:pPr>
            <w:r>
              <w:rPr>
                <w:color w:val="2B2F36"/>
                <w:sz w:val="16"/>
              </w:rPr>
              <w:t>≥ 4 %: 5; ≥ 3 %: 4; ≥ 2 %: 3; ≥ 1.5 %: 2; below: 1</w:t>
            </w:r>
          </w:p>
        </w:tc>
        <w:tc>
          <w:tcPr>
            <w:tcW w:type="dxa" w:w="3288"/>
            <w:vAlign w:val="top"/>
          </w:tcPr>
          <w:p>
            <w:pPr>
              <w:spacing w:after="0" w:line="240" w:lineRule="auto"/>
            </w:pPr>
            <w:r>
              <w:rPr>
                <w:color w:val="2B2F36"/>
                <w:sz w:val="16"/>
              </w:rPr>
              <w:t>Section 7 shares</w:t>
            </w:r>
          </w:p>
        </w:tc>
      </w:tr>
      <w:tr>
        <w:trPr>
          <w:cantSplit/>
        </w:trPr>
        <w:tc>
          <w:tcPr>
            <w:tcW w:type="dxa" w:w="1701"/>
            <w:shd w:val="clear" w:color="auto" w:fill="F7F4EE"/>
            <w:vAlign w:val="top"/>
          </w:tcPr>
          <w:p>
            <w:pPr>
              <w:spacing w:after="0" w:line="240" w:lineRule="auto"/>
            </w:pPr>
            <w:r>
              <w:rPr>
                <w:color w:val="2B2F36"/>
                <w:sz w:val="16"/>
              </w:rPr>
              <w:t>Growth</w:t>
            </w:r>
          </w:p>
        </w:tc>
        <w:tc>
          <w:tcPr>
            <w:tcW w:type="dxa" w:w="4762"/>
            <w:shd w:val="clear" w:color="auto" w:fill="F7F4EE"/>
            <w:vAlign w:val="top"/>
          </w:tcPr>
          <w:p>
            <w:pPr>
              <w:spacing w:after="0" w:line="240" w:lineRule="auto"/>
            </w:pPr>
            <w:r>
              <w:rPr>
                <w:color w:val="2B2F36"/>
                <w:sz w:val="16"/>
              </w:rPr>
              <w:t>≤ 0 %/yr: 1; ≤ 2: 2; ≤ 4: 3; ≤ 6: 4; &gt; 6: 5</w:t>
            </w:r>
          </w:p>
        </w:tc>
        <w:tc>
          <w:tcPr>
            <w:tcW w:type="dxa" w:w="3288"/>
            <w:shd w:val="clear" w:color="auto" w:fill="F7F4EE"/>
            <w:vAlign w:val="top"/>
          </w:tcPr>
          <w:p>
            <w:pPr>
              <w:spacing w:after="0" w:line="240" w:lineRule="auto"/>
            </w:pPr>
            <w:r>
              <w:rPr>
                <w:color w:val="2B2F36"/>
                <w:sz w:val="16"/>
              </w:rPr>
              <w:t>Section 7 growth (market average 4.2 %)</w:t>
            </w:r>
          </w:p>
        </w:tc>
      </w:tr>
      <w:tr>
        <w:trPr>
          <w:cantSplit/>
        </w:trPr>
        <w:tc>
          <w:tcPr>
            <w:tcW w:type="dxa" w:w="1701"/>
            <w:vAlign w:val="top"/>
          </w:tcPr>
          <w:p>
            <w:pPr>
              <w:spacing w:after="0" w:line="240" w:lineRule="auto"/>
            </w:pPr>
            <w:r>
              <w:rPr>
                <w:color w:val="2B2F36"/>
                <w:sz w:val="16"/>
              </w:rPr>
              <w:t>Margin potential</w:t>
            </w:r>
          </w:p>
        </w:tc>
        <w:tc>
          <w:tcPr>
            <w:tcW w:type="dxa" w:w="4762"/>
            <w:vAlign w:val="top"/>
          </w:tcPr>
          <w:p>
            <w:pPr>
              <w:spacing w:after="0" w:line="240" w:lineRule="auto"/>
            </w:pPr>
            <w:r>
              <w:rPr>
                <w:color w:val="2B2F36"/>
                <w:sz w:val="16"/>
              </w:rPr>
              <w:t>Judgement 1–5: higher where buyers need certificates and are not price-driven</w:t>
            </w:r>
          </w:p>
        </w:tc>
        <w:tc>
          <w:tcPr>
            <w:tcW w:type="dxa" w:w="3288"/>
            <w:vAlign w:val="top"/>
          </w:tcPr>
          <w:p>
            <w:pPr>
              <w:spacing w:after="0" w:line="240" w:lineRule="auto"/>
            </w:pPr>
            <w:r>
              <w:rPr>
                <w:color w:val="2B2F36"/>
                <w:sz w:val="16"/>
              </w:rPr>
              <w:t>Rev 5 scores kept</w:t>
            </w:r>
          </w:p>
        </w:tc>
      </w:tr>
      <w:tr>
        <w:trPr>
          <w:cantSplit/>
        </w:trPr>
        <w:tc>
          <w:tcPr>
            <w:tcW w:type="dxa" w:w="1701"/>
            <w:shd w:val="clear" w:color="auto" w:fill="F7F4EE"/>
            <w:vAlign w:val="top"/>
          </w:tcPr>
          <w:p>
            <w:pPr>
              <w:spacing w:after="0" w:line="240" w:lineRule="auto"/>
            </w:pPr>
            <w:r>
              <w:rPr>
                <w:color w:val="2B2F36"/>
                <w:sz w:val="16"/>
              </w:rPr>
              <w:t>Certification need</w:t>
            </w:r>
          </w:p>
        </w:tc>
        <w:tc>
          <w:tcPr>
            <w:tcW w:type="dxa" w:w="4762"/>
            <w:shd w:val="clear" w:color="auto" w:fill="F7F4EE"/>
            <w:vAlign w:val="top"/>
          </w:tcPr>
          <w:p>
            <w:pPr>
              <w:spacing w:after="0" w:line="240" w:lineRule="auto"/>
            </w:pPr>
            <w:r>
              <w:rPr>
                <w:color w:val="2B2F36"/>
                <w:sz w:val="16"/>
              </w:rPr>
              <w:t>Judgement 1–5: standards, class rules, BIS, IBR</w:t>
            </w:r>
          </w:p>
        </w:tc>
        <w:tc>
          <w:tcPr>
            <w:tcW w:type="dxa" w:w="3288"/>
            <w:shd w:val="clear" w:color="auto" w:fill="F7F4EE"/>
            <w:vAlign w:val="top"/>
          </w:tcPr>
          <w:p>
            <w:pPr>
              <w:spacing w:after="0" w:line="240" w:lineRule="auto"/>
            </w:pPr>
            <w:r>
              <w:rPr>
                <w:color w:val="2B2F36"/>
                <w:sz w:val="16"/>
              </w:rPr>
              <w:t>Rev 5 scores kept</w:t>
            </w:r>
          </w:p>
        </w:tc>
      </w:tr>
      <w:tr>
        <w:trPr>
          <w:cantSplit/>
        </w:trPr>
        <w:tc>
          <w:tcPr>
            <w:tcW w:type="dxa" w:w="1701"/>
            <w:vAlign w:val="top"/>
          </w:tcPr>
          <w:p>
            <w:pPr>
              <w:spacing w:after="0" w:line="240" w:lineRule="auto"/>
            </w:pPr>
            <w:r>
              <w:rPr>
                <w:color w:val="2B2F36"/>
                <w:sz w:val="16"/>
              </w:rPr>
              <w:t>Low substitute threat</w:t>
            </w:r>
          </w:p>
        </w:tc>
        <w:tc>
          <w:tcPr>
            <w:tcW w:type="dxa" w:w="4762"/>
            <w:vAlign w:val="top"/>
          </w:tcPr>
          <w:p>
            <w:pPr>
              <w:spacing w:after="0" w:line="240" w:lineRule="auto"/>
            </w:pPr>
            <w:r>
              <w:rPr>
                <w:color w:val="2B2F36"/>
                <w:sz w:val="16"/>
              </w:rPr>
              <w:t>Mapped from the stated rating: Low 5, Low–Medium 4, Medium 3, High 1</w:t>
            </w:r>
          </w:p>
        </w:tc>
        <w:tc>
          <w:tcPr>
            <w:tcW w:type="dxa" w:w="3288"/>
            <w:vAlign w:val="top"/>
          </w:tcPr>
          <w:p>
            <w:pPr>
              <w:spacing w:after="0" w:line="240" w:lineRule="auto"/>
            </w:pPr>
            <w:r>
              <w:rPr>
                <w:color w:val="2B2F36"/>
                <w:sz w:val="16"/>
              </w:rPr>
              <w:t>Table in 10.4 and profiles</w:t>
            </w:r>
          </w:p>
        </w:tc>
      </w:tr>
      <w:tr>
        <w:trPr>
          <w:cantSplit/>
        </w:trPr>
        <w:tc>
          <w:tcPr>
            <w:tcW w:type="dxa" w:w="1701"/>
            <w:shd w:val="clear" w:color="auto" w:fill="F7F4EE"/>
            <w:vAlign w:val="top"/>
          </w:tcPr>
          <w:p>
            <w:pPr>
              <w:spacing w:after="0" w:line="240" w:lineRule="auto"/>
            </w:pPr>
            <w:r>
              <w:rPr>
                <w:color w:val="2B2F36"/>
                <w:sz w:val="16"/>
              </w:rPr>
              <w:t>Near Bajaj</w:t>
            </w:r>
          </w:p>
        </w:tc>
        <w:tc>
          <w:tcPr>
            <w:tcW w:type="dxa" w:w="4762"/>
            <w:shd w:val="clear" w:color="auto" w:fill="F7F4EE"/>
            <w:vAlign w:val="top"/>
          </w:tcPr>
          <w:p>
            <w:pPr>
              <w:spacing w:after="0" w:line="240" w:lineRule="auto"/>
            </w:pPr>
            <w:r>
              <w:rPr>
                <w:color w:val="2B2F36"/>
                <w:sz w:val="16"/>
              </w:rPr>
              <w:t>Share of buyers within ≈ 450 km: ≥ 50 %: 5; ≥ 35: 4; ≥ 20: 3; ≥ 10: 2; below: 1</w:t>
            </w:r>
          </w:p>
        </w:tc>
        <w:tc>
          <w:tcPr>
            <w:tcW w:type="dxa" w:w="3288"/>
            <w:shd w:val="clear" w:color="auto" w:fill="F7F4EE"/>
            <w:vAlign w:val="top"/>
          </w:tcPr>
          <w:p>
            <w:pPr>
              <w:spacing w:after="0" w:line="240" w:lineRule="auto"/>
            </w:pPr>
            <w:r>
              <w:rPr>
                <w:color w:val="2B2F36"/>
                <w:sz w:val="16"/>
              </w:rPr>
              <w:t>Cluster list, Section 9.4 (judgement)</w:t>
            </w:r>
          </w:p>
        </w:tc>
      </w:tr>
      <w:tr>
        <w:trPr>
          <w:cantSplit/>
        </w:trPr>
        <w:tc>
          <w:tcPr>
            <w:tcW w:type="dxa" w:w="1701"/>
            <w:vAlign w:val="top"/>
          </w:tcPr>
          <w:p>
            <w:pPr>
              <w:spacing w:after="0" w:line="240" w:lineRule="auto"/>
            </w:pPr>
            <w:r>
              <w:rPr>
                <w:color w:val="2B2F36"/>
                <w:sz w:val="16"/>
              </w:rPr>
              <w:t>Order size</w:t>
            </w:r>
          </w:p>
        </w:tc>
        <w:tc>
          <w:tcPr>
            <w:tcW w:type="dxa" w:w="4762"/>
            <w:vAlign w:val="top"/>
          </w:tcPr>
          <w:p>
            <w:pPr>
              <w:spacing w:after="0" w:line="240" w:lineRule="auto"/>
            </w:pPr>
            <w:r>
              <w:rPr>
                <w:color w:val="2B2F36"/>
                <w:sz w:val="16"/>
              </w:rPr>
              <w:t>Judgement 1–5: bigger, steadier orders score higher</w:t>
            </w:r>
          </w:p>
        </w:tc>
        <w:tc>
          <w:tcPr>
            <w:tcW w:type="dxa" w:w="3288"/>
            <w:vAlign w:val="top"/>
          </w:tcPr>
          <w:p>
            <w:pPr>
              <w:spacing w:after="0" w:line="240" w:lineRule="auto"/>
            </w:pPr>
            <w:r>
              <w:rPr>
                <w:color w:val="2B2F36"/>
                <w:sz w:val="16"/>
              </w:rPr>
              <w:t>Rev 5 scores kept</w:t>
            </w:r>
          </w:p>
        </w:tc>
      </w:tr>
    </w:tbl>
    <w:p>
      <w:pPr>
        <w:spacing w:after="40"/>
      </w:pPr>
    </w:p>
    <w:p>
      <w:pPr>
        <w:keepNext/>
        <w:spacing w:after="40"/>
        <w:jc w:val="center"/>
      </w:pPr>
      <w:r>
        <w:drawing>
          <wp:inline xmlns:a="http://schemas.openxmlformats.org/drawingml/2006/main" xmlns:pic="http://schemas.openxmlformats.org/drawingml/2006/picture">
            <wp:extent cx="5400000" cy="2815030"/>
            <wp:docPr id="31" name="Picture 31"/>
            <wp:cNvGraphicFramePr>
              <a:graphicFrameLocks noChangeAspect="1"/>
            </wp:cNvGraphicFramePr>
            <a:graphic>
              <a:graphicData uri="http://schemas.openxmlformats.org/drawingml/2006/picture">
                <pic:pic>
                  <pic:nvPicPr>
                    <pic:cNvPr id="0" name="d12.png"/>
                    <pic:cNvPicPr/>
                  </pic:nvPicPr>
                  <pic:blipFill>
                    <a:blip r:embed="rId41"/>
                    <a:stretch>
                      <a:fillRect/>
                    </a:stretch>
                  </pic:blipFill>
                  <pic:spPr>
                    <a:xfrm>
                      <a:off x="0" y="0"/>
                      <a:ext cx="5400000" cy="2815030"/>
                    </a:xfrm>
                    <a:prstGeom prst="rect"/>
                  </pic:spPr>
                </pic:pic>
              </a:graphicData>
            </a:graphic>
          </wp:inline>
        </w:drawing>
      </w:r>
    </w:p>
    <w:p>
      <w:pPr>
        <w:spacing w:after="160"/>
      </w:pPr>
      <w:r>
        <w:rPr>
          <w:b/>
          <w:color w:val="5B6470"/>
          <w:sz w:val="17"/>
        </w:rPr>
        <w:t>Figure 31.</w:t>
      </w:r>
      <w:r>
        <w:rPr>
          <w:color w:val="5B6470"/>
          <w:sz w:val="17"/>
        </w:rPr>
        <w:t xml:space="preserve"> Minor-application scorecard. Fire-fighting hardware and sugar-mill bearings lead at 28; hydro 27; marine and defence 25. Plumbing (16) and decorative castings (12) trail.</w:t>
      </w:r>
    </w:p>
    <w:p>
      <w:pPr>
        <w:keepNext/>
        <w:spacing w:after="40"/>
        <w:jc w:val="center"/>
      </w:pPr>
      <w:r>
        <w:drawing>
          <wp:inline xmlns:a="http://schemas.openxmlformats.org/drawingml/2006/main" xmlns:pic="http://schemas.openxmlformats.org/drawingml/2006/picture">
            <wp:extent cx="4860000" cy="2956533"/>
            <wp:docPr id="32" name="Picture 32"/>
            <wp:cNvGraphicFramePr>
              <a:graphicFrameLocks noChangeAspect="1"/>
            </wp:cNvGraphicFramePr>
            <a:graphic>
              <a:graphicData uri="http://schemas.openxmlformats.org/drawingml/2006/picture">
                <pic:pic>
                  <pic:nvPicPr>
                    <pic:cNvPr id="0" name="d13.png"/>
                    <pic:cNvPicPr/>
                  </pic:nvPicPr>
                  <pic:blipFill>
                    <a:blip r:embed="rId42"/>
                    <a:stretch>
                      <a:fillRect/>
                    </a:stretch>
                  </pic:blipFill>
                  <pic:spPr>
                    <a:xfrm>
                      <a:off x="0" y="0"/>
                      <a:ext cx="4860000" cy="2956533"/>
                    </a:xfrm>
                    <a:prstGeom prst="rect"/>
                  </pic:spPr>
                </pic:pic>
              </a:graphicData>
            </a:graphic>
          </wp:inline>
        </w:drawing>
      </w:r>
    </w:p>
    <w:p>
      <w:pPr>
        <w:spacing w:after="160"/>
      </w:pPr>
      <w:r>
        <w:rPr>
          <w:b/>
          <w:color w:val="5B6470"/>
          <w:sz w:val="17"/>
        </w:rPr>
        <w:t>Figure 32.</w:t>
      </w:r>
      <w:r>
        <w:rPr>
          <w:color w:val="5B6470"/>
          <w:sz w:val="17"/>
        </w:rPr>
        <w:t xml:space="preserve"> Score against growth (bubble = share of tonnes). The top-right group (fire, hydro, marine, defence) is high-growth and certification-led.</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1F4E79"/>
            </w:tcBorders>
            <w:shd w:val="clear" w:color="auto" w:fill="EEF3F8"/>
          </w:tcPr>
          <w:p>
            <w:pPr>
              <w:spacing w:after="60"/>
            </w:pPr>
            <w:r>
              <w:rPr>
                <w:b/>
                <w:color w:val="1F4E79"/>
                <w:sz w:val="20"/>
              </w:rPr>
              <w:t>What changed against Rev 5</w:t>
            </w:r>
          </w:p>
          <w:p>
            <w:pPr>
              <w:spacing w:after="40" w:line="252" w:lineRule="auto"/>
              <w:ind w:left="255" w:hanging="255"/>
            </w:pPr>
            <w:r>
              <w:rPr>
                <w:color w:val="2B2F36"/>
                <w:sz w:val="19"/>
              </w:rPr>
              <w:t>• Substitute-threat scores now follow the stated rating: meter bodies, instruments and decorative castings (High) are 1, not 2; boiler mountings (Low) is 5, not 4.</w:t>
            </w:r>
          </w:p>
          <w:p>
            <w:pPr>
              <w:spacing w:after="40" w:line="252" w:lineRule="auto"/>
              <w:ind w:left="255" w:hanging="255"/>
            </w:pPr>
            <w:r>
              <w:rPr>
                <w:color w:val="2B2F36"/>
                <w:sz w:val="19"/>
              </w:rPr>
              <w:t>• Growth scores are monotonic: +3 %/yr no longer outranks +5 %/yr.</w:t>
            </w:r>
          </w:p>
          <w:p>
            <w:pPr>
              <w:spacing w:after="40" w:line="252" w:lineRule="auto"/>
              <w:ind w:left="255" w:hanging="255"/>
            </w:pPr>
            <w:r>
              <w:rPr>
                <w:color w:val="2B2F36"/>
                <w:sz w:val="19"/>
              </w:rPr>
              <w:t>• Hydro scores 5 on proximity (Prithla 130 km, Noida 150, Haridwar 340) and rises from 25 to 27; marine falls to 1 on proximity (coastal buyers &gt; 1,300 km) and from 27 to 25.</w:t>
            </w:r>
          </w:p>
          <w:p>
            <w:pPr>
              <w:spacing w:after="40" w:line="252" w:lineRule="auto"/>
              <w:ind w:left="255" w:hanging="255"/>
            </w:pPr>
            <w:r>
              <w:rPr>
                <w:color w:val="2B2F36"/>
                <w:sz w:val="19"/>
              </w:rPr>
              <w:t>• Hydraulics (23), water-meter bodies (22) and boiler mountings (22) form the second tier.</w:t>
            </w:r>
          </w:p>
        </w:tc>
      </w:tr>
    </w:tbl>
    <w:p>
      <w:pPr>
        <w:spacing w:after="40"/>
      </w:pPr>
    </w:p>
    <w:p>
      <w:pPr>
        <w:pStyle w:val="Heading2"/>
      </w:pPr>
      <w:r>
        <w:t>10.2 When customers buy (rebuilt after the red flag)</w:t>
      </w:r>
    </w:p>
    <w:p>
      <w:pPr>
        <w:keepNext/>
        <w:spacing w:after="40"/>
        <w:jc w:val="center"/>
      </w:pPr>
      <w:r>
        <w:drawing>
          <wp:inline xmlns:a="http://schemas.openxmlformats.org/drawingml/2006/main" xmlns:pic="http://schemas.openxmlformats.org/drawingml/2006/picture">
            <wp:extent cx="6192000" cy="2028222"/>
            <wp:docPr id="33" name="Picture 33"/>
            <wp:cNvGraphicFramePr>
              <a:graphicFrameLocks noChangeAspect="1"/>
            </wp:cNvGraphicFramePr>
            <a:graphic>
              <a:graphicData uri="http://schemas.openxmlformats.org/drawingml/2006/picture">
                <pic:pic>
                  <pic:nvPicPr>
                    <pic:cNvPr id="0" name="d14.png"/>
                    <pic:cNvPicPr/>
                  </pic:nvPicPr>
                  <pic:blipFill>
                    <a:blip r:embed="rId43"/>
                    <a:stretch>
                      <a:fillRect/>
                    </a:stretch>
                  </pic:blipFill>
                  <pic:spPr>
                    <a:xfrm>
                      <a:off x="0" y="0"/>
                      <a:ext cx="6192000" cy="2028222"/>
                    </a:xfrm>
                    <a:prstGeom prst="rect"/>
                  </pic:spPr>
                </pic:pic>
              </a:graphicData>
            </a:graphic>
          </wp:inline>
        </w:drawing>
      </w:r>
    </w:p>
    <w:p>
      <w:pPr>
        <w:spacing w:after="160"/>
      </w:pPr>
      <w:r>
        <w:rPr>
          <w:b/>
          <w:color w:val="5B6470"/>
          <w:sz w:val="17"/>
        </w:rPr>
        <w:t>Figure 33.</w:t>
      </w:r>
      <w:r>
        <w:rPr>
          <w:color w:val="5B6470"/>
          <w:sz w:val="17"/>
        </w:rPr>
        <w:t xml:space="preserve"> Indicative buying calendar. Pump foundries buy most from January to April ahead of summer irrigation; sugar-mill bearing makers March to June (off-season overhaul); tractor and hydraulic bush makers July to October; meter makers on tenders closing January–March; government shipyards peak at fiscal year-end.</w:t>
      </w:r>
    </w:p>
    <w:p>
      <w:pPr>
        <w:keepNext/>
        <w:spacing w:after="40"/>
      </w:pPr>
      <w:r>
        <w:rPr>
          <w:b/>
          <w:color w:val="5B6470"/>
          <w:sz w:val="18"/>
        </w:rPr>
        <w:t>Table 28.</w:t>
      </w:r>
      <w:r>
        <w:rPr>
          <w:color w:val="5B6470"/>
          <w:sz w:val="18"/>
        </w:rPr>
        <w:t xml:space="preserve"> Evidence behind each calendar row</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041"/>
        <w:gridCol w:w="5329"/>
        <w:gridCol w:w="2381"/>
      </w:tblGrid>
      <w:tr>
        <w:trPr>
          <w:cantSplit/>
          <w:tblHeader/>
        </w:trPr>
        <w:tc>
          <w:tcPr>
            <w:tcW w:type="dxa" w:w="2041"/>
            <w:shd w:val="clear" w:color="auto" w:fill="1F4E79"/>
            <w:vAlign w:val="center"/>
          </w:tcPr>
          <w:p>
            <w:pPr>
              <w:spacing w:after="0" w:line="240" w:lineRule="auto"/>
            </w:pPr>
            <w:r>
              <w:rPr>
                <w:b/>
                <w:color w:val="FFFFFF"/>
                <w:sz w:val="16"/>
              </w:rPr>
              <w:t>Segment</w:t>
            </w:r>
          </w:p>
        </w:tc>
        <w:tc>
          <w:tcPr>
            <w:tcW w:type="dxa" w:w="5329"/>
            <w:shd w:val="clear" w:color="auto" w:fill="1F4E79"/>
            <w:vAlign w:val="center"/>
          </w:tcPr>
          <w:p>
            <w:pPr>
              <w:spacing w:after="0" w:line="240" w:lineRule="auto"/>
            </w:pPr>
            <w:r>
              <w:rPr>
                <w:b/>
                <w:color w:val="FFFFFF"/>
                <w:sz w:val="16"/>
              </w:rPr>
              <w:t>Basis for the pattern</w:t>
            </w:r>
          </w:p>
        </w:tc>
        <w:tc>
          <w:tcPr>
            <w:tcW w:type="dxa" w:w="2381"/>
            <w:shd w:val="clear" w:color="auto" w:fill="1F4E79"/>
            <w:vAlign w:val="center"/>
          </w:tcPr>
          <w:p>
            <w:pPr>
              <w:spacing w:after="0" w:line="240" w:lineRule="auto"/>
            </w:pPr>
            <w:r>
              <w:rPr>
                <w:b/>
                <w:color w:val="FFFFFF"/>
                <w:sz w:val="16"/>
              </w:rPr>
              <w:t>Evidence</w:t>
            </w:r>
          </w:p>
        </w:tc>
      </w:tr>
      <w:tr>
        <w:trPr>
          <w:cantSplit/>
        </w:trPr>
        <w:tc>
          <w:tcPr>
            <w:tcW w:type="dxa" w:w="2041"/>
            <w:vAlign w:val="top"/>
          </w:tcPr>
          <w:p>
            <w:pPr>
              <w:spacing w:after="0" w:line="240" w:lineRule="auto"/>
            </w:pPr>
            <w:r>
              <w:rPr>
                <w:color w:val="2B2F36"/>
                <w:sz w:val="16"/>
              </w:rPr>
              <w:t>Pump foundries</w:t>
            </w:r>
          </w:p>
        </w:tc>
        <w:tc>
          <w:tcPr>
            <w:tcW w:type="dxa" w:w="5329"/>
            <w:vAlign w:val="top"/>
          </w:tcPr>
          <w:p>
            <w:pPr>
              <w:spacing w:after="0" w:line="240" w:lineRule="auto"/>
            </w:pPr>
            <w:r>
              <w:rPr>
                <w:color w:val="2B2F36"/>
                <w:sz w:val="16"/>
              </w:rPr>
              <w:t>Ordering ahead of summer irrigation and the kharif season</w:t>
            </w:r>
          </w:p>
        </w:tc>
        <w:tc>
          <w:tcPr>
            <w:tcW w:type="dxa" w:w="2381"/>
            <w:vAlign w:val="top"/>
          </w:tcPr>
          <w:p>
            <w:pPr>
              <w:spacing w:after="0" w:line="240" w:lineRule="auto"/>
            </w:pPr>
            <w:r>
              <w:rPr>
                <w:color w:val="2B2F36"/>
                <w:sz w:val="16"/>
              </w:rPr>
              <w:t>Inferred from the demand cycle</w:t>
            </w:r>
          </w:p>
        </w:tc>
      </w:tr>
      <w:tr>
        <w:trPr>
          <w:cantSplit/>
        </w:trPr>
        <w:tc>
          <w:tcPr>
            <w:tcW w:type="dxa" w:w="2041"/>
            <w:shd w:val="clear" w:color="auto" w:fill="F7F4EE"/>
            <w:vAlign w:val="top"/>
          </w:tcPr>
          <w:p>
            <w:pPr>
              <w:spacing w:after="0" w:line="240" w:lineRule="auto"/>
            </w:pPr>
            <w:r>
              <w:rPr>
                <w:color w:val="2B2F36"/>
                <w:sz w:val="16"/>
              </w:rPr>
              <w:t>Water-meter makers</w:t>
            </w:r>
          </w:p>
        </w:tc>
        <w:tc>
          <w:tcPr>
            <w:tcW w:type="dxa" w:w="5329"/>
            <w:shd w:val="clear" w:color="auto" w:fill="F7F4EE"/>
            <w:vAlign w:val="top"/>
          </w:tcPr>
          <w:p>
            <w:pPr>
              <w:spacing w:after="0" w:line="240" w:lineRule="auto"/>
            </w:pPr>
            <w:r>
              <w:rPr>
                <w:color w:val="2B2F36"/>
                <w:sz w:val="16"/>
              </w:rPr>
              <w:t>Municipal and smart-meter tenders close January–March</w:t>
            </w:r>
          </w:p>
        </w:tc>
        <w:tc>
          <w:tcPr>
            <w:tcW w:type="dxa" w:w="2381"/>
            <w:shd w:val="clear" w:color="auto" w:fill="F7F4EE"/>
            <w:vAlign w:val="top"/>
          </w:tcPr>
          <w:p>
            <w:pPr>
              <w:spacing w:after="0" w:line="240" w:lineRule="auto"/>
            </w:pPr>
            <w:r>
              <w:rPr>
                <w:color w:val="2B2F36"/>
                <w:sz w:val="16"/>
              </w:rPr>
              <w:t>Inferred; check tender calendars</w:t>
            </w:r>
          </w:p>
        </w:tc>
      </w:tr>
      <w:tr>
        <w:trPr>
          <w:cantSplit/>
        </w:trPr>
        <w:tc>
          <w:tcPr>
            <w:tcW w:type="dxa" w:w="2041"/>
            <w:vAlign w:val="top"/>
          </w:tcPr>
          <w:p>
            <w:pPr>
              <w:spacing w:after="0" w:line="240" w:lineRule="auto"/>
            </w:pPr>
            <w:r>
              <w:rPr>
                <w:color w:val="2B2F36"/>
                <w:sz w:val="16"/>
              </w:rPr>
              <w:t>Government shipyards / marine</w:t>
            </w:r>
          </w:p>
        </w:tc>
        <w:tc>
          <w:tcPr>
            <w:tcW w:type="dxa" w:w="5329"/>
            <w:vAlign w:val="top"/>
          </w:tcPr>
          <w:p>
            <w:pPr>
              <w:spacing w:after="0" w:line="240" w:lineRule="auto"/>
            </w:pPr>
            <w:r>
              <w:rPr>
                <w:color w:val="2B2F36"/>
                <w:sz w:val="16"/>
              </w:rPr>
              <w:t>Fiscal-year-end spending (March)</w:t>
            </w:r>
          </w:p>
        </w:tc>
        <w:tc>
          <w:tcPr>
            <w:tcW w:type="dxa" w:w="2381"/>
            <w:vAlign w:val="top"/>
          </w:tcPr>
          <w:p>
            <w:pPr>
              <w:spacing w:after="0" w:line="240" w:lineRule="auto"/>
            </w:pPr>
            <w:r>
              <w:rPr>
                <w:color w:val="2B2F36"/>
                <w:sz w:val="16"/>
              </w:rPr>
              <w:t>Inferred</w:t>
            </w:r>
          </w:p>
        </w:tc>
      </w:tr>
      <w:tr>
        <w:trPr>
          <w:cantSplit/>
        </w:trPr>
        <w:tc>
          <w:tcPr>
            <w:tcW w:type="dxa" w:w="2041"/>
            <w:shd w:val="clear" w:color="auto" w:fill="F7F4EE"/>
            <w:vAlign w:val="top"/>
          </w:tcPr>
          <w:p>
            <w:pPr>
              <w:spacing w:after="0" w:line="240" w:lineRule="auto"/>
            </w:pPr>
            <w:r>
              <w:rPr>
                <w:color w:val="2B2F36"/>
                <w:sz w:val="16"/>
              </w:rPr>
              <w:t>Sugar-mill bearing makers</w:t>
            </w:r>
          </w:p>
        </w:tc>
        <w:tc>
          <w:tcPr>
            <w:tcW w:type="dxa" w:w="5329"/>
            <w:shd w:val="clear" w:color="auto" w:fill="F7F4EE"/>
            <w:vAlign w:val="top"/>
          </w:tcPr>
          <w:p>
            <w:pPr>
              <w:spacing w:after="0" w:line="240" w:lineRule="auto"/>
            </w:pPr>
            <w:r>
              <w:rPr>
                <w:color w:val="2B2F36"/>
                <w:sz w:val="16"/>
              </w:rPr>
              <w:t>Season crushes about October–March; overhaul April–September, so orders are placed March–May</w:t>
            </w:r>
          </w:p>
        </w:tc>
        <w:tc>
          <w:tcPr>
            <w:tcW w:type="dxa" w:w="2381"/>
            <w:shd w:val="clear" w:color="auto" w:fill="F7F4EE"/>
            <w:vAlign w:val="top"/>
          </w:tcPr>
          <w:p>
            <w:pPr>
              <w:spacing w:after="0" w:line="240" w:lineRule="auto"/>
            </w:pPr>
            <w:r>
              <w:rPr>
                <w:color w:val="2B2F36"/>
                <w:sz w:val="16"/>
              </w:rPr>
              <w:t>Cited (season dates); lead time is a field check</w:t>
            </w:r>
          </w:p>
        </w:tc>
      </w:tr>
      <w:tr>
        <w:trPr>
          <w:cantSplit/>
        </w:trPr>
        <w:tc>
          <w:tcPr>
            <w:tcW w:type="dxa" w:w="2041"/>
            <w:vAlign w:val="top"/>
          </w:tcPr>
          <w:p>
            <w:pPr>
              <w:spacing w:after="0" w:line="240" w:lineRule="auto"/>
            </w:pPr>
            <w:r>
              <w:rPr>
                <w:color w:val="2B2F36"/>
                <w:sz w:val="16"/>
              </w:rPr>
              <w:t>Tractor &amp; hydraulic bush makers</w:t>
            </w:r>
          </w:p>
        </w:tc>
        <w:tc>
          <w:tcPr>
            <w:tcW w:type="dxa" w:w="5329"/>
            <w:vAlign w:val="top"/>
          </w:tcPr>
          <w:p>
            <w:pPr>
              <w:spacing w:after="0" w:line="240" w:lineRule="auto"/>
            </w:pPr>
            <w:r>
              <w:rPr>
                <w:color w:val="2B2F36"/>
                <w:sz w:val="16"/>
              </w:rPr>
              <w:t>Festive and rabi demand; OEM schedules peak July–October</w:t>
            </w:r>
          </w:p>
        </w:tc>
        <w:tc>
          <w:tcPr>
            <w:tcW w:type="dxa" w:w="2381"/>
            <w:vAlign w:val="top"/>
          </w:tcPr>
          <w:p>
            <w:pPr>
              <w:spacing w:after="0" w:line="240" w:lineRule="auto"/>
            </w:pPr>
            <w:r>
              <w:rPr>
                <w:color w:val="2B2F36"/>
                <w:sz w:val="16"/>
              </w:rPr>
              <w:t>Inferred from tractor-sales seasonality</w:t>
            </w:r>
          </w:p>
        </w:tc>
      </w:tr>
      <w:tr>
        <w:trPr>
          <w:cantSplit/>
        </w:trPr>
        <w:tc>
          <w:tcPr>
            <w:tcW w:type="dxa" w:w="2041"/>
            <w:shd w:val="clear" w:color="auto" w:fill="F7F4EE"/>
            <w:vAlign w:val="top"/>
          </w:tcPr>
          <w:p>
            <w:pPr>
              <w:spacing w:after="0" w:line="240" w:lineRule="auto"/>
            </w:pPr>
            <w:r>
              <w:rPr>
                <w:color w:val="2B2F36"/>
                <w:sz w:val="16"/>
              </w:rPr>
              <w:t>Fire-equipment makers</w:t>
            </w:r>
          </w:p>
        </w:tc>
        <w:tc>
          <w:tcPr>
            <w:tcW w:type="dxa" w:w="5329"/>
            <w:shd w:val="clear" w:color="auto" w:fill="F7F4EE"/>
            <w:vAlign w:val="top"/>
          </w:tcPr>
          <w:p>
            <w:pPr>
              <w:spacing w:after="0" w:line="240" w:lineRule="auto"/>
            </w:pPr>
            <w:r>
              <w:rPr>
                <w:color w:val="2B2F36"/>
                <w:sz w:val="16"/>
              </w:rPr>
              <w:t>Project-driven, repeat monthly orders</w:t>
            </w:r>
          </w:p>
        </w:tc>
        <w:tc>
          <w:tcPr>
            <w:tcW w:type="dxa" w:w="2381"/>
            <w:shd w:val="clear" w:color="auto" w:fill="F7F4EE"/>
            <w:vAlign w:val="top"/>
          </w:tcPr>
          <w:p>
            <w:pPr>
              <w:spacing w:after="0" w:line="240" w:lineRule="auto"/>
            </w:pPr>
            <w:r>
              <w:rPr>
                <w:color w:val="2B2F36"/>
                <w:sz w:val="16"/>
              </w:rPr>
              <w:t>Inferred</w:t>
            </w:r>
          </w:p>
        </w:tc>
      </w:tr>
    </w:tbl>
    <w:p>
      <w:pPr>
        <w:spacing w:after="40"/>
      </w:pPr>
    </w:p>
    <w:p>
      <w:r>
        <w:rPr>
          <w:sz w:val="19"/>
        </w:rPr>
        <w:t xml:space="preserve">No row is a measured order book. </w:t>
      </w:r>
      <w:r>
        <w:rPr>
          <w:b/>
          <w:sz w:val="19"/>
        </w:rPr>
        <w:t>Validate with five to eight customer calls</w:t>
      </w:r>
      <w:r>
        <w:rPr>
          <w:sz w:val="19"/>
        </w:rPr>
        <w:t xml:space="preserve"> before planning stock around it. The useful insight holds either way: sugar-mill and tractor bushes fill the monsoon months when pump-casting demand is lowest.</w:t>
      </w:r>
    </w:p>
    <w:p>
      <w:pPr>
        <w:pStyle w:val="Heading2"/>
      </w:pPr>
      <w:r>
        <w:t>10.3 Profiles of the priority niches (rebuilt after the red flag)</w:t>
      </w:r>
    </w:p>
    <w:p>
      <w:r>
        <w:rPr>
          <w:sz w:val="19"/>
        </w:rPr>
        <w:t xml:space="preserve">Evidence tags: </w:t>
      </w:r>
      <w:r>
        <w:rPr>
          <w:b/>
          <w:sz w:val="19"/>
        </w:rPr>
        <w:t>C</w:t>
      </w:r>
      <w:r>
        <w:rPr>
          <w:sz w:val="19"/>
        </w:rPr>
        <w:t xml:space="preserve"> cited from a named source in Section 17; </w:t>
      </w:r>
      <w:r>
        <w:rPr>
          <w:b/>
          <w:sz w:val="19"/>
        </w:rPr>
        <w:t>I</w:t>
      </w:r>
      <w:r>
        <w:rPr>
          <w:sz w:val="19"/>
        </w:rPr>
        <w:t xml:space="preserve"> inferred from industry structure; </w:t>
      </w:r>
      <w:r>
        <w:rPr>
          <w:b/>
          <w:sz w:val="19"/>
        </w:rPr>
        <w:t>F</w:t>
      </w:r>
      <w:r>
        <w:rPr>
          <w:sz w:val="19"/>
        </w:rPr>
        <w:t xml:space="preserve"> field check needed. Distances are approximate road km from Bhiwadi.</w:t>
      </w:r>
    </w:p>
    <w:p>
      <w:pPr>
        <w:keepNext/>
        <w:spacing w:before="120"/>
      </w:pPr>
      <w:r>
        <w:rPr>
          <w:b/>
          <w:color w:val="8F4A12"/>
          <w:sz w:val="21"/>
        </w:rPr>
        <w:t>Fire-fighting hardware · 3.5 % of demand · +7 %/yr · score 28/35</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8050"/>
      </w:tblGrid>
      <w:tr>
        <w:trPr>
          <w:cantSplit/>
          <w:tblHeader/>
        </w:trPr>
        <w:tc>
          <w:tcPr>
            <w:tcW w:type="dxa" w:w="1701"/>
            <w:shd w:val="clear" w:color="auto" w:fill="1F4E79"/>
            <w:vAlign w:val="center"/>
          </w:tcPr>
          <w:p>
            <w:pPr>
              <w:spacing w:after="0" w:line="240" w:lineRule="auto"/>
            </w:pPr>
            <w:r>
              <w:rPr>
                <w:b/>
                <w:color w:val="FFFFFF"/>
                <w:sz w:val="16"/>
              </w:rPr>
              <w:t>Item</w:t>
            </w:r>
          </w:p>
        </w:tc>
        <w:tc>
          <w:tcPr>
            <w:tcW w:type="dxa" w:w="8050"/>
            <w:shd w:val="clear" w:color="auto" w:fill="1F4E79"/>
            <w:vAlign w:val="center"/>
          </w:tcPr>
          <w:p>
            <w:pPr>
              <w:spacing w:after="0" w:line="240" w:lineRule="auto"/>
            </w:pPr>
            <w:r>
              <w:rPr>
                <w:b/>
                <w:color w:val="FFFFFF"/>
                <w:sz w:val="16"/>
              </w:rPr>
              <w:t>Detail</w:t>
            </w:r>
          </w:p>
        </w:tc>
      </w:tr>
      <w:tr>
        <w:trPr>
          <w:cantSplit/>
        </w:trPr>
        <w:tc>
          <w:tcPr>
            <w:tcW w:type="dxa" w:w="1701"/>
            <w:vAlign w:val="top"/>
          </w:tcPr>
          <w:p>
            <w:pPr>
              <w:spacing w:after="0" w:line="240" w:lineRule="auto"/>
            </w:pPr>
            <w:r>
              <w:rPr>
                <w:b/>
                <w:color w:val="2B2F36"/>
                <w:sz w:val="16"/>
              </w:rPr>
              <w:t>What is made</w:t>
            </w:r>
          </w:p>
        </w:tc>
        <w:tc>
          <w:tcPr>
            <w:tcW w:type="dxa" w:w="8050"/>
            <w:vAlign w:val="top"/>
          </w:tcPr>
          <w:p>
            <w:pPr>
              <w:spacing w:after="0" w:line="240" w:lineRule="auto"/>
            </w:pPr>
            <w:r>
              <w:rPr>
                <w:color w:val="2B2F36"/>
                <w:sz w:val="16"/>
              </w:rPr>
              <w:t>Landing and hydrant valves, instantaneous couplings, branch pipes, nozzles, sprinkler and deluge-valve parts [C]</w:t>
            </w:r>
          </w:p>
        </w:tc>
      </w:tr>
      <w:tr>
        <w:trPr>
          <w:cantSplit/>
        </w:trPr>
        <w:tc>
          <w:tcPr>
            <w:tcW w:type="dxa" w:w="1701"/>
            <w:shd w:val="clear" w:color="auto" w:fill="F7F4EE"/>
            <w:vAlign w:val="top"/>
          </w:tcPr>
          <w:p>
            <w:pPr>
              <w:spacing w:after="0" w:line="240" w:lineRule="auto"/>
            </w:pPr>
            <w:r>
              <w:rPr>
                <w:b/>
                <w:color w:val="2B2F36"/>
                <w:sz w:val="16"/>
              </w:rPr>
              <w:t>Specification</w:t>
            </w:r>
          </w:p>
        </w:tc>
        <w:tc>
          <w:tcPr>
            <w:tcW w:type="dxa" w:w="8050"/>
            <w:shd w:val="clear" w:color="auto" w:fill="F7F4EE"/>
            <w:vAlign w:val="top"/>
          </w:tcPr>
          <w:p>
            <w:pPr>
              <w:spacing w:after="0" w:line="240" w:lineRule="auto"/>
            </w:pPr>
            <w:r>
              <w:rPr>
                <w:color w:val="2B2F36"/>
                <w:sz w:val="16"/>
              </w:rPr>
              <w:t>IS 5290 landing valves: body and bonnet in leaded tin bronze to IS 318 LTB 2, or aluminium alloy or stainless steel. IS 903:2025 couplings, branch pipes and nozzles: gunmetal, stainless steel or aluminium. BIS (ISI) marking; NFPA, UL or FM for exports [C]</w:t>
            </w:r>
          </w:p>
        </w:tc>
      </w:tr>
      <w:tr>
        <w:trPr>
          <w:cantSplit/>
        </w:trPr>
        <w:tc>
          <w:tcPr>
            <w:tcW w:type="dxa" w:w="1701"/>
            <w:vAlign w:val="top"/>
          </w:tcPr>
          <w:p>
            <w:pPr>
              <w:spacing w:after="0" w:line="240" w:lineRule="auto"/>
            </w:pPr>
            <w:r>
              <w:rPr>
                <w:b/>
                <w:color w:val="2B2F36"/>
                <w:sz w:val="16"/>
              </w:rPr>
              <w:t>Grades</w:t>
            </w:r>
          </w:p>
        </w:tc>
        <w:tc>
          <w:tcPr>
            <w:tcW w:type="dxa" w:w="8050"/>
            <w:vAlign w:val="top"/>
          </w:tcPr>
          <w:p>
            <w:pPr>
              <w:spacing w:after="0" w:line="240" w:lineRule="auto"/>
            </w:pPr>
            <w:r>
              <w:rPr>
                <w:color w:val="2B2F36"/>
                <w:sz w:val="16"/>
              </w:rPr>
              <w:t>CC491K (= IS 318 LTB 2 = C83600, verified); CC492K (≈C92200) for higher-pressure parts [C/I]</w:t>
            </w:r>
          </w:p>
        </w:tc>
      </w:tr>
      <w:tr>
        <w:trPr>
          <w:cantSplit/>
        </w:trPr>
        <w:tc>
          <w:tcPr>
            <w:tcW w:type="dxa" w:w="1701"/>
            <w:shd w:val="clear" w:color="auto" w:fill="F7F4EE"/>
            <w:vAlign w:val="top"/>
          </w:tcPr>
          <w:p>
            <w:pPr>
              <w:spacing w:after="0" w:line="240" w:lineRule="auto"/>
            </w:pPr>
            <w:r>
              <w:rPr>
                <w:b/>
                <w:color w:val="2B2F36"/>
                <w:sz w:val="16"/>
              </w:rPr>
              <w:t>Demand anchor</w:t>
            </w:r>
          </w:p>
        </w:tc>
        <w:tc>
          <w:tcPr>
            <w:tcW w:type="dxa" w:w="8050"/>
            <w:shd w:val="clear" w:color="auto" w:fill="F7F4EE"/>
            <w:vAlign w:val="top"/>
          </w:tcPr>
          <w:p>
            <w:pPr>
              <w:spacing w:after="0" w:line="240" w:lineRule="auto"/>
            </w:pPr>
            <w:r>
              <w:rPr>
                <w:color w:val="2B2F36"/>
                <w:sz w:val="16"/>
              </w:rPr>
              <w:t>High-rise buildings, metros, refineries and warehouses under NBC 2016; Gulf EPC projects; +7 %/yr is an estimate [I]</w:t>
            </w:r>
          </w:p>
        </w:tc>
      </w:tr>
      <w:tr>
        <w:trPr>
          <w:cantSplit/>
        </w:trPr>
        <w:tc>
          <w:tcPr>
            <w:tcW w:type="dxa" w:w="1701"/>
            <w:vAlign w:val="top"/>
          </w:tcPr>
          <w:p>
            <w:pPr>
              <w:spacing w:after="0" w:line="240" w:lineRule="auto"/>
            </w:pPr>
            <w:r>
              <w:rPr>
                <w:b/>
                <w:color w:val="2B2F36"/>
                <w:sz w:val="16"/>
              </w:rPr>
              <w:t>Buyers and clusters</w:t>
            </w:r>
          </w:p>
        </w:tc>
        <w:tc>
          <w:tcPr>
            <w:tcW w:type="dxa" w:w="8050"/>
            <w:vAlign w:val="top"/>
          </w:tcPr>
          <w:p>
            <w:pPr>
              <w:spacing w:after="0" w:line="240" w:lineRule="auto"/>
            </w:pPr>
            <w:r>
              <w:rPr>
                <w:color w:val="2B2F36"/>
                <w:sz w:val="16"/>
              </w:rPr>
              <w:t>ISI-licensed fire-equipment makers in Rajkot and Ahmedabad (900–1,050 km), Mumbai (1,300), Delhi-NCR (125). Only about a quarter of activity is within 450 km [I]</w:t>
            </w:r>
          </w:p>
        </w:tc>
      </w:tr>
      <w:tr>
        <w:trPr>
          <w:cantSplit/>
        </w:trPr>
        <w:tc>
          <w:tcPr>
            <w:tcW w:type="dxa" w:w="1701"/>
            <w:shd w:val="clear" w:color="auto" w:fill="F7F4EE"/>
            <w:vAlign w:val="top"/>
          </w:tcPr>
          <w:p>
            <w:pPr>
              <w:spacing w:after="0" w:line="240" w:lineRule="auto"/>
            </w:pPr>
            <w:r>
              <w:rPr>
                <w:b/>
                <w:color w:val="2B2F36"/>
                <w:sz w:val="16"/>
              </w:rPr>
              <w:t>Buying pattern</w:t>
            </w:r>
          </w:p>
        </w:tc>
        <w:tc>
          <w:tcPr>
            <w:tcW w:type="dxa" w:w="8050"/>
            <w:shd w:val="clear" w:color="auto" w:fill="F7F4EE"/>
            <w:vAlign w:val="top"/>
          </w:tcPr>
          <w:p>
            <w:pPr>
              <w:spacing w:after="0" w:line="240" w:lineRule="auto"/>
            </w:pPr>
            <w:r>
              <w:rPr>
                <w:color w:val="2B2F36"/>
                <w:sz w:val="16"/>
              </w:rPr>
              <w:t>Year-round, project-driven, repeat monthly orders [I/F]</w:t>
            </w:r>
          </w:p>
        </w:tc>
      </w:tr>
      <w:tr>
        <w:trPr>
          <w:cantSplit/>
        </w:trPr>
        <w:tc>
          <w:tcPr>
            <w:tcW w:type="dxa" w:w="1701"/>
            <w:vAlign w:val="top"/>
          </w:tcPr>
          <w:p>
            <w:pPr>
              <w:spacing w:after="0" w:line="240" w:lineRule="auto"/>
            </w:pPr>
            <w:r>
              <w:rPr>
                <w:b/>
                <w:color w:val="2B2F36"/>
                <w:sz w:val="16"/>
              </w:rPr>
              <w:t>Substitute threat</w:t>
            </w:r>
          </w:p>
        </w:tc>
        <w:tc>
          <w:tcPr>
            <w:tcW w:type="dxa" w:w="8050"/>
            <w:vAlign w:val="top"/>
          </w:tcPr>
          <w:p>
            <w:pPr>
              <w:spacing w:after="0" w:line="240" w:lineRule="auto"/>
            </w:pPr>
            <w:r>
              <w:rPr>
                <w:color w:val="2B2F36"/>
                <w:sz w:val="16"/>
              </w:rPr>
              <w:t>Medium at the cheap end (aluminium couplings); low for ISI landing valves where gunmetal is the default [C]</w:t>
            </w:r>
          </w:p>
        </w:tc>
      </w:tr>
      <w:tr>
        <w:trPr>
          <w:cantSplit/>
        </w:trPr>
        <w:tc>
          <w:tcPr>
            <w:tcW w:type="dxa" w:w="1701"/>
            <w:shd w:val="clear" w:color="auto" w:fill="F7F4EE"/>
            <w:vAlign w:val="top"/>
          </w:tcPr>
          <w:p>
            <w:pPr>
              <w:spacing w:after="0" w:line="240" w:lineRule="auto"/>
            </w:pPr>
            <w:r>
              <w:rPr>
                <w:b/>
                <w:color w:val="2B2F36"/>
                <w:sz w:val="16"/>
              </w:rPr>
              <w:t>How Bajaj wins</w:t>
            </w:r>
          </w:p>
        </w:tc>
        <w:tc>
          <w:tcPr>
            <w:tcW w:type="dxa" w:w="8050"/>
            <w:shd w:val="clear" w:color="auto" w:fill="F7F4EE"/>
            <w:vAlign w:val="top"/>
          </w:tcPr>
          <w:p>
            <w:pPr>
              <w:spacing w:after="0" w:line="240" w:lineRule="auto"/>
            </w:pPr>
            <w:r>
              <w:rPr>
                <w:color w:val="2B2F36"/>
                <w:sz w:val="16"/>
              </w:rPr>
              <w:t>BIS factory tests reject off-chemistry metal: supply one certificate mapped to IS 318 LTB 2, EN CC491K and UNS C83600; freight-inclusive prices to Gujarat; NCR makers first [I]</w:t>
            </w:r>
          </w:p>
        </w:tc>
      </w:tr>
    </w:tbl>
    <w:p>
      <w:pPr>
        <w:spacing w:after="40"/>
      </w:pPr>
    </w:p>
    <w:p>
      <w:pPr>
        <w:keepNext/>
        <w:spacing w:before="120"/>
      </w:pPr>
      <w:r>
        <w:rPr>
          <w:b/>
          <w:color w:val="8F4A12"/>
          <w:sz w:val="21"/>
        </w:rPr>
        <w:t>Sugar-mill bearings · 2.5 % of demand · +2 %/yr · score 28/35</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8050"/>
      </w:tblGrid>
      <w:tr>
        <w:trPr>
          <w:cantSplit/>
          <w:tblHeader/>
        </w:trPr>
        <w:tc>
          <w:tcPr>
            <w:tcW w:type="dxa" w:w="1701"/>
            <w:shd w:val="clear" w:color="auto" w:fill="1F4E79"/>
            <w:vAlign w:val="center"/>
          </w:tcPr>
          <w:p>
            <w:pPr>
              <w:spacing w:after="0" w:line="240" w:lineRule="auto"/>
            </w:pPr>
            <w:r>
              <w:rPr>
                <w:b/>
                <w:color w:val="FFFFFF"/>
                <w:sz w:val="16"/>
              </w:rPr>
              <w:t>Item</w:t>
            </w:r>
          </w:p>
        </w:tc>
        <w:tc>
          <w:tcPr>
            <w:tcW w:type="dxa" w:w="8050"/>
            <w:shd w:val="clear" w:color="auto" w:fill="1F4E79"/>
            <w:vAlign w:val="center"/>
          </w:tcPr>
          <w:p>
            <w:pPr>
              <w:spacing w:after="0" w:line="240" w:lineRule="auto"/>
            </w:pPr>
            <w:r>
              <w:rPr>
                <w:b/>
                <w:color w:val="FFFFFF"/>
                <w:sz w:val="16"/>
              </w:rPr>
              <w:t>Detail</w:t>
            </w:r>
          </w:p>
        </w:tc>
      </w:tr>
      <w:tr>
        <w:trPr>
          <w:cantSplit/>
        </w:trPr>
        <w:tc>
          <w:tcPr>
            <w:tcW w:type="dxa" w:w="1701"/>
            <w:vAlign w:val="top"/>
          </w:tcPr>
          <w:p>
            <w:pPr>
              <w:spacing w:after="0" w:line="240" w:lineRule="auto"/>
            </w:pPr>
            <w:r>
              <w:rPr>
                <w:b/>
                <w:color w:val="2B2F36"/>
                <w:sz w:val="16"/>
              </w:rPr>
              <w:t>What is made</w:t>
            </w:r>
          </w:p>
        </w:tc>
        <w:tc>
          <w:tcPr>
            <w:tcW w:type="dxa" w:w="8050"/>
            <w:vAlign w:val="top"/>
          </w:tcPr>
          <w:p>
            <w:pPr>
              <w:spacing w:after="0" w:line="240" w:lineRule="auto"/>
            </w:pPr>
            <w:r>
              <w:rPr>
                <w:color w:val="2B2F36"/>
                <w:sz w:val="16"/>
              </w:rPr>
              <w:t>Top-roller, side-roller and tail-bar bearing liners (“mill brasses”), pinion and trash-plate bushes [C]</w:t>
            </w:r>
          </w:p>
        </w:tc>
      </w:tr>
      <w:tr>
        <w:trPr>
          <w:cantSplit/>
        </w:trPr>
        <w:tc>
          <w:tcPr>
            <w:tcW w:type="dxa" w:w="1701"/>
            <w:shd w:val="clear" w:color="auto" w:fill="F7F4EE"/>
            <w:vAlign w:val="top"/>
          </w:tcPr>
          <w:p>
            <w:pPr>
              <w:spacing w:after="0" w:line="240" w:lineRule="auto"/>
            </w:pPr>
            <w:r>
              <w:rPr>
                <w:b/>
                <w:color w:val="2B2F36"/>
                <w:sz w:val="16"/>
              </w:rPr>
              <w:t>Specification</w:t>
            </w:r>
          </w:p>
        </w:tc>
        <w:tc>
          <w:tcPr>
            <w:tcW w:type="dxa" w:w="8050"/>
            <w:shd w:val="clear" w:color="auto" w:fill="F7F4EE"/>
            <w:vAlign w:val="top"/>
          </w:tcPr>
          <w:p>
            <w:pPr>
              <w:spacing w:after="0" w:line="240" w:lineRule="auto"/>
            </w:pPr>
            <w:r>
              <w:rPr>
                <w:color w:val="2B2F36"/>
                <w:sz w:val="16"/>
              </w:rPr>
              <w:t>Buyer drawings; usually leaded bronze to IS 318 or BS 1400 LB2 / LG2, checked for chemistry and hardness [C/I]</w:t>
            </w:r>
          </w:p>
        </w:tc>
      </w:tr>
      <w:tr>
        <w:trPr>
          <w:cantSplit/>
        </w:trPr>
        <w:tc>
          <w:tcPr>
            <w:tcW w:type="dxa" w:w="1701"/>
            <w:vAlign w:val="top"/>
          </w:tcPr>
          <w:p>
            <w:pPr>
              <w:spacing w:after="0" w:line="240" w:lineRule="auto"/>
            </w:pPr>
            <w:r>
              <w:rPr>
                <w:b/>
                <w:color w:val="2B2F36"/>
                <w:sz w:val="16"/>
              </w:rPr>
              <w:t>Grades</w:t>
            </w:r>
          </w:p>
        </w:tc>
        <w:tc>
          <w:tcPr>
            <w:tcW w:type="dxa" w:w="8050"/>
            <w:vAlign w:val="top"/>
          </w:tcPr>
          <w:p>
            <w:pPr>
              <w:spacing w:after="0" w:line="240" w:lineRule="auto"/>
            </w:pPr>
            <w:r>
              <w:rPr>
                <w:color w:val="2B2F36"/>
                <w:sz w:val="16"/>
              </w:rPr>
              <w:t>CC495K (C93700) top-roller liners; CC494K (C93500) and CC493K (C93200) lighter bearings [I]; fit model: CC495K 4.26 for heavy-load bearings</w:t>
            </w:r>
          </w:p>
        </w:tc>
      </w:tr>
      <w:tr>
        <w:trPr>
          <w:cantSplit/>
        </w:trPr>
        <w:tc>
          <w:tcPr>
            <w:tcW w:type="dxa" w:w="1701"/>
            <w:shd w:val="clear" w:color="auto" w:fill="F7F4EE"/>
            <w:vAlign w:val="top"/>
          </w:tcPr>
          <w:p>
            <w:pPr>
              <w:spacing w:after="0" w:line="240" w:lineRule="auto"/>
            </w:pPr>
            <w:r>
              <w:rPr>
                <w:b/>
                <w:color w:val="2B2F36"/>
                <w:sz w:val="16"/>
              </w:rPr>
              <w:t>Demand anchor</w:t>
            </w:r>
          </w:p>
        </w:tc>
        <w:tc>
          <w:tcPr>
            <w:tcW w:type="dxa" w:w="8050"/>
            <w:shd w:val="clear" w:color="auto" w:fill="F7F4EE"/>
            <w:vAlign w:val="top"/>
          </w:tcPr>
          <w:p>
            <w:pPr>
              <w:spacing w:after="0" w:line="240" w:lineRule="auto"/>
            </w:pPr>
            <w:r>
              <w:rPr>
                <w:color w:val="2B2F36"/>
                <w:sz w:val="16"/>
              </w:rPr>
              <w:t>541 sugar mills crushed in 2025–26 (as cited in Rev 5; re-verify) [C]. Re-lining every one to three seasons is an estimate [F]</w:t>
            </w:r>
          </w:p>
        </w:tc>
      </w:tr>
      <w:tr>
        <w:trPr>
          <w:cantSplit/>
        </w:trPr>
        <w:tc>
          <w:tcPr>
            <w:tcW w:type="dxa" w:w="1701"/>
            <w:vAlign w:val="top"/>
          </w:tcPr>
          <w:p>
            <w:pPr>
              <w:spacing w:after="0" w:line="240" w:lineRule="auto"/>
            </w:pPr>
            <w:r>
              <w:rPr>
                <w:b/>
                <w:color w:val="2B2F36"/>
                <w:sz w:val="16"/>
              </w:rPr>
              <w:t>Buyers and clusters</w:t>
            </w:r>
          </w:p>
        </w:tc>
        <w:tc>
          <w:tcPr>
            <w:tcW w:type="dxa" w:w="8050"/>
            <w:vAlign w:val="top"/>
          </w:tcPr>
          <w:p>
            <w:pPr>
              <w:spacing w:after="0" w:line="240" w:lineRule="auto"/>
            </w:pPr>
            <w:r>
              <w:rPr>
                <w:color w:val="2B2F36"/>
                <w:sz w:val="16"/>
              </w:rPr>
              <w:t>Mill-bearing makers in Ghaziabad and Delhi (e.g. Ganesh Metal Industries, Kamaldeep Metals), 125–160 km; Coimbatore (Sri Sujay Engineering), Pune, Kolhapur. About 55 % of activity within 450 km [C/I]</w:t>
            </w:r>
          </w:p>
        </w:tc>
      </w:tr>
      <w:tr>
        <w:trPr>
          <w:cantSplit/>
        </w:trPr>
        <w:tc>
          <w:tcPr>
            <w:tcW w:type="dxa" w:w="1701"/>
            <w:shd w:val="clear" w:color="auto" w:fill="F7F4EE"/>
            <w:vAlign w:val="top"/>
          </w:tcPr>
          <w:p>
            <w:pPr>
              <w:spacing w:after="0" w:line="240" w:lineRule="auto"/>
            </w:pPr>
            <w:r>
              <w:rPr>
                <w:b/>
                <w:color w:val="2B2F36"/>
                <w:sz w:val="16"/>
              </w:rPr>
              <w:t>Buying pattern</w:t>
            </w:r>
          </w:p>
        </w:tc>
        <w:tc>
          <w:tcPr>
            <w:tcW w:type="dxa" w:w="8050"/>
            <w:shd w:val="clear" w:color="auto" w:fill="F7F4EE"/>
            <w:vAlign w:val="top"/>
          </w:tcPr>
          <w:p>
            <w:pPr>
              <w:spacing w:after="0" w:line="240" w:lineRule="auto"/>
            </w:pPr>
            <w:r>
              <w:rPr>
                <w:color w:val="2B2F36"/>
                <w:sz w:val="16"/>
              </w:rPr>
              <w:t>Orders March–May for the April–September overhaul; large single castings, seasonal and lumpy [C/F]</w:t>
            </w:r>
          </w:p>
        </w:tc>
      </w:tr>
      <w:tr>
        <w:trPr>
          <w:cantSplit/>
        </w:trPr>
        <w:tc>
          <w:tcPr>
            <w:tcW w:type="dxa" w:w="1701"/>
            <w:vAlign w:val="top"/>
          </w:tcPr>
          <w:p>
            <w:pPr>
              <w:spacing w:after="0" w:line="240" w:lineRule="auto"/>
            </w:pPr>
            <w:r>
              <w:rPr>
                <w:b/>
                <w:color w:val="2B2F36"/>
                <w:sz w:val="16"/>
              </w:rPr>
              <w:t>Substitute threat</w:t>
            </w:r>
          </w:p>
        </w:tc>
        <w:tc>
          <w:tcPr>
            <w:tcW w:type="dxa" w:w="8050"/>
            <w:vAlign w:val="top"/>
          </w:tcPr>
          <w:p>
            <w:pPr>
              <w:spacing w:after="0" w:line="240" w:lineRule="auto"/>
            </w:pPr>
            <w:r>
              <w:rPr>
                <w:color w:val="2B2F36"/>
                <w:sz w:val="16"/>
              </w:rPr>
              <w:t>Low: bronze kept for shock tolerance and juice-contamination resistance [I]</w:t>
            </w:r>
          </w:p>
        </w:tc>
      </w:tr>
      <w:tr>
        <w:trPr>
          <w:cantSplit/>
        </w:trPr>
        <w:tc>
          <w:tcPr>
            <w:tcW w:type="dxa" w:w="1701"/>
            <w:shd w:val="clear" w:color="auto" w:fill="F7F4EE"/>
            <w:vAlign w:val="top"/>
          </w:tcPr>
          <w:p>
            <w:pPr>
              <w:spacing w:after="0" w:line="240" w:lineRule="auto"/>
            </w:pPr>
            <w:r>
              <w:rPr>
                <w:b/>
                <w:color w:val="2B2F36"/>
                <w:sz w:val="16"/>
              </w:rPr>
              <w:t>How Bajaj wins</w:t>
            </w:r>
          </w:p>
        </w:tc>
        <w:tc>
          <w:tcPr>
            <w:tcW w:type="dxa" w:w="8050"/>
            <w:shd w:val="clear" w:color="auto" w:fill="F7F4EE"/>
            <w:vAlign w:val="top"/>
          </w:tcPr>
          <w:p>
            <w:pPr>
              <w:spacing w:after="0" w:line="240" w:lineRule="auto"/>
            </w:pPr>
            <w:r>
              <w:rPr>
                <w:color w:val="2B2F36"/>
                <w:sz w:val="16"/>
              </w:rPr>
              <w:t>Day-trip delivery to Delhi–Ghaziabad; stock CC495K ingot before April (tin working capital: Section 6); turnings buy-back [I]</w:t>
            </w:r>
          </w:p>
        </w:tc>
      </w:tr>
    </w:tbl>
    <w:p>
      <w:pPr>
        <w:spacing w:after="40"/>
      </w:pPr>
    </w:p>
    <w:p>
      <w:pPr>
        <w:keepNext/>
        <w:spacing w:before="120"/>
      </w:pPr>
      <w:r>
        <w:rPr>
          <w:b/>
          <w:color w:val="8F4A12"/>
          <w:sz w:val="21"/>
        </w:rPr>
        <w:t>Hydro &amp; irrigation · 1 % of demand · +6 %/yr · score 27/35 (approval play)</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8050"/>
      </w:tblGrid>
      <w:tr>
        <w:trPr>
          <w:cantSplit/>
          <w:tblHeader/>
        </w:trPr>
        <w:tc>
          <w:tcPr>
            <w:tcW w:type="dxa" w:w="1701"/>
            <w:shd w:val="clear" w:color="auto" w:fill="1F4E79"/>
            <w:vAlign w:val="center"/>
          </w:tcPr>
          <w:p>
            <w:pPr>
              <w:spacing w:after="0" w:line="240" w:lineRule="auto"/>
            </w:pPr>
            <w:r>
              <w:rPr>
                <w:b/>
                <w:color w:val="FFFFFF"/>
                <w:sz w:val="16"/>
              </w:rPr>
              <w:t>Item</w:t>
            </w:r>
          </w:p>
        </w:tc>
        <w:tc>
          <w:tcPr>
            <w:tcW w:type="dxa" w:w="8050"/>
            <w:shd w:val="clear" w:color="auto" w:fill="1F4E79"/>
            <w:vAlign w:val="center"/>
          </w:tcPr>
          <w:p>
            <w:pPr>
              <w:spacing w:after="0" w:line="240" w:lineRule="auto"/>
            </w:pPr>
            <w:r>
              <w:rPr>
                <w:b/>
                <w:color w:val="FFFFFF"/>
                <w:sz w:val="16"/>
              </w:rPr>
              <w:t>Detail</w:t>
            </w:r>
          </w:p>
        </w:tc>
      </w:tr>
      <w:tr>
        <w:trPr>
          <w:cantSplit/>
        </w:trPr>
        <w:tc>
          <w:tcPr>
            <w:tcW w:type="dxa" w:w="1701"/>
            <w:vAlign w:val="top"/>
          </w:tcPr>
          <w:p>
            <w:pPr>
              <w:spacing w:after="0" w:line="240" w:lineRule="auto"/>
            </w:pPr>
            <w:r>
              <w:rPr>
                <w:b/>
                <w:color w:val="2B2F36"/>
                <w:sz w:val="16"/>
              </w:rPr>
              <w:t>What is made</w:t>
            </w:r>
          </w:p>
        </w:tc>
        <w:tc>
          <w:tcPr>
            <w:tcW w:type="dxa" w:w="8050"/>
            <w:vAlign w:val="top"/>
          </w:tcPr>
          <w:p>
            <w:pPr>
              <w:spacing w:after="0" w:line="240" w:lineRule="auto"/>
            </w:pPr>
            <w:r>
              <w:rPr>
                <w:color w:val="2B2F36"/>
                <w:sz w:val="16"/>
              </w:rPr>
              <w:t>Wicket-gate and guide-vane bushes (often graphite-plugged), sluice-gate guides and nuts [I]</w:t>
            </w:r>
          </w:p>
        </w:tc>
      </w:tr>
      <w:tr>
        <w:trPr>
          <w:cantSplit/>
        </w:trPr>
        <w:tc>
          <w:tcPr>
            <w:tcW w:type="dxa" w:w="1701"/>
            <w:shd w:val="clear" w:color="auto" w:fill="F7F4EE"/>
            <w:vAlign w:val="top"/>
          </w:tcPr>
          <w:p>
            <w:pPr>
              <w:spacing w:after="0" w:line="240" w:lineRule="auto"/>
            </w:pPr>
            <w:r>
              <w:rPr>
                <w:b/>
                <w:color w:val="2B2F36"/>
                <w:sz w:val="16"/>
              </w:rPr>
              <w:t>Specification</w:t>
            </w:r>
          </w:p>
        </w:tc>
        <w:tc>
          <w:tcPr>
            <w:tcW w:type="dxa" w:w="8050"/>
            <w:shd w:val="clear" w:color="auto" w:fill="F7F4EE"/>
            <w:vAlign w:val="top"/>
          </w:tcPr>
          <w:p>
            <w:pPr>
              <w:spacing w:after="0" w:line="240" w:lineRule="auto"/>
            </w:pPr>
            <w:r>
              <w:rPr>
                <w:color w:val="2B2F36"/>
                <w:sz w:val="16"/>
              </w:rPr>
              <w:t>Project specifications and OEM drawings; heat traceability [I]</w:t>
            </w:r>
          </w:p>
        </w:tc>
      </w:tr>
      <w:tr>
        <w:trPr>
          <w:cantSplit/>
        </w:trPr>
        <w:tc>
          <w:tcPr>
            <w:tcW w:type="dxa" w:w="1701"/>
            <w:vAlign w:val="top"/>
          </w:tcPr>
          <w:p>
            <w:pPr>
              <w:spacing w:after="0" w:line="240" w:lineRule="auto"/>
            </w:pPr>
            <w:r>
              <w:rPr>
                <w:b/>
                <w:color w:val="2B2F36"/>
                <w:sz w:val="16"/>
              </w:rPr>
              <w:t>Grades</w:t>
            </w:r>
          </w:p>
        </w:tc>
        <w:tc>
          <w:tcPr>
            <w:tcW w:type="dxa" w:w="8050"/>
            <w:vAlign w:val="top"/>
          </w:tcPr>
          <w:p>
            <w:pPr>
              <w:spacing w:after="0" w:line="240" w:lineRule="auto"/>
            </w:pPr>
            <w:r>
              <w:rPr>
                <w:color w:val="2B2F36"/>
                <w:sz w:val="16"/>
              </w:rPr>
              <w:t>CC491K, CC493K, CC495K (30 % each in the grade matrix) [I]</w:t>
            </w:r>
          </w:p>
        </w:tc>
      </w:tr>
      <w:tr>
        <w:trPr>
          <w:cantSplit/>
        </w:trPr>
        <w:tc>
          <w:tcPr>
            <w:tcW w:type="dxa" w:w="1701"/>
            <w:shd w:val="clear" w:color="auto" w:fill="F7F4EE"/>
            <w:vAlign w:val="top"/>
          </w:tcPr>
          <w:p>
            <w:pPr>
              <w:spacing w:after="0" w:line="240" w:lineRule="auto"/>
            </w:pPr>
            <w:r>
              <w:rPr>
                <w:b/>
                <w:color w:val="2B2F36"/>
                <w:sz w:val="16"/>
              </w:rPr>
              <w:t>Demand anchor</w:t>
            </w:r>
          </w:p>
        </w:tc>
        <w:tc>
          <w:tcPr>
            <w:tcW w:type="dxa" w:w="8050"/>
            <w:shd w:val="clear" w:color="auto" w:fill="F7F4EE"/>
            <w:vAlign w:val="top"/>
          </w:tcPr>
          <w:p>
            <w:pPr>
              <w:spacing w:after="0" w:line="240" w:lineRule="auto"/>
            </w:pPr>
            <w:r>
              <w:rPr>
                <w:color w:val="2B2F36"/>
                <w:sz w:val="16"/>
              </w:rPr>
              <w:t>Pumped storage and canal projects; long tender cycles [I]</w:t>
            </w:r>
          </w:p>
        </w:tc>
      </w:tr>
      <w:tr>
        <w:trPr>
          <w:cantSplit/>
        </w:trPr>
        <w:tc>
          <w:tcPr>
            <w:tcW w:type="dxa" w:w="1701"/>
            <w:vAlign w:val="top"/>
          </w:tcPr>
          <w:p>
            <w:pPr>
              <w:spacing w:after="0" w:line="240" w:lineRule="auto"/>
            </w:pPr>
            <w:r>
              <w:rPr>
                <w:b/>
                <w:color w:val="2B2F36"/>
                <w:sz w:val="16"/>
              </w:rPr>
              <w:t>Buyers and clusters</w:t>
            </w:r>
          </w:p>
        </w:tc>
        <w:tc>
          <w:tcPr>
            <w:tcW w:type="dxa" w:w="8050"/>
            <w:vAlign w:val="top"/>
          </w:tcPr>
          <w:p>
            <w:pPr>
              <w:spacing w:after="0" w:line="240" w:lineRule="auto"/>
            </w:pPr>
            <w:r>
              <w:rPr>
                <w:color w:val="2B2F36"/>
                <w:sz w:val="16"/>
              </w:rPr>
              <w:t>Voith Hydro (Noida, ≈ 150 km), Andritz Hydro (Prithla, ≈ 130), BHEL Haridwar (≈ 340) and Bhopal, as named in Rev 5 [C; verify]. About 60 % of activity within 450 km</w:t>
            </w:r>
          </w:p>
        </w:tc>
      </w:tr>
      <w:tr>
        <w:trPr>
          <w:cantSplit/>
        </w:trPr>
        <w:tc>
          <w:tcPr>
            <w:tcW w:type="dxa" w:w="1701"/>
            <w:shd w:val="clear" w:color="auto" w:fill="F7F4EE"/>
            <w:vAlign w:val="top"/>
          </w:tcPr>
          <w:p>
            <w:pPr>
              <w:spacing w:after="0" w:line="240" w:lineRule="auto"/>
            </w:pPr>
            <w:r>
              <w:rPr>
                <w:b/>
                <w:color w:val="2B2F36"/>
                <w:sz w:val="16"/>
              </w:rPr>
              <w:t>Buying pattern</w:t>
            </w:r>
          </w:p>
        </w:tc>
        <w:tc>
          <w:tcPr>
            <w:tcW w:type="dxa" w:w="8050"/>
            <w:shd w:val="clear" w:color="auto" w:fill="F7F4EE"/>
            <w:vAlign w:val="top"/>
          </w:tcPr>
          <w:p>
            <w:pPr>
              <w:spacing w:after="0" w:line="240" w:lineRule="auto"/>
            </w:pPr>
            <w:r>
              <w:rPr>
                <w:color w:val="2B2F36"/>
                <w:sz w:val="16"/>
              </w:rPr>
              <w:t>Slow vendor approval (12–24 months, estimate), then loyal repeat orders [F]</w:t>
            </w:r>
          </w:p>
        </w:tc>
      </w:tr>
      <w:tr>
        <w:trPr>
          <w:cantSplit/>
        </w:trPr>
        <w:tc>
          <w:tcPr>
            <w:tcW w:type="dxa" w:w="1701"/>
            <w:vAlign w:val="top"/>
          </w:tcPr>
          <w:p>
            <w:pPr>
              <w:spacing w:after="0" w:line="240" w:lineRule="auto"/>
            </w:pPr>
            <w:r>
              <w:rPr>
                <w:b/>
                <w:color w:val="2B2F36"/>
                <w:sz w:val="16"/>
              </w:rPr>
              <w:t>Substitute threat</w:t>
            </w:r>
          </w:p>
        </w:tc>
        <w:tc>
          <w:tcPr>
            <w:tcW w:type="dxa" w:w="8050"/>
            <w:vAlign w:val="top"/>
          </w:tcPr>
          <w:p>
            <w:pPr>
              <w:spacing w:after="0" w:line="240" w:lineRule="auto"/>
            </w:pPr>
            <w:r>
              <w:rPr>
                <w:color w:val="2B2F36"/>
                <w:sz w:val="16"/>
              </w:rPr>
              <w:t>Low–Medium: self-lubricating polymers in some bushes [I]</w:t>
            </w:r>
          </w:p>
        </w:tc>
      </w:tr>
      <w:tr>
        <w:trPr>
          <w:cantSplit/>
        </w:trPr>
        <w:tc>
          <w:tcPr>
            <w:tcW w:type="dxa" w:w="1701"/>
            <w:shd w:val="clear" w:color="auto" w:fill="F7F4EE"/>
            <w:vAlign w:val="top"/>
          </w:tcPr>
          <w:p>
            <w:pPr>
              <w:spacing w:after="0" w:line="240" w:lineRule="auto"/>
            </w:pPr>
            <w:r>
              <w:rPr>
                <w:b/>
                <w:color w:val="2B2F36"/>
                <w:sz w:val="16"/>
              </w:rPr>
              <w:t>How Bajaj wins</w:t>
            </w:r>
          </w:p>
        </w:tc>
        <w:tc>
          <w:tcPr>
            <w:tcW w:type="dxa" w:w="8050"/>
            <w:shd w:val="clear" w:color="auto" w:fill="F7F4EE"/>
            <w:vAlign w:val="top"/>
          </w:tcPr>
          <w:p>
            <w:pPr>
              <w:spacing w:after="0" w:line="240" w:lineRule="auto"/>
            </w:pPr>
            <w:r>
              <w:rPr>
                <w:color w:val="2B2F36"/>
                <w:sz w:val="16"/>
              </w:rPr>
              <w:t>Start vendor registration now; the OEMs are among the nearest large buyers of any niche; small volume (1 %) so treat as an approval play, not a volume line</w:t>
            </w:r>
          </w:p>
        </w:tc>
      </w:tr>
    </w:tbl>
    <w:p>
      <w:pPr>
        <w:spacing w:after="40"/>
      </w:pPr>
    </w:p>
    <w:p>
      <w:pPr>
        <w:keepNext/>
        <w:spacing w:before="120"/>
      </w:pPr>
      <w:r>
        <w:rPr>
          <w:b/>
          <w:color w:val="8F4A12"/>
          <w:sz w:val="21"/>
        </w:rPr>
        <w:t>Marine fittings · 3 % of demand · +6 %/yr · score 25/35</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8050"/>
      </w:tblGrid>
      <w:tr>
        <w:trPr>
          <w:cantSplit/>
          <w:tblHeader/>
        </w:trPr>
        <w:tc>
          <w:tcPr>
            <w:tcW w:type="dxa" w:w="1701"/>
            <w:shd w:val="clear" w:color="auto" w:fill="1F4E79"/>
            <w:vAlign w:val="center"/>
          </w:tcPr>
          <w:p>
            <w:pPr>
              <w:spacing w:after="0" w:line="240" w:lineRule="auto"/>
            </w:pPr>
            <w:r>
              <w:rPr>
                <w:b/>
                <w:color w:val="FFFFFF"/>
                <w:sz w:val="16"/>
              </w:rPr>
              <w:t>Item</w:t>
            </w:r>
          </w:p>
        </w:tc>
        <w:tc>
          <w:tcPr>
            <w:tcW w:type="dxa" w:w="8050"/>
            <w:shd w:val="clear" w:color="auto" w:fill="1F4E79"/>
            <w:vAlign w:val="center"/>
          </w:tcPr>
          <w:p>
            <w:pPr>
              <w:spacing w:after="0" w:line="240" w:lineRule="auto"/>
            </w:pPr>
            <w:r>
              <w:rPr>
                <w:b/>
                <w:color w:val="FFFFFF"/>
                <w:sz w:val="16"/>
              </w:rPr>
              <w:t>Detail</w:t>
            </w:r>
          </w:p>
        </w:tc>
      </w:tr>
      <w:tr>
        <w:trPr>
          <w:cantSplit/>
        </w:trPr>
        <w:tc>
          <w:tcPr>
            <w:tcW w:type="dxa" w:w="1701"/>
            <w:vAlign w:val="top"/>
          </w:tcPr>
          <w:p>
            <w:pPr>
              <w:spacing w:after="0" w:line="240" w:lineRule="auto"/>
            </w:pPr>
            <w:r>
              <w:rPr>
                <w:b/>
                <w:color w:val="2B2F36"/>
                <w:sz w:val="16"/>
              </w:rPr>
              <w:t>What is made</w:t>
            </w:r>
          </w:p>
        </w:tc>
        <w:tc>
          <w:tcPr>
            <w:tcW w:type="dxa" w:w="8050"/>
            <w:vAlign w:val="top"/>
          </w:tcPr>
          <w:p>
            <w:pPr>
              <w:spacing w:after="0" w:line="240" w:lineRule="auto"/>
            </w:pPr>
            <w:r>
              <w:rPr>
                <w:color w:val="2B2F36"/>
                <w:sz w:val="16"/>
              </w:rPr>
              <w:t>Sea-water globe, gate and storm valves, sea-chest strainers, pump casings, stern-tube and rudder bushes, deck fittings [C]</w:t>
            </w:r>
          </w:p>
        </w:tc>
      </w:tr>
      <w:tr>
        <w:trPr>
          <w:cantSplit/>
        </w:trPr>
        <w:tc>
          <w:tcPr>
            <w:tcW w:type="dxa" w:w="1701"/>
            <w:shd w:val="clear" w:color="auto" w:fill="F7F4EE"/>
            <w:vAlign w:val="top"/>
          </w:tcPr>
          <w:p>
            <w:pPr>
              <w:spacing w:after="0" w:line="240" w:lineRule="auto"/>
            </w:pPr>
            <w:r>
              <w:rPr>
                <w:b/>
                <w:color w:val="2B2F36"/>
                <w:sz w:val="16"/>
              </w:rPr>
              <w:t>Specification</w:t>
            </w:r>
          </w:p>
        </w:tc>
        <w:tc>
          <w:tcPr>
            <w:tcW w:type="dxa" w:w="8050"/>
            <w:shd w:val="clear" w:color="auto" w:fill="F7F4EE"/>
            <w:vAlign w:val="top"/>
          </w:tcPr>
          <w:p>
            <w:pPr>
              <w:spacing w:after="0" w:line="240" w:lineRule="auto"/>
            </w:pPr>
            <w:r>
              <w:rPr>
                <w:color w:val="2B2F36"/>
                <w:sz w:val="16"/>
              </w:rPr>
              <w:t>Class-society rules (IRS, DNV, LR, ABS) with EN 10204 3.1 certificates; naval specifications [C]</w:t>
            </w:r>
          </w:p>
        </w:tc>
      </w:tr>
      <w:tr>
        <w:trPr>
          <w:cantSplit/>
        </w:trPr>
        <w:tc>
          <w:tcPr>
            <w:tcW w:type="dxa" w:w="1701"/>
            <w:vAlign w:val="top"/>
          </w:tcPr>
          <w:p>
            <w:pPr>
              <w:spacing w:after="0" w:line="240" w:lineRule="auto"/>
            </w:pPr>
            <w:r>
              <w:rPr>
                <w:b/>
                <w:color w:val="2B2F36"/>
                <w:sz w:val="16"/>
              </w:rPr>
              <w:t>Grades</w:t>
            </w:r>
          </w:p>
        </w:tc>
        <w:tc>
          <w:tcPr>
            <w:tcW w:type="dxa" w:w="8050"/>
            <w:vAlign w:val="top"/>
          </w:tcPr>
          <w:p>
            <w:pPr>
              <w:spacing w:after="0" w:line="240" w:lineRule="auto"/>
            </w:pPr>
            <w:r>
              <w:rPr>
                <w:color w:val="2B2F36"/>
                <w:sz w:val="16"/>
              </w:rPr>
              <w:t>CC491K and CC492K (“Navy M” type) for valves and pumps; CC495K for bushes. Fit model: CC491K 4.27, CC492K 4.25 [C/I]</w:t>
            </w:r>
          </w:p>
        </w:tc>
      </w:tr>
      <w:tr>
        <w:trPr>
          <w:cantSplit/>
        </w:trPr>
        <w:tc>
          <w:tcPr>
            <w:tcW w:type="dxa" w:w="1701"/>
            <w:shd w:val="clear" w:color="auto" w:fill="F7F4EE"/>
            <w:vAlign w:val="top"/>
          </w:tcPr>
          <w:p>
            <w:pPr>
              <w:spacing w:after="0" w:line="240" w:lineRule="auto"/>
            </w:pPr>
            <w:r>
              <w:rPr>
                <w:b/>
                <w:color w:val="2B2F36"/>
                <w:sz w:val="16"/>
              </w:rPr>
              <w:t>Demand anchor</w:t>
            </w:r>
          </w:p>
        </w:tc>
        <w:tc>
          <w:tcPr>
            <w:tcW w:type="dxa" w:w="8050"/>
            <w:shd w:val="clear" w:color="auto" w:fill="F7F4EE"/>
            <w:vAlign w:val="top"/>
          </w:tcPr>
          <w:p>
            <w:pPr>
              <w:spacing w:after="0" w:line="240" w:lineRule="auto"/>
            </w:pPr>
            <w:r>
              <w:rPr>
                <w:color w:val="2B2F36"/>
                <w:sz w:val="16"/>
              </w:rPr>
              <w:t>₹69,725 crore shipbuilding package (Sept 2025) targeting 4.5 million GT a year; naval programmes; fishing fleets [C]</w:t>
            </w:r>
          </w:p>
        </w:tc>
      </w:tr>
      <w:tr>
        <w:trPr>
          <w:cantSplit/>
        </w:trPr>
        <w:tc>
          <w:tcPr>
            <w:tcW w:type="dxa" w:w="1701"/>
            <w:vAlign w:val="top"/>
          </w:tcPr>
          <w:p>
            <w:pPr>
              <w:spacing w:after="0" w:line="240" w:lineRule="auto"/>
            </w:pPr>
            <w:r>
              <w:rPr>
                <w:b/>
                <w:color w:val="2B2F36"/>
                <w:sz w:val="16"/>
              </w:rPr>
              <w:t>Buyers and clusters</w:t>
            </w:r>
          </w:p>
        </w:tc>
        <w:tc>
          <w:tcPr>
            <w:tcW w:type="dxa" w:w="8050"/>
            <w:vAlign w:val="top"/>
          </w:tcPr>
          <w:p>
            <w:pPr>
              <w:spacing w:after="0" w:line="240" w:lineRule="auto"/>
            </w:pPr>
            <w:r>
              <w:rPr>
                <w:color w:val="2B2F36"/>
                <w:sz w:val="16"/>
              </w:rPr>
              <w:t>Valve and fitting makers in Mumbai, Kochi, Visakhapatnam, Goa and Kolkata (all &gt; 1,300 km); export valve makers in Rajkot and Jamnagar (1,050–1,200) [C/I]. About 5 % of activity within 450 km</w:t>
            </w:r>
          </w:p>
        </w:tc>
      </w:tr>
      <w:tr>
        <w:trPr>
          <w:cantSplit/>
        </w:trPr>
        <w:tc>
          <w:tcPr>
            <w:tcW w:type="dxa" w:w="1701"/>
            <w:shd w:val="clear" w:color="auto" w:fill="F7F4EE"/>
            <w:vAlign w:val="top"/>
          </w:tcPr>
          <w:p>
            <w:pPr>
              <w:spacing w:after="0" w:line="240" w:lineRule="auto"/>
            </w:pPr>
            <w:r>
              <w:rPr>
                <w:b/>
                <w:color w:val="2B2F36"/>
                <w:sz w:val="16"/>
              </w:rPr>
              <w:t>Buying pattern</w:t>
            </w:r>
          </w:p>
        </w:tc>
        <w:tc>
          <w:tcPr>
            <w:tcW w:type="dxa" w:w="8050"/>
            <w:shd w:val="clear" w:color="auto" w:fill="F7F4EE"/>
            <w:vAlign w:val="top"/>
          </w:tcPr>
          <w:p>
            <w:pPr>
              <w:spacing w:after="0" w:line="240" w:lineRule="auto"/>
            </w:pPr>
            <w:r>
              <w:rPr>
                <w:color w:val="2B2F36"/>
                <w:sz w:val="16"/>
              </w:rPr>
              <w:t>Year-round; government yards peak at fiscal year-end [I]</w:t>
            </w:r>
          </w:p>
        </w:tc>
      </w:tr>
      <w:tr>
        <w:trPr>
          <w:cantSplit/>
        </w:trPr>
        <w:tc>
          <w:tcPr>
            <w:tcW w:type="dxa" w:w="1701"/>
            <w:vAlign w:val="top"/>
          </w:tcPr>
          <w:p>
            <w:pPr>
              <w:spacing w:after="0" w:line="240" w:lineRule="auto"/>
            </w:pPr>
            <w:r>
              <w:rPr>
                <w:b/>
                <w:color w:val="2B2F36"/>
                <w:sz w:val="16"/>
              </w:rPr>
              <w:t>Substitute threat</w:t>
            </w:r>
          </w:p>
        </w:tc>
        <w:tc>
          <w:tcPr>
            <w:tcW w:type="dxa" w:w="8050"/>
            <w:vAlign w:val="top"/>
          </w:tcPr>
          <w:p>
            <w:pPr>
              <w:spacing w:after="0" w:line="240" w:lineRule="auto"/>
            </w:pPr>
            <w:r>
              <w:rPr>
                <w:color w:val="2B2F36"/>
                <w:sz w:val="16"/>
              </w:rPr>
              <w:t>Low for valves; medium for pump casings (nickel-aluminium bronze, stainless) [C/I]</w:t>
            </w:r>
          </w:p>
        </w:tc>
      </w:tr>
      <w:tr>
        <w:trPr>
          <w:cantSplit/>
        </w:trPr>
        <w:tc>
          <w:tcPr>
            <w:tcW w:type="dxa" w:w="1701"/>
            <w:shd w:val="clear" w:color="auto" w:fill="F7F4EE"/>
            <w:vAlign w:val="top"/>
          </w:tcPr>
          <w:p>
            <w:pPr>
              <w:spacing w:after="0" w:line="240" w:lineRule="auto"/>
            </w:pPr>
            <w:r>
              <w:rPr>
                <w:b/>
                <w:color w:val="2B2F36"/>
                <w:sz w:val="16"/>
              </w:rPr>
              <w:t>How Bajaj wins</w:t>
            </w:r>
          </w:p>
        </w:tc>
        <w:tc>
          <w:tcPr>
            <w:tcW w:type="dxa" w:w="8050"/>
            <w:shd w:val="clear" w:color="auto" w:fill="F7F4EE"/>
            <w:vAlign w:val="top"/>
          </w:tcPr>
          <w:p>
            <w:pPr>
              <w:spacing w:after="0" w:line="240" w:lineRule="auto"/>
            </w:pPr>
            <w:r>
              <w:rPr>
                <w:color w:val="2B2F36"/>
                <w:sz w:val="16"/>
              </w:rPr>
              <w:t>Heat traceability and 3.1 certificates; freight-inclusive prices; approvals take time, so run in parallel with the NCR base. Distance is the main weakness</w:t>
            </w:r>
          </w:p>
        </w:tc>
      </w:tr>
    </w:tbl>
    <w:p>
      <w:pPr>
        <w:spacing w:after="40"/>
      </w:pPr>
    </w:p>
    <w:p>
      <w:pPr>
        <w:keepNext/>
        <w:spacing w:before="120"/>
      </w:pPr>
      <w:r>
        <w:rPr>
          <w:b/>
          <w:color w:val="8F4A12"/>
          <w:sz w:val="21"/>
        </w:rPr>
        <w:t>Defence &amp; naval · 0.5 % of demand · +8 %/yr · score 25/35 (approval play)</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8050"/>
      </w:tblGrid>
      <w:tr>
        <w:trPr>
          <w:cantSplit/>
          <w:tblHeader/>
        </w:trPr>
        <w:tc>
          <w:tcPr>
            <w:tcW w:type="dxa" w:w="1701"/>
            <w:shd w:val="clear" w:color="auto" w:fill="1F4E79"/>
            <w:vAlign w:val="center"/>
          </w:tcPr>
          <w:p>
            <w:pPr>
              <w:spacing w:after="0" w:line="240" w:lineRule="auto"/>
            </w:pPr>
            <w:r>
              <w:rPr>
                <w:b/>
                <w:color w:val="FFFFFF"/>
                <w:sz w:val="16"/>
              </w:rPr>
              <w:t>Item</w:t>
            </w:r>
          </w:p>
        </w:tc>
        <w:tc>
          <w:tcPr>
            <w:tcW w:type="dxa" w:w="8050"/>
            <w:shd w:val="clear" w:color="auto" w:fill="1F4E79"/>
            <w:vAlign w:val="center"/>
          </w:tcPr>
          <w:p>
            <w:pPr>
              <w:spacing w:after="0" w:line="240" w:lineRule="auto"/>
            </w:pPr>
            <w:r>
              <w:rPr>
                <w:b/>
                <w:color w:val="FFFFFF"/>
                <w:sz w:val="16"/>
              </w:rPr>
              <w:t>Detail</w:t>
            </w:r>
          </w:p>
        </w:tc>
      </w:tr>
      <w:tr>
        <w:trPr>
          <w:cantSplit/>
        </w:trPr>
        <w:tc>
          <w:tcPr>
            <w:tcW w:type="dxa" w:w="1701"/>
            <w:vAlign w:val="top"/>
          </w:tcPr>
          <w:p>
            <w:pPr>
              <w:spacing w:after="0" w:line="240" w:lineRule="auto"/>
            </w:pPr>
            <w:r>
              <w:rPr>
                <w:b/>
                <w:color w:val="2B2F36"/>
                <w:sz w:val="16"/>
              </w:rPr>
              <w:t>What is made</w:t>
            </w:r>
          </w:p>
        </w:tc>
        <w:tc>
          <w:tcPr>
            <w:tcW w:type="dxa" w:w="8050"/>
            <w:vAlign w:val="top"/>
          </w:tcPr>
          <w:p>
            <w:pPr>
              <w:spacing w:after="0" w:line="240" w:lineRule="auto"/>
            </w:pPr>
            <w:r>
              <w:rPr>
                <w:color w:val="2B2F36"/>
                <w:sz w:val="16"/>
              </w:rPr>
              <w:t>Naval pump and valve castings, gun-mount bushes [I]</w:t>
            </w:r>
          </w:p>
        </w:tc>
      </w:tr>
      <w:tr>
        <w:trPr>
          <w:cantSplit/>
        </w:trPr>
        <w:tc>
          <w:tcPr>
            <w:tcW w:type="dxa" w:w="1701"/>
            <w:shd w:val="clear" w:color="auto" w:fill="F7F4EE"/>
            <w:vAlign w:val="top"/>
          </w:tcPr>
          <w:p>
            <w:pPr>
              <w:spacing w:after="0" w:line="240" w:lineRule="auto"/>
            </w:pPr>
            <w:r>
              <w:rPr>
                <w:b/>
                <w:color w:val="2B2F36"/>
                <w:sz w:val="16"/>
              </w:rPr>
              <w:t>Specification</w:t>
            </w:r>
          </w:p>
        </w:tc>
        <w:tc>
          <w:tcPr>
            <w:tcW w:type="dxa" w:w="8050"/>
            <w:shd w:val="clear" w:color="auto" w:fill="F7F4EE"/>
            <w:vAlign w:val="top"/>
          </w:tcPr>
          <w:p>
            <w:pPr>
              <w:spacing w:after="0" w:line="240" w:lineRule="auto"/>
            </w:pPr>
            <w:r>
              <w:rPr>
                <w:color w:val="2B2F36"/>
                <w:sz w:val="16"/>
              </w:rPr>
              <w:t>DPSU and shipyard vendor registration; full traceability [I]</w:t>
            </w:r>
          </w:p>
        </w:tc>
      </w:tr>
      <w:tr>
        <w:trPr>
          <w:cantSplit/>
        </w:trPr>
        <w:tc>
          <w:tcPr>
            <w:tcW w:type="dxa" w:w="1701"/>
            <w:vAlign w:val="top"/>
          </w:tcPr>
          <w:p>
            <w:pPr>
              <w:spacing w:after="0" w:line="240" w:lineRule="auto"/>
            </w:pPr>
            <w:r>
              <w:rPr>
                <w:b/>
                <w:color w:val="2B2F36"/>
                <w:sz w:val="16"/>
              </w:rPr>
              <w:t>Grades</w:t>
            </w:r>
          </w:p>
        </w:tc>
        <w:tc>
          <w:tcPr>
            <w:tcW w:type="dxa" w:w="8050"/>
            <w:vAlign w:val="top"/>
          </w:tcPr>
          <w:p>
            <w:pPr>
              <w:spacing w:after="0" w:line="240" w:lineRule="auto"/>
            </w:pPr>
            <w:r>
              <w:rPr>
                <w:color w:val="2B2F36"/>
                <w:sz w:val="16"/>
              </w:rPr>
              <w:t>CC492K (≈C92200, 50 % in the matrix), CC491K, CC495K [I]</w:t>
            </w:r>
          </w:p>
        </w:tc>
      </w:tr>
      <w:tr>
        <w:trPr>
          <w:cantSplit/>
        </w:trPr>
        <w:tc>
          <w:tcPr>
            <w:tcW w:type="dxa" w:w="1701"/>
            <w:shd w:val="clear" w:color="auto" w:fill="F7F4EE"/>
            <w:vAlign w:val="top"/>
          </w:tcPr>
          <w:p>
            <w:pPr>
              <w:spacing w:after="0" w:line="240" w:lineRule="auto"/>
            </w:pPr>
            <w:r>
              <w:rPr>
                <w:b/>
                <w:color w:val="2B2F36"/>
                <w:sz w:val="16"/>
              </w:rPr>
              <w:t>Demand anchor</w:t>
            </w:r>
          </w:p>
        </w:tc>
        <w:tc>
          <w:tcPr>
            <w:tcW w:type="dxa" w:w="8050"/>
            <w:shd w:val="clear" w:color="auto" w:fill="F7F4EE"/>
            <w:vAlign w:val="top"/>
          </w:tcPr>
          <w:p>
            <w:pPr>
              <w:spacing w:after="0" w:line="240" w:lineRule="auto"/>
            </w:pPr>
            <w:r>
              <w:rPr>
                <w:color w:val="2B2F36"/>
                <w:sz w:val="16"/>
              </w:rPr>
              <w:t>Indigenisation lists; +8 %/yr is an estimate [I]</w:t>
            </w:r>
          </w:p>
        </w:tc>
      </w:tr>
      <w:tr>
        <w:trPr>
          <w:cantSplit/>
        </w:trPr>
        <w:tc>
          <w:tcPr>
            <w:tcW w:type="dxa" w:w="1701"/>
            <w:vAlign w:val="top"/>
          </w:tcPr>
          <w:p>
            <w:pPr>
              <w:spacing w:after="0" w:line="240" w:lineRule="auto"/>
            </w:pPr>
            <w:r>
              <w:rPr>
                <w:b/>
                <w:color w:val="2B2F36"/>
                <w:sz w:val="16"/>
              </w:rPr>
              <w:t>Buyers and clusters</w:t>
            </w:r>
          </w:p>
        </w:tc>
        <w:tc>
          <w:tcPr>
            <w:tcW w:type="dxa" w:w="8050"/>
            <w:vAlign w:val="top"/>
          </w:tcPr>
          <w:p>
            <w:pPr>
              <w:spacing w:after="0" w:line="240" w:lineRule="auto"/>
            </w:pPr>
            <w:r>
              <w:rPr>
                <w:color w:val="2B2F36"/>
                <w:sz w:val="16"/>
              </w:rPr>
              <w:t>GRSE (Kolkata), Mazagon Dock (Mumbai), Goa Shipyard, ordnance units, as named in Rev 5 [C; verify]. About 15 % of activity within 450 km</w:t>
            </w:r>
          </w:p>
        </w:tc>
      </w:tr>
      <w:tr>
        <w:trPr>
          <w:cantSplit/>
        </w:trPr>
        <w:tc>
          <w:tcPr>
            <w:tcW w:type="dxa" w:w="1701"/>
            <w:shd w:val="clear" w:color="auto" w:fill="F7F4EE"/>
            <w:vAlign w:val="top"/>
          </w:tcPr>
          <w:p>
            <w:pPr>
              <w:spacing w:after="0" w:line="240" w:lineRule="auto"/>
            </w:pPr>
            <w:r>
              <w:rPr>
                <w:b/>
                <w:color w:val="2B2F36"/>
                <w:sz w:val="16"/>
              </w:rPr>
              <w:t>Buying pattern</w:t>
            </w:r>
          </w:p>
        </w:tc>
        <w:tc>
          <w:tcPr>
            <w:tcW w:type="dxa" w:w="8050"/>
            <w:shd w:val="clear" w:color="auto" w:fill="F7F4EE"/>
            <w:vAlign w:val="top"/>
          </w:tcPr>
          <w:p>
            <w:pPr>
              <w:spacing w:after="0" w:line="240" w:lineRule="auto"/>
            </w:pPr>
            <w:r>
              <w:rPr>
                <w:color w:val="2B2F36"/>
                <w:sz w:val="16"/>
              </w:rPr>
              <w:t>Tender-driven, slow, high-margin [F]</w:t>
            </w:r>
          </w:p>
        </w:tc>
      </w:tr>
      <w:tr>
        <w:trPr>
          <w:cantSplit/>
        </w:trPr>
        <w:tc>
          <w:tcPr>
            <w:tcW w:type="dxa" w:w="1701"/>
            <w:vAlign w:val="top"/>
          </w:tcPr>
          <w:p>
            <w:pPr>
              <w:spacing w:after="0" w:line="240" w:lineRule="auto"/>
            </w:pPr>
            <w:r>
              <w:rPr>
                <w:b/>
                <w:color w:val="2B2F36"/>
                <w:sz w:val="16"/>
              </w:rPr>
              <w:t>Substitute threat</w:t>
            </w:r>
          </w:p>
        </w:tc>
        <w:tc>
          <w:tcPr>
            <w:tcW w:type="dxa" w:w="8050"/>
            <w:vAlign w:val="top"/>
          </w:tcPr>
          <w:p>
            <w:pPr>
              <w:spacing w:after="0" w:line="240" w:lineRule="auto"/>
            </w:pPr>
            <w:r>
              <w:rPr>
                <w:color w:val="2B2F36"/>
                <w:sz w:val="16"/>
              </w:rPr>
              <w:t>Low [I]</w:t>
            </w:r>
          </w:p>
        </w:tc>
      </w:tr>
      <w:tr>
        <w:trPr>
          <w:cantSplit/>
        </w:trPr>
        <w:tc>
          <w:tcPr>
            <w:tcW w:type="dxa" w:w="1701"/>
            <w:shd w:val="clear" w:color="auto" w:fill="F7F4EE"/>
            <w:vAlign w:val="top"/>
          </w:tcPr>
          <w:p>
            <w:pPr>
              <w:spacing w:after="0" w:line="240" w:lineRule="auto"/>
            </w:pPr>
            <w:r>
              <w:rPr>
                <w:b/>
                <w:color w:val="2B2F36"/>
                <w:sz w:val="16"/>
              </w:rPr>
              <w:t>How Bajaj wins</w:t>
            </w:r>
          </w:p>
        </w:tc>
        <w:tc>
          <w:tcPr>
            <w:tcW w:type="dxa" w:w="8050"/>
            <w:shd w:val="clear" w:color="auto" w:fill="F7F4EE"/>
            <w:vAlign w:val="top"/>
          </w:tcPr>
          <w:p>
            <w:pPr>
              <w:spacing w:after="0" w:line="240" w:lineRule="auto"/>
            </w:pPr>
            <w:r>
              <w:rPr>
                <w:color w:val="2B2F36"/>
                <w:sz w:val="16"/>
              </w:rPr>
              <w:t>Registration first, with traceability and 3.1 certificates in place; the smallest niche by volume, so the only goal is margin</w:t>
            </w:r>
          </w:p>
        </w:tc>
      </w:tr>
    </w:tbl>
    <w:p>
      <w:pPr>
        <w:spacing w:after="40"/>
      </w:pPr>
    </w:p>
    <w:p>
      <w:pPr>
        <w:keepNext/>
        <w:spacing w:before="120"/>
      </w:pPr>
      <w:r>
        <w:rPr>
          <w:b/>
          <w:color w:val="8F4A12"/>
          <w:sz w:val="21"/>
        </w:rPr>
        <w:t>Hydraulics · 2 % of demand · +5 %/yr · score 23/35</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8050"/>
      </w:tblGrid>
      <w:tr>
        <w:trPr>
          <w:cantSplit/>
          <w:tblHeader/>
        </w:trPr>
        <w:tc>
          <w:tcPr>
            <w:tcW w:type="dxa" w:w="1701"/>
            <w:shd w:val="clear" w:color="auto" w:fill="1F4E79"/>
            <w:vAlign w:val="center"/>
          </w:tcPr>
          <w:p>
            <w:pPr>
              <w:spacing w:after="0" w:line="240" w:lineRule="auto"/>
            </w:pPr>
            <w:r>
              <w:rPr>
                <w:b/>
                <w:color w:val="FFFFFF"/>
                <w:sz w:val="16"/>
              </w:rPr>
              <w:t>Item</w:t>
            </w:r>
          </w:p>
        </w:tc>
        <w:tc>
          <w:tcPr>
            <w:tcW w:type="dxa" w:w="8050"/>
            <w:shd w:val="clear" w:color="auto" w:fill="1F4E79"/>
            <w:vAlign w:val="center"/>
          </w:tcPr>
          <w:p>
            <w:pPr>
              <w:spacing w:after="0" w:line="240" w:lineRule="auto"/>
            </w:pPr>
            <w:r>
              <w:rPr>
                <w:b/>
                <w:color w:val="FFFFFF"/>
                <w:sz w:val="16"/>
              </w:rPr>
              <w:t>Detail</w:t>
            </w:r>
          </w:p>
        </w:tc>
      </w:tr>
      <w:tr>
        <w:trPr>
          <w:cantSplit/>
        </w:trPr>
        <w:tc>
          <w:tcPr>
            <w:tcW w:type="dxa" w:w="1701"/>
            <w:vAlign w:val="top"/>
          </w:tcPr>
          <w:p>
            <w:pPr>
              <w:spacing w:after="0" w:line="240" w:lineRule="auto"/>
            </w:pPr>
            <w:r>
              <w:rPr>
                <w:b/>
                <w:color w:val="2B2F36"/>
                <w:sz w:val="16"/>
              </w:rPr>
              <w:t>What is made</w:t>
            </w:r>
          </w:p>
        </w:tc>
        <w:tc>
          <w:tcPr>
            <w:tcW w:type="dxa" w:w="8050"/>
            <w:vAlign w:val="top"/>
          </w:tcPr>
          <w:p>
            <w:pPr>
              <w:spacing w:after="0" w:line="240" w:lineRule="auto"/>
            </w:pPr>
            <w:r>
              <w:rPr>
                <w:color w:val="2B2F36"/>
                <w:sz w:val="16"/>
              </w:rPr>
              <w:t>Gear-pump bushes and side plates, cylinder rod-guide bushes, valve-spool sleeves, tractor hydraulic-lift bushes [C]</w:t>
            </w:r>
          </w:p>
        </w:tc>
      </w:tr>
      <w:tr>
        <w:trPr>
          <w:cantSplit/>
        </w:trPr>
        <w:tc>
          <w:tcPr>
            <w:tcW w:type="dxa" w:w="1701"/>
            <w:shd w:val="clear" w:color="auto" w:fill="F7F4EE"/>
            <w:vAlign w:val="top"/>
          </w:tcPr>
          <w:p>
            <w:pPr>
              <w:spacing w:after="0" w:line="240" w:lineRule="auto"/>
            </w:pPr>
            <w:r>
              <w:rPr>
                <w:b/>
                <w:color w:val="2B2F36"/>
                <w:sz w:val="16"/>
              </w:rPr>
              <w:t>Specification</w:t>
            </w:r>
          </w:p>
        </w:tc>
        <w:tc>
          <w:tcPr>
            <w:tcW w:type="dxa" w:w="8050"/>
            <w:shd w:val="clear" w:color="auto" w:fill="F7F4EE"/>
            <w:vAlign w:val="top"/>
          </w:tcPr>
          <w:p>
            <w:pPr>
              <w:spacing w:after="0" w:line="240" w:lineRule="auto"/>
            </w:pPr>
            <w:r>
              <w:rPr>
                <w:color w:val="2B2F36"/>
                <w:sz w:val="16"/>
              </w:rPr>
              <w:t>OEM drawings, often citing SAE 660 (UNS C93200) [C]</w:t>
            </w:r>
          </w:p>
        </w:tc>
      </w:tr>
      <w:tr>
        <w:trPr>
          <w:cantSplit/>
        </w:trPr>
        <w:tc>
          <w:tcPr>
            <w:tcW w:type="dxa" w:w="1701"/>
            <w:vAlign w:val="top"/>
          </w:tcPr>
          <w:p>
            <w:pPr>
              <w:spacing w:after="0" w:line="240" w:lineRule="auto"/>
            </w:pPr>
            <w:r>
              <w:rPr>
                <w:b/>
                <w:color w:val="2B2F36"/>
                <w:sz w:val="16"/>
              </w:rPr>
              <w:t>Grades</w:t>
            </w:r>
          </w:p>
        </w:tc>
        <w:tc>
          <w:tcPr>
            <w:tcW w:type="dxa" w:w="8050"/>
            <w:vAlign w:val="top"/>
          </w:tcPr>
          <w:p>
            <w:pPr>
              <w:spacing w:after="0" w:line="240" w:lineRule="auto"/>
            </w:pPr>
            <w:r>
              <w:rPr>
                <w:color w:val="2B2F36"/>
                <w:sz w:val="16"/>
              </w:rPr>
              <w:t>CC493K (60 %); CC494K for dirty duty (15 %) [I]; fit model: CC493K 3.54</w:t>
            </w:r>
          </w:p>
        </w:tc>
      </w:tr>
      <w:tr>
        <w:trPr>
          <w:cantSplit/>
        </w:trPr>
        <w:tc>
          <w:tcPr>
            <w:tcW w:type="dxa" w:w="1701"/>
            <w:shd w:val="clear" w:color="auto" w:fill="F7F4EE"/>
            <w:vAlign w:val="top"/>
          </w:tcPr>
          <w:p>
            <w:pPr>
              <w:spacing w:after="0" w:line="240" w:lineRule="auto"/>
            </w:pPr>
            <w:r>
              <w:rPr>
                <w:b/>
                <w:color w:val="2B2F36"/>
                <w:sz w:val="16"/>
              </w:rPr>
              <w:t>Demand anchor</w:t>
            </w:r>
          </w:p>
        </w:tc>
        <w:tc>
          <w:tcPr>
            <w:tcW w:type="dxa" w:w="8050"/>
            <w:shd w:val="clear" w:color="auto" w:fill="F7F4EE"/>
            <w:vAlign w:val="top"/>
          </w:tcPr>
          <w:p>
            <w:pPr>
              <w:spacing w:after="0" w:line="240" w:lineRule="auto"/>
            </w:pPr>
            <w:r>
              <w:rPr>
                <w:color w:val="2B2F36"/>
                <w:sz w:val="16"/>
              </w:rPr>
              <w:t>Record domestic tractor sales of 11.6 lakh units in FY26 (+23 %); construction-equipment growth [C]. Bronze per tractor is an estimate [F]</w:t>
            </w:r>
          </w:p>
        </w:tc>
      </w:tr>
      <w:tr>
        <w:trPr>
          <w:cantSplit/>
        </w:trPr>
        <w:tc>
          <w:tcPr>
            <w:tcW w:type="dxa" w:w="1701"/>
            <w:vAlign w:val="top"/>
          </w:tcPr>
          <w:p>
            <w:pPr>
              <w:spacing w:after="0" w:line="240" w:lineRule="auto"/>
            </w:pPr>
            <w:r>
              <w:rPr>
                <w:b/>
                <w:color w:val="2B2F36"/>
                <w:sz w:val="16"/>
              </w:rPr>
              <w:t>Buyers and clusters</w:t>
            </w:r>
          </w:p>
        </w:tc>
        <w:tc>
          <w:tcPr>
            <w:tcW w:type="dxa" w:w="8050"/>
            <w:vAlign w:val="top"/>
          </w:tcPr>
          <w:p>
            <w:pPr>
              <w:spacing w:after="0" w:line="240" w:lineRule="auto"/>
            </w:pPr>
            <w:r>
              <w:rPr>
                <w:color w:val="2B2F36"/>
                <w:sz w:val="16"/>
              </w:rPr>
              <w:t>Faridabad (Escorts Kubota chain, ≈ 110 km), Pune, Ahmedabad, Mohali and Ludhiana, Chennai. About 40 % of activity within 450 km [C/I]</w:t>
            </w:r>
          </w:p>
        </w:tc>
      </w:tr>
      <w:tr>
        <w:trPr>
          <w:cantSplit/>
        </w:trPr>
        <w:tc>
          <w:tcPr>
            <w:tcW w:type="dxa" w:w="1701"/>
            <w:shd w:val="clear" w:color="auto" w:fill="F7F4EE"/>
            <w:vAlign w:val="top"/>
          </w:tcPr>
          <w:p>
            <w:pPr>
              <w:spacing w:after="0" w:line="240" w:lineRule="auto"/>
            </w:pPr>
            <w:r>
              <w:rPr>
                <w:b/>
                <w:color w:val="2B2F36"/>
                <w:sz w:val="16"/>
              </w:rPr>
              <w:t>Buying pattern</w:t>
            </w:r>
          </w:p>
        </w:tc>
        <w:tc>
          <w:tcPr>
            <w:tcW w:type="dxa" w:w="8050"/>
            <w:shd w:val="clear" w:color="auto" w:fill="F7F4EE"/>
            <w:vAlign w:val="top"/>
          </w:tcPr>
          <w:p>
            <w:pPr>
              <w:spacing w:after="0" w:line="240" w:lineRule="auto"/>
            </w:pPr>
            <w:r>
              <w:rPr>
                <w:color w:val="2B2F36"/>
                <w:sz w:val="16"/>
              </w:rPr>
              <w:t>Monthly OEM schedules; peak July–October [I/F]</w:t>
            </w:r>
          </w:p>
        </w:tc>
      </w:tr>
      <w:tr>
        <w:trPr>
          <w:cantSplit/>
        </w:trPr>
        <w:tc>
          <w:tcPr>
            <w:tcW w:type="dxa" w:w="1701"/>
            <w:vAlign w:val="top"/>
          </w:tcPr>
          <w:p>
            <w:pPr>
              <w:spacing w:after="0" w:line="240" w:lineRule="auto"/>
            </w:pPr>
            <w:r>
              <w:rPr>
                <w:b/>
                <w:color w:val="2B2F36"/>
                <w:sz w:val="16"/>
              </w:rPr>
              <w:t>Substitute threat</w:t>
            </w:r>
          </w:p>
        </w:tc>
        <w:tc>
          <w:tcPr>
            <w:tcW w:type="dxa" w:w="8050"/>
            <w:vAlign w:val="top"/>
          </w:tcPr>
          <w:p>
            <w:pPr>
              <w:spacing w:after="0" w:line="240" w:lineRule="auto"/>
            </w:pPr>
            <w:r>
              <w:rPr>
                <w:color w:val="2B2F36"/>
                <w:sz w:val="16"/>
              </w:rPr>
              <w:t>Medium: sintered bronze, steel-backed bimetal and polymer bushes in small high-volume sizes [C]</w:t>
            </w:r>
          </w:p>
        </w:tc>
      </w:tr>
      <w:tr>
        <w:trPr>
          <w:cantSplit/>
        </w:trPr>
        <w:tc>
          <w:tcPr>
            <w:tcW w:type="dxa" w:w="1701"/>
            <w:shd w:val="clear" w:color="auto" w:fill="F7F4EE"/>
            <w:vAlign w:val="top"/>
          </w:tcPr>
          <w:p>
            <w:pPr>
              <w:spacing w:after="0" w:line="240" w:lineRule="auto"/>
            </w:pPr>
            <w:r>
              <w:rPr>
                <w:b/>
                <w:color w:val="2B2F36"/>
                <w:sz w:val="16"/>
              </w:rPr>
              <w:t>How Bajaj wins</w:t>
            </w:r>
          </w:p>
        </w:tc>
        <w:tc>
          <w:tcPr>
            <w:tcW w:type="dxa" w:w="8050"/>
            <w:shd w:val="clear" w:color="auto" w:fill="F7F4EE"/>
            <w:vAlign w:val="top"/>
          </w:tcPr>
          <w:p>
            <w:pPr>
              <w:spacing w:after="0" w:line="240" w:lineRule="auto"/>
            </w:pPr>
            <w:r>
              <w:rPr>
                <w:color w:val="2B2F36"/>
                <w:sz w:val="16"/>
              </w:rPr>
              <w:t>Faridabad is the closest OEM cluster; certify as “EN CC493K / UNS C93200 / SAE 660”</w:t>
            </w:r>
          </w:p>
        </w:tc>
      </w:tr>
    </w:tbl>
    <w:p>
      <w:pPr>
        <w:spacing w:after="40"/>
      </w:pPr>
    </w:p>
    <w:p>
      <w:pPr>
        <w:keepNext/>
        <w:spacing w:before="120"/>
      </w:pPr>
      <w:r>
        <w:rPr>
          <w:b/>
          <w:color w:val="8F4A12"/>
          <w:sz w:val="21"/>
        </w:rPr>
        <w:t>Water-meter bodies · 2 % of demand · +3 %/yr · score 22/35</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8050"/>
      </w:tblGrid>
      <w:tr>
        <w:trPr>
          <w:cantSplit/>
          <w:tblHeader/>
        </w:trPr>
        <w:tc>
          <w:tcPr>
            <w:tcW w:type="dxa" w:w="1701"/>
            <w:shd w:val="clear" w:color="auto" w:fill="1F4E79"/>
            <w:vAlign w:val="center"/>
          </w:tcPr>
          <w:p>
            <w:pPr>
              <w:spacing w:after="0" w:line="240" w:lineRule="auto"/>
            </w:pPr>
            <w:r>
              <w:rPr>
                <w:b/>
                <w:color w:val="FFFFFF"/>
                <w:sz w:val="16"/>
              </w:rPr>
              <w:t>Item</w:t>
            </w:r>
          </w:p>
        </w:tc>
        <w:tc>
          <w:tcPr>
            <w:tcW w:type="dxa" w:w="8050"/>
            <w:shd w:val="clear" w:color="auto" w:fill="1F4E79"/>
            <w:vAlign w:val="center"/>
          </w:tcPr>
          <w:p>
            <w:pPr>
              <w:spacing w:after="0" w:line="240" w:lineRule="auto"/>
            </w:pPr>
            <w:r>
              <w:rPr>
                <w:b/>
                <w:color w:val="FFFFFF"/>
                <w:sz w:val="16"/>
              </w:rPr>
              <w:t>Detail</w:t>
            </w:r>
          </w:p>
        </w:tc>
      </w:tr>
      <w:tr>
        <w:trPr>
          <w:cantSplit/>
        </w:trPr>
        <w:tc>
          <w:tcPr>
            <w:tcW w:type="dxa" w:w="1701"/>
            <w:vAlign w:val="top"/>
          </w:tcPr>
          <w:p>
            <w:pPr>
              <w:spacing w:after="0" w:line="240" w:lineRule="auto"/>
            </w:pPr>
            <w:r>
              <w:rPr>
                <w:b/>
                <w:color w:val="2B2F36"/>
                <w:sz w:val="16"/>
              </w:rPr>
              <w:t>What is made</w:t>
            </w:r>
          </w:p>
        </w:tc>
        <w:tc>
          <w:tcPr>
            <w:tcW w:type="dxa" w:w="8050"/>
            <w:vAlign w:val="top"/>
          </w:tcPr>
          <w:p>
            <w:pPr>
              <w:spacing w:after="0" w:line="240" w:lineRule="auto"/>
            </w:pPr>
            <w:r>
              <w:rPr>
                <w:color w:val="2B2F36"/>
                <w:sz w:val="16"/>
              </w:rPr>
              <w:t>Multi-jet and single-jet meter bodies and couplings [C]</w:t>
            </w:r>
          </w:p>
        </w:tc>
      </w:tr>
      <w:tr>
        <w:trPr>
          <w:cantSplit/>
        </w:trPr>
        <w:tc>
          <w:tcPr>
            <w:tcW w:type="dxa" w:w="1701"/>
            <w:shd w:val="clear" w:color="auto" w:fill="F7F4EE"/>
            <w:vAlign w:val="top"/>
          </w:tcPr>
          <w:p>
            <w:pPr>
              <w:spacing w:after="0" w:line="240" w:lineRule="auto"/>
            </w:pPr>
            <w:r>
              <w:rPr>
                <w:b/>
                <w:color w:val="2B2F36"/>
                <w:sz w:val="16"/>
              </w:rPr>
              <w:t>Specification</w:t>
            </w:r>
          </w:p>
        </w:tc>
        <w:tc>
          <w:tcPr>
            <w:tcW w:type="dxa" w:w="8050"/>
            <w:shd w:val="clear" w:color="auto" w:fill="F7F4EE"/>
            <w:vAlign w:val="top"/>
          </w:tcPr>
          <w:p>
            <w:pPr>
              <w:spacing w:after="0" w:line="240" w:lineRule="auto"/>
            </w:pPr>
            <w:r>
              <w:rPr>
                <w:color w:val="2B2F36"/>
                <w:sz w:val="16"/>
              </w:rPr>
              <w:t>IS 779 domestic meters / ISO 4064; potable-water lead limits increasingly written into tenders [C/I]</w:t>
            </w:r>
          </w:p>
        </w:tc>
      </w:tr>
      <w:tr>
        <w:trPr>
          <w:cantSplit/>
        </w:trPr>
        <w:tc>
          <w:tcPr>
            <w:tcW w:type="dxa" w:w="1701"/>
            <w:vAlign w:val="top"/>
          </w:tcPr>
          <w:p>
            <w:pPr>
              <w:spacing w:after="0" w:line="240" w:lineRule="auto"/>
            </w:pPr>
            <w:r>
              <w:rPr>
                <w:b/>
                <w:color w:val="2B2F36"/>
                <w:sz w:val="16"/>
              </w:rPr>
              <w:t>Grades</w:t>
            </w:r>
          </w:p>
        </w:tc>
        <w:tc>
          <w:tcPr>
            <w:tcW w:type="dxa" w:w="8050"/>
            <w:vAlign w:val="top"/>
          </w:tcPr>
          <w:p>
            <w:pPr>
              <w:spacing w:after="0" w:line="240" w:lineRule="auto"/>
            </w:pPr>
            <w:r>
              <w:rPr>
                <w:color w:val="2B2F36"/>
                <w:sz w:val="16"/>
              </w:rPr>
              <w:t>CC491K (80 %), CC490K (20 %) traditionally; moving to low-lead gunmetal and brass [I]</w:t>
            </w:r>
          </w:p>
        </w:tc>
      </w:tr>
      <w:tr>
        <w:trPr>
          <w:cantSplit/>
        </w:trPr>
        <w:tc>
          <w:tcPr>
            <w:tcW w:type="dxa" w:w="1701"/>
            <w:shd w:val="clear" w:color="auto" w:fill="F7F4EE"/>
            <w:vAlign w:val="top"/>
          </w:tcPr>
          <w:p>
            <w:pPr>
              <w:spacing w:after="0" w:line="240" w:lineRule="auto"/>
            </w:pPr>
            <w:r>
              <w:rPr>
                <w:b/>
                <w:color w:val="2B2F36"/>
                <w:sz w:val="16"/>
              </w:rPr>
              <w:t>Demand anchor</w:t>
            </w:r>
          </w:p>
        </w:tc>
        <w:tc>
          <w:tcPr>
            <w:tcW w:type="dxa" w:w="8050"/>
            <w:shd w:val="clear" w:color="auto" w:fill="F7F4EE"/>
            <w:vAlign w:val="top"/>
          </w:tcPr>
          <w:p>
            <w:pPr>
              <w:spacing w:after="0" w:line="240" w:lineRule="auto"/>
            </w:pPr>
            <w:r>
              <w:rPr>
                <w:color w:val="2B2F36"/>
                <w:sz w:val="16"/>
              </w:rPr>
              <w:t>AMRUT 2.0 city water supply; about 1.5 million smart meters deployed under government schemes [C]</w:t>
            </w:r>
          </w:p>
        </w:tc>
      </w:tr>
      <w:tr>
        <w:trPr>
          <w:cantSplit/>
        </w:trPr>
        <w:tc>
          <w:tcPr>
            <w:tcW w:type="dxa" w:w="1701"/>
            <w:vAlign w:val="top"/>
          </w:tcPr>
          <w:p>
            <w:pPr>
              <w:spacing w:after="0" w:line="240" w:lineRule="auto"/>
            </w:pPr>
            <w:r>
              <w:rPr>
                <w:b/>
                <w:color w:val="2B2F36"/>
                <w:sz w:val="16"/>
              </w:rPr>
              <w:t>Buyers and clusters</w:t>
            </w:r>
          </w:p>
        </w:tc>
        <w:tc>
          <w:tcPr>
            <w:tcW w:type="dxa" w:w="8050"/>
            <w:vAlign w:val="top"/>
          </w:tcPr>
          <w:p>
            <w:pPr>
              <w:spacing w:after="0" w:line="240" w:lineRule="auto"/>
            </w:pPr>
            <w:r>
              <w:rPr>
                <w:color w:val="2B2F36"/>
                <w:sz w:val="16"/>
              </w:rPr>
              <w:t>Meter makers in Jalandhar (470 km), Delhi (125), Ahmedabad, Kolkata. About 50 % of activity within 450 km [I]</w:t>
            </w:r>
          </w:p>
        </w:tc>
      </w:tr>
      <w:tr>
        <w:trPr>
          <w:cantSplit/>
        </w:trPr>
        <w:tc>
          <w:tcPr>
            <w:tcW w:type="dxa" w:w="1701"/>
            <w:shd w:val="clear" w:color="auto" w:fill="F7F4EE"/>
            <w:vAlign w:val="top"/>
          </w:tcPr>
          <w:p>
            <w:pPr>
              <w:spacing w:after="0" w:line="240" w:lineRule="auto"/>
            </w:pPr>
            <w:r>
              <w:rPr>
                <w:b/>
                <w:color w:val="2B2F36"/>
                <w:sz w:val="16"/>
              </w:rPr>
              <w:t>Buying pattern</w:t>
            </w:r>
          </w:p>
        </w:tc>
        <w:tc>
          <w:tcPr>
            <w:tcW w:type="dxa" w:w="8050"/>
            <w:shd w:val="clear" w:color="auto" w:fill="F7F4EE"/>
            <w:vAlign w:val="top"/>
          </w:tcPr>
          <w:p>
            <w:pPr>
              <w:spacing w:after="0" w:line="240" w:lineRule="auto"/>
            </w:pPr>
            <w:r>
              <w:rPr>
                <w:color w:val="2B2F36"/>
                <w:sz w:val="16"/>
              </w:rPr>
              <w:t>Tender-driven; peaks January–March [I; check tender calendars]</w:t>
            </w:r>
          </w:p>
        </w:tc>
      </w:tr>
      <w:tr>
        <w:trPr>
          <w:cantSplit/>
        </w:trPr>
        <w:tc>
          <w:tcPr>
            <w:tcW w:type="dxa" w:w="1701"/>
            <w:vAlign w:val="top"/>
          </w:tcPr>
          <w:p>
            <w:pPr>
              <w:spacing w:after="0" w:line="240" w:lineRule="auto"/>
            </w:pPr>
            <w:r>
              <w:rPr>
                <w:b/>
                <w:color w:val="2B2F36"/>
                <w:sz w:val="16"/>
              </w:rPr>
              <w:t>Substitute threat</w:t>
            </w:r>
          </w:p>
        </w:tc>
        <w:tc>
          <w:tcPr>
            <w:tcW w:type="dxa" w:w="8050"/>
            <w:vAlign w:val="top"/>
          </w:tcPr>
          <w:p>
            <w:pPr>
              <w:spacing w:after="0" w:line="240" w:lineRule="auto"/>
            </w:pPr>
            <w:r>
              <w:rPr>
                <w:b/>
                <w:color w:val="2B2F36"/>
                <w:sz w:val="16"/>
              </w:rPr>
              <w:t>High</w:t>
            </w:r>
            <w:r>
              <w:rPr>
                <w:color w:val="2B2F36"/>
                <w:sz w:val="16"/>
              </w:rPr>
              <w:t>: DZR brass and engineered-plastic bodies [C]</w:t>
            </w:r>
          </w:p>
        </w:tc>
      </w:tr>
      <w:tr>
        <w:trPr>
          <w:cantSplit/>
        </w:trPr>
        <w:tc>
          <w:tcPr>
            <w:tcW w:type="dxa" w:w="1701"/>
            <w:shd w:val="clear" w:color="auto" w:fill="F7F4EE"/>
            <w:vAlign w:val="top"/>
          </w:tcPr>
          <w:p>
            <w:pPr>
              <w:spacing w:after="0" w:line="240" w:lineRule="auto"/>
            </w:pPr>
            <w:r>
              <w:rPr>
                <w:b/>
                <w:color w:val="2B2F36"/>
                <w:sz w:val="16"/>
              </w:rPr>
              <w:t>How Bajaj wins</w:t>
            </w:r>
          </w:p>
        </w:tc>
        <w:tc>
          <w:tcPr>
            <w:tcW w:type="dxa" w:w="8050"/>
            <w:shd w:val="clear" w:color="auto" w:fill="F7F4EE"/>
            <w:vAlign w:val="top"/>
          </w:tcPr>
          <w:p>
            <w:pPr>
              <w:spacing w:after="0" w:line="240" w:lineRule="auto"/>
            </w:pPr>
            <w:r>
              <w:rPr>
                <w:color w:val="2B2F36"/>
                <w:sz w:val="16"/>
              </w:rPr>
              <w:t>Only with a low-lead gunmetal (Section 16); otherwise a price-only sale on a shrinking base</w:t>
            </w:r>
          </w:p>
        </w:tc>
      </w:tr>
    </w:tbl>
    <w:p>
      <w:pPr>
        <w:spacing w:after="40"/>
      </w:pPr>
    </w:p>
    <w:p>
      <w:pPr>
        <w:keepNext/>
        <w:spacing w:before="120"/>
      </w:pPr>
      <w:r>
        <w:rPr>
          <w:b/>
          <w:color w:val="8F4A12"/>
          <w:sz w:val="21"/>
        </w:rPr>
        <w:t>Boiler mountings · 1.5 % of demand · +3 %/yr · score 22/35</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8050"/>
      </w:tblGrid>
      <w:tr>
        <w:trPr>
          <w:cantSplit/>
          <w:tblHeader/>
        </w:trPr>
        <w:tc>
          <w:tcPr>
            <w:tcW w:type="dxa" w:w="1701"/>
            <w:shd w:val="clear" w:color="auto" w:fill="1F4E79"/>
            <w:vAlign w:val="center"/>
          </w:tcPr>
          <w:p>
            <w:pPr>
              <w:spacing w:after="0" w:line="240" w:lineRule="auto"/>
            </w:pPr>
            <w:r>
              <w:rPr>
                <w:b/>
                <w:color w:val="FFFFFF"/>
                <w:sz w:val="16"/>
              </w:rPr>
              <w:t>Item</w:t>
            </w:r>
          </w:p>
        </w:tc>
        <w:tc>
          <w:tcPr>
            <w:tcW w:type="dxa" w:w="8050"/>
            <w:shd w:val="clear" w:color="auto" w:fill="1F4E79"/>
            <w:vAlign w:val="center"/>
          </w:tcPr>
          <w:p>
            <w:pPr>
              <w:spacing w:after="0" w:line="240" w:lineRule="auto"/>
            </w:pPr>
            <w:r>
              <w:rPr>
                <w:b/>
                <w:color w:val="FFFFFF"/>
                <w:sz w:val="16"/>
              </w:rPr>
              <w:t>Detail</w:t>
            </w:r>
          </w:p>
        </w:tc>
      </w:tr>
      <w:tr>
        <w:trPr>
          <w:cantSplit/>
        </w:trPr>
        <w:tc>
          <w:tcPr>
            <w:tcW w:type="dxa" w:w="1701"/>
            <w:vAlign w:val="top"/>
          </w:tcPr>
          <w:p>
            <w:pPr>
              <w:spacing w:after="0" w:line="240" w:lineRule="auto"/>
            </w:pPr>
            <w:r>
              <w:rPr>
                <w:b/>
                <w:color w:val="2B2F36"/>
                <w:sz w:val="16"/>
              </w:rPr>
              <w:t>What is made</w:t>
            </w:r>
          </w:p>
        </w:tc>
        <w:tc>
          <w:tcPr>
            <w:tcW w:type="dxa" w:w="8050"/>
            <w:vAlign w:val="top"/>
          </w:tcPr>
          <w:p>
            <w:pPr>
              <w:spacing w:after="0" w:line="240" w:lineRule="auto"/>
            </w:pPr>
            <w:r>
              <w:rPr>
                <w:color w:val="2B2F36"/>
                <w:sz w:val="16"/>
              </w:rPr>
              <w:t>Water-level gauge bodies, safety-valve bodies, steam stop, blow-down and feed-check valves [C]</w:t>
            </w:r>
          </w:p>
        </w:tc>
      </w:tr>
      <w:tr>
        <w:trPr>
          <w:cantSplit/>
        </w:trPr>
        <w:tc>
          <w:tcPr>
            <w:tcW w:type="dxa" w:w="1701"/>
            <w:shd w:val="clear" w:color="auto" w:fill="F7F4EE"/>
            <w:vAlign w:val="top"/>
          </w:tcPr>
          <w:p>
            <w:pPr>
              <w:spacing w:after="0" w:line="240" w:lineRule="auto"/>
            </w:pPr>
            <w:r>
              <w:rPr>
                <w:b/>
                <w:color w:val="2B2F36"/>
                <w:sz w:val="16"/>
              </w:rPr>
              <w:t>Specification</w:t>
            </w:r>
          </w:p>
        </w:tc>
        <w:tc>
          <w:tcPr>
            <w:tcW w:type="dxa" w:w="8050"/>
            <w:shd w:val="clear" w:color="auto" w:fill="F7F4EE"/>
            <w:vAlign w:val="top"/>
          </w:tcPr>
          <w:p>
            <w:pPr>
              <w:spacing w:after="0" w:line="240" w:lineRule="auto"/>
            </w:pPr>
            <w:r>
              <w:rPr>
                <w:color w:val="2B2F36"/>
                <w:sz w:val="16"/>
              </w:rPr>
              <w:t>Indian Boiler Regulations (IBR): material certificates and design approval; IS 318 gunmetal [C]</w:t>
            </w:r>
          </w:p>
        </w:tc>
      </w:tr>
      <w:tr>
        <w:trPr>
          <w:cantSplit/>
        </w:trPr>
        <w:tc>
          <w:tcPr>
            <w:tcW w:type="dxa" w:w="1701"/>
            <w:vAlign w:val="top"/>
          </w:tcPr>
          <w:p>
            <w:pPr>
              <w:spacing w:after="0" w:line="240" w:lineRule="auto"/>
            </w:pPr>
            <w:r>
              <w:rPr>
                <w:b/>
                <w:color w:val="2B2F36"/>
                <w:sz w:val="16"/>
              </w:rPr>
              <w:t>Grades</w:t>
            </w:r>
          </w:p>
        </w:tc>
        <w:tc>
          <w:tcPr>
            <w:tcW w:type="dxa" w:w="8050"/>
            <w:vAlign w:val="top"/>
          </w:tcPr>
          <w:p>
            <w:pPr>
              <w:spacing w:after="0" w:line="240" w:lineRule="auto"/>
            </w:pPr>
            <w:r>
              <w:rPr>
                <w:color w:val="2B2F36"/>
                <w:sz w:val="16"/>
              </w:rPr>
              <w:t>CC491K (50 %) within its temperature limit; CC492K (30 %) and CC493K for higher pressure [I]</w:t>
            </w:r>
          </w:p>
        </w:tc>
      </w:tr>
      <w:tr>
        <w:trPr>
          <w:cantSplit/>
        </w:trPr>
        <w:tc>
          <w:tcPr>
            <w:tcW w:type="dxa" w:w="1701"/>
            <w:shd w:val="clear" w:color="auto" w:fill="F7F4EE"/>
            <w:vAlign w:val="top"/>
          </w:tcPr>
          <w:p>
            <w:pPr>
              <w:spacing w:after="0" w:line="240" w:lineRule="auto"/>
            </w:pPr>
            <w:r>
              <w:rPr>
                <w:b/>
                <w:color w:val="2B2F36"/>
                <w:sz w:val="16"/>
              </w:rPr>
              <w:t>Demand anchor</w:t>
            </w:r>
          </w:p>
        </w:tc>
        <w:tc>
          <w:tcPr>
            <w:tcW w:type="dxa" w:w="8050"/>
            <w:shd w:val="clear" w:color="auto" w:fill="F7F4EE"/>
            <w:vAlign w:val="top"/>
          </w:tcPr>
          <w:p>
            <w:pPr>
              <w:spacing w:after="0" w:line="240" w:lineRule="auto"/>
            </w:pPr>
            <w:r>
              <w:rPr>
                <w:color w:val="2B2F36"/>
                <w:sz w:val="16"/>
              </w:rPr>
              <w:t>IBR boilers in sugar, textiles, food, chemicals and captive power [I]</w:t>
            </w:r>
          </w:p>
        </w:tc>
      </w:tr>
      <w:tr>
        <w:trPr>
          <w:cantSplit/>
        </w:trPr>
        <w:tc>
          <w:tcPr>
            <w:tcW w:type="dxa" w:w="1701"/>
            <w:vAlign w:val="top"/>
          </w:tcPr>
          <w:p>
            <w:pPr>
              <w:spacing w:after="0" w:line="240" w:lineRule="auto"/>
            </w:pPr>
            <w:r>
              <w:rPr>
                <w:b/>
                <w:color w:val="2B2F36"/>
                <w:sz w:val="16"/>
              </w:rPr>
              <w:t>Buyers and clusters</w:t>
            </w:r>
          </w:p>
        </w:tc>
        <w:tc>
          <w:tcPr>
            <w:tcW w:type="dxa" w:w="8050"/>
            <w:vAlign w:val="top"/>
          </w:tcPr>
          <w:p>
            <w:pPr>
              <w:spacing w:after="0" w:line="240" w:lineRule="auto"/>
            </w:pPr>
            <w:r>
              <w:rPr>
                <w:color w:val="2B2F36"/>
                <w:sz w:val="16"/>
              </w:rPr>
              <w:t>Boiler-mounting and valve makers in Ahmedabad, Rajkot, Mumbai and Coimbatore, all &gt; 900 km. About 10 % of activity within 450 km [I]</w:t>
            </w:r>
          </w:p>
        </w:tc>
      </w:tr>
      <w:tr>
        <w:trPr>
          <w:cantSplit/>
        </w:trPr>
        <w:tc>
          <w:tcPr>
            <w:tcW w:type="dxa" w:w="1701"/>
            <w:shd w:val="clear" w:color="auto" w:fill="F7F4EE"/>
            <w:vAlign w:val="top"/>
          </w:tcPr>
          <w:p>
            <w:pPr>
              <w:spacing w:after="0" w:line="240" w:lineRule="auto"/>
            </w:pPr>
            <w:r>
              <w:rPr>
                <w:b/>
                <w:color w:val="2B2F36"/>
                <w:sz w:val="16"/>
              </w:rPr>
              <w:t>Buying pattern</w:t>
            </w:r>
          </w:p>
        </w:tc>
        <w:tc>
          <w:tcPr>
            <w:tcW w:type="dxa" w:w="8050"/>
            <w:shd w:val="clear" w:color="auto" w:fill="F7F4EE"/>
            <w:vAlign w:val="top"/>
          </w:tcPr>
          <w:p>
            <w:pPr>
              <w:spacing w:after="0" w:line="240" w:lineRule="auto"/>
            </w:pPr>
            <w:r>
              <w:rPr>
                <w:color w:val="2B2F36"/>
                <w:sz w:val="16"/>
              </w:rPr>
              <w:t>Regular small lots [I]</w:t>
            </w:r>
          </w:p>
        </w:tc>
      </w:tr>
      <w:tr>
        <w:trPr>
          <w:cantSplit/>
        </w:trPr>
        <w:tc>
          <w:tcPr>
            <w:tcW w:type="dxa" w:w="1701"/>
            <w:vAlign w:val="top"/>
          </w:tcPr>
          <w:p>
            <w:pPr>
              <w:spacing w:after="0" w:line="240" w:lineRule="auto"/>
            </w:pPr>
            <w:r>
              <w:rPr>
                <w:b/>
                <w:color w:val="2B2F36"/>
                <w:sz w:val="16"/>
              </w:rPr>
              <w:t>Substitute threat</w:t>
            </w:r>
          </w:p>
        </w:tc>
        <w:tc>
          <w:tcPr>
            <w:tcW w:type="dxa" w:w="8050"/>
            <w:vAlign w:val="top"/>
          </w:tcPr>
          <w:p>
            <w:pPr>
              <w:spacing w:after="0" w:line="240" w:lineRule="auto"/>
            </w:pPr>
            <w:r>
              <w:rPr>
                <w:color w:val="2B2F36"/>
                <w:sz w:val="16"/>
              </w:rPr>
              <w:t>Low: forged or stainless steel only at high pressure [I]</w:t>
            </w:r>
          </w:p>
        </w:tc>
      </w:tr>
      <w:tr>
        <w:trPr>
          <w:cantSplit/>
        </w:trPr>
        <w:tc>
          <w:tcPr>
            <w:tcW w:type="dxa" w:w="1701"/>
            <w:shd w:val="clear" w:color="auto" w:fill="F7F4EE"/>
            <w:vAlign w:val="top"/>
          </w:tcPr>
          <w:p>
            <w:pPr>
              <w:spacing w:after="0" w:line="240" w:lineRule="auto"/>
            </w:pPr>
            <w:r>
              <w:rPr>
                <w:b/>
                <w:color w:val="2B2F36"/>
                <w:sz w:val="16"/>
              </w:rPr>
              <w:t>How Bajaj wins</w:t>
            </w:r>
          </w:p>
        </w:tc>
        <w:tc>
          <w:tcPr>
            <w:tcW w:type="dxa" w:w="8050"/>
            <w:shd w:val="clear" w:color="auto" w:fill="F7F4EE"/>
            <w:vAlign w:val="top"/>
          </w:tcPr>
          <w:p>
            <w:pPr>
              <w:spacing w:after="0" w:line="240" w:lineRule="auto"/>
            </w:pPr>
            <w:r>
              <w:rPr>
                <w:color w:val="2B2F36"/>
                <w:sz w:val="16"/>
              </w:rPr>
              <w:t>Certificates that satisfy IBR inspectors; small-lot service. Distance limits it to selective selling</w:t>
            </w:r>
          </w:p>
        </w:tc>
      </w:tr>
    </w:tbl>
    <w:p>
      <w:pPr>
        <w:spacing w:after="40"/>
      </w:pPr>
    </w:p>
    <w:p>
      <w:pPr>
        <w:pStyle w:val="Heading2"/>
      </w:pPr>
      <w:r>
        <w:t>10.4 Other minor applications at a glance</w:t>
      </w:r>
    </w:p>
    <w:p>
      <w:pPr>
        <w:keepNext/>
        <w:spacing w:after="40"/>
      </w:pPr>
      <w:r>
        <w:rPr>
          <w:b/>
          <w:color w:val="5B6470"/>
          <w:sz w:val="18"/>
        </w:rPr>
        <w:t>Table 29.</w:t>
      </w:r>
      <w:r>
        <w:rPr>
          <w:color w:val="5B6470"/>
          <w:sz w:val="18"/>
        </w:rPr>
        <w:t xml:space="preserve"> Remaining minor uses (zone from the GE–McKinsey model, Section 15)</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500"/>
        <w:gridCol w:w="2143"/>
        <w:gridCol w:w="2250"/>
        <w:gridCol w:w="1179"/>
        <w:gridCol w:w="964"/>
        <w:gridCol w:w="1714"/>
      </w:tblGrid>
      <w:tr>
        <w:trPr>
          <w:cantSplit/>
          <w:tblHeader/>
        </w:trPr>
        <w:tc>
          <w:tcPr>
            <w:tcW w:type="dxa" w:w="1500"/>
            <w:shd w:val="clear" w:color="auto" w:fill="1F4E79"/>
            <w:vAlign w:val="center"/>
          </w:tcPr>
          <w:p>
            <w:pPr>
              <w:spacing w:after="0" w:line="240" w:lineRule="auto"/>
            </w:pPr>
            <w:r>
              <w:rPr>
                <w:b/>
                <w:color w:val="FFFFFF"/>
                <w:sz w:val="16"/>
              </w:rPr>
              <w:t>Application</w:t>
            </w:r>
          </w:p>
        </w:tc>
        <w:tc>
          <w:tcPr>
            <w:tcW w:type="dxa" w:w="2143"/>
            <w:shd w:val="clear" w:color="auto" w:fill="1F4E79"/>
            <w:vAlign w:val="center"/>
          </w:tcPr>
          <w:p>
            <w:pPr>
              <w:spacing w:after="0" w:line="240" w:lineRule="auto"/>
            </w:pPr>
            <w:r>
              <w:rPr>
                <w:b/>
                <w:color w:val="FFFFFF"/>
                <w:sz w:val="16"/>
              </w:rPr>
              <w:t>Specification</w:t>
            </w:r>
          </w:p>
        </w:tc>
        <w:tc>
          <w:tcPr>
            <w:tcW w:type="dxa" w:w="2250"/>
            <w:shd w:val="clear" w:color="auto" w:fill="1F4E79"/>
            <w:vAlign w:val="center"/>
          </w:tcPr>
          <w:p>
            <w:pPr>
              <w:spacing w:after="0" w:line="240" w:lineRule="auto"/>
            </w:pPr>
            <w:r>
              <w:rPr>
                <w:b/>
                <w:color w:val="FFFFFF"/>
                <w:sz w:val="16"/>
              </w:rPr>
              <w:t>Main buyers</w:t>
            </w:r>
          </w:p>
        </w:tc>
        <w:tc>
          <w:tcPr>
            <w:tcW w:type="dxa" w:w="1179"/>
            <w:shd w:val="clear" w:color="auto" w:fill="1F4E79"/>
            <w:vAlign w:val="center"/>
          </w:tcPr>
          <w:p>
            <w:pPr>
              <w:spacing w:after="0" w:line="240" w:lineRule="auto"/>
            </w:pPr>
            <w:r>
              <w:rPr>
                <w:b/>
                <w:color w:val="FFFFFF"/>
                <w:sz w:val="16"/>
              </w:rPr>
              <w:t>Substitute threat</w:t>
            </w:r>
          </w:p>
        </w:tc>
        <w:tc>
          <w:tcPr>
            <w:tcW w:type="dxa" w:w="964"/>
            <w:shd w:val="clear" w:color="auto" w:fill="1F4E79"/>
            <w:vAlign w:val="center"/>
          </w:tcPr>
          <w:p>
            <w:pPr>
              <w:spacing w:after="0" w:line="240" w:lineRule="auto"/>
            </w:pPr>
            <w:r>
              <w:rPr>
                <w:b/>
                <w:color w:val="FFFFFF"/>
                <w:sz w:val="16"/>
              </w:rPr>
              <w:t>Zone</w:t>
            </w:r>
          </w:p>
        </w:tc>
        <w:tc>
          <w:tcPr>
            <w:tcW w:type="dxa" w:w="1714"/>
            <w:shd w:val="clear" w:color="auto" w:fill="1F4E79"/>
            <w:vAlign w:val="center"/>
          </w:tcPr>
          <w:p>
            <w:pPr>
              <w:spacing w:after="0" w:line="240" w:lineRule="auto"/>
            </w:pPr>
            <w:r>
              <w:rPr>
                <w:b/>
                <w:color w:val="FFFFFF"/>
                <w:sz w:val="16"/>
              </w:rPr>
              <w:t>Verdict</w:t>
            </w:r>
          </w:p>
        </w:tc>
      </w:tr>
      <w:tr>
        <w:trPr>
          <w:cantSplit/>
        </w:trPr>
        <w:tc>
          <w:tcPr>
            <w:tcW w:type="dxa" w:w="1500"/>
            <w:vAlign w:val="top"/>
          </w:tcPr>
          <w:p>
            <w:pPr>
              <w:spacing w:after="0" w:line="240" w:lineRule="auto"/>
            </w:pPr>
            <w:r>
              <w:rPr>
                <w:color w:val="2B2F36"/>
                <w:sz w:val="16"/>
              </w:rPr>
              <w:t>Earthing &amp; electrical</w:t>
            </w:r>
          </w:p>
        </w:tc>
        <w:tc>
          <w:tcPr>
            <w:tcW w:type="dxa" w:w="2143"/>
            <w:vAlign w:val="top"/>
          </w:tcPr>
          <w:p>
            <w:pPr>
              <w:spacing w:after="0" w:line="240" w:lineRule="auto"/>
            </w:pPr>
            <w:r>
              <w:rPr>
                <w:color w:val="2B2F36"/>
                <w:sz w:val="16"/>
              </w:rPr>
              <w:t>IS 3043 practice; gunmetal clamps and fittings</w:t>
            </w:r>
          </w:p>
        </w:tc>
        <w:tc>
          <w:tcPr>
            <w:tcW w:type="dxa" w:w="2250"/>
            <w:vAlign w:val="top"/>
          </w:tcPr>
          <w:p>
            <w:pPr>
              <w:spacing w:after="0" w:line="240" w:lineRule="auto"/>
            </w:pPr>
            <w:r>
              <w:rPr>
                <w:color w:val="2B2F36"/>
                <w:sz w:val="16"/>
              </w:rPr>
              <w:t>Earthing and line-hardware makers, Delhi and Mumbai</w:t>
            </w:r>
          </w:p>
        </w:tc>
        <w:tc>
          <w:tcPr>
            <w:tcW w:type="dxa" w:w="1179"/>
            <w:vAlign w:val="top"/>
          </w:tcPr>
          <w:p>
            <w:pPr>
              <w:spacing w:after="0" w:line="240" w:lineRule="auto"/>
            </w:pPr>
            <w:r>
              <w:rPr>
                <w:color w:val="2B2F36"/>
                <w:sz w:val="16"/>
              </w:rPr>
              <w:t>Medium</w:t>
            </w:r>
          </w:p>
        </w:tc>
        <w:tc>
          <w:tcPr>
            <w:tcW w:type="dxa" w:w="964"/>
            <w:vAlign w:val="top"/>
          </w:tcPr>
          <w:p>
            <w:pPr>
              <w:spacing w:after="0" w:line="240" w:lineRule="auto"/>
            </w:pPr>
            <w:r>
              <w:rPr>
                <w:color w:val="2B2F36"/>
                <w:sz w:val="16"/>
              </w:rPr>
              <w:t>Selective</w:t>
            </w:r>
          </w:p>
        </w:tc>
        <w:tc>
          <w:tcPr>
            <w:tcW w:type="dxa" w:w="1714"/>
            <w:vAlign w:val="top"/>
          </w:tcPr>
          <w:p>
            <w:pPr>
              <w:spacing w:after="0" w:line="240" w:lineRule="auto"/>
            </w:pPr>
            <w:r>
              <w:rPr>
                <w:color w:val="2B2F36"/>
                <w:sz w:val="16"/>
              </w:rPr>
              <w:t>Small, opportunistic</w:t>
            </w:r>
          </w:p>
        </w:tc>
      </w:tr>
      <w:tr>
        <w:trPr>
          <w:cantSplit/>
        </w:trPr>
        <w:tc>
          <w:tcPr>
            <w:tcW w:type="dxa" w:w="1500"/>
            <w:shd w:val="clear" w:color="auto" w:fill="F7F4EE"/>
            <w:vAlign w:val="top"/>
          </w:tcPr>
          <w:p>
            <w:pPr>
              <w:spacing w:after="0" w:line="240" w:lineRule="auto"/>
            </w:pPr>
            <w:r>
              <w:rPr>
                <w:color w:val="2B2F36"/>
                <w:sz w:val="16"/>
              </w:rPr>
              <w:t>Gears &amp; worm wheels</w:t>
            </w:r>
          </w:p>
        </w:tc>
        <w:tc>
          <w:tcPr>
            <w:tcW w:type="dxa" w:w="2143"/>
            <w:shd w:val="clear" w:color="auto" w:fill="F7F4EE"/>
            <w:vAlign w:val="top"/>
          </w:tcPr>
          <w:p>
            <w:pPr>
              <w:spacing w:after="0" w:line="240" w:lineRule="auto"/>
            </w:pPr>
            <w:r>
              <w:rPr>
                <w:color w:val="2B2F36"/>
                <w:sz w:val="16"/>
              </w:rPr>
              <w:t>OEM drawings; heavy duty uses phosphor bronze CC483K (C90700)</w:t>
            </w:r>
          </w:p>
        </w:tc>
        <w:tc>
          <w:tcPr>
            <w:tcW w:type="dxa" w:w="2250"/>
            <w:shd w:val="clear" w:color="auto" w:fill="F7F4EE"/>
            <w:vAlign w:val="top"/>
          </w:tcPr>
          <w:p>
            <w:pPr>
              <w:spacing w:after="0" w:line="240" w:lineRule="auto"/>
            </w:pPr>
            <w:r>
              <w:rPr>
                <w:color w:val="2B2F36"/>
                <w:sz w:val="16"/>
              </w:rPr>
              <w:t>Gearbox makers in Rajkot, Ahmedabad, Coimbatore</w:t>
            </w:r>
          </w:p>
        </w:tc>
        <w:tc>
          <w:tcPr>
            <w:tcW w:type="dxa" w:w="1179"/>
            <w:shd w:val="clear" w:color="auto" w:fill="F7F4EE"/>
            <w:vAlign w:val="top"/>
          </w:tcPr>
          <w:p>
            <w:pPr>
              <w:spacing w:after="0" w:line="240" w:lineRule="auto"/>
            </w:pPr>
            <w:r>
              <w:rPr>
                <w:color w:val="2B2F36"/>
                <w:sz w:val="16"/>
              </w:rPr>
              <w:t>Medium</w:t>
            </w:r>
          </w:p>
        </w:tc>
        <w:tc>
          <w:tcPr>
            <w:tcW w:type="dxa" w:w="964"/>
            <w:shd w:val="clear" w:color="auto" w:fill="F7F4EE"/>
            <w:vAlign w:val="top"/>
          </w:tcPr>
          <w:p>
            <w:pPr>
              <w:spacing w:after="0" w:line="240" w:lineRule="auto"/>
            </w:pPr>
            <w:r>
              <w:rPr>
                <w:color w:val="2B2F36"/>
                <w:sz w:val="16"/>
              </w:rPr>
              <w:t>Selective</w:t>
            </w:r>
          </w:p>
        </w:tc>
        <w:tc>
          <w:tcPr>
            <w:tcW w:type="dxa" w:w="1714"/>
            <w:shd w:val="clear" w:color="auto" w:fill="F7F4EE"/>
            <w:vAlign w:val="top"/>
          </w:tcPr>
          <w:p>
            <w:pPr>
              <w:spacing w:after="0" w:line="240" w:lineRule="auto"/>
            </w:pPr>
            <w:r>
              <w:rPr>
                <w:color w:val="2B2F36"/>
                <w:sz w:val="16"/>
              </w:rPr>
              <w:t>CC493K for light duty only</w:t>
            </w:r>
          </w:p>
        </w:tc>
      </w:tr>
      <w:tr>
        <w:trPr>
          <w:cantSplit/>
        </w:trPr>
        <w:tc>
          <w:tcPr>
            <w:tcW w:type="dxa" w:w="1500"/>
            <w:vAlign w:val="top"/>
          </w:tcPr>
          <w:p>
            <w:pPr>
              <w:spacing w:after="0" w:line="240" w:lineRule="auto"/>
            </w:pPr>
            <w:r>
              <w:rPr>
                <w:color w:val="2B2F36"/>
                <w:sz w:val="16"/>
              </w:rPr>
              <w:t>Engine &amp; compressor</w:t>
            </w:r>
          </w:p>
        </w:tc>
        <w:tc>
          <w:tcPr>
            <w:tcW w:type="dxa" w:w="2143"/>
            <w:vAlign w:val="top"/>
          </w:tcPr>
          <w:p>
            <w:pPr>
              <w:spacing w:after="0" w:line="240" w:lineRule="auto"/>
            </w:pPr>
            <w:r>
              <w:rPr>
                <w:color w:val="2B2F36"/>
                <w:sz w:val="16"/>
              </w:rPr>
              <w:t>OEM drawings</w:t>
            </w:r>
          </w:p>
        </w:tc>
        <w:tc>
          <w:tcPr>
            <w:tcW w:type="dxa" w:w="2250"/>
            <w:vAlign w:val="top"/>
          </w:tcPr>
          <w:p>
            <w:pPr>
              <w:spacing w:after="0" w:line="240" w:lineRule="auto"/>
            </w:pPr>
            <w:r>
              <w:rPr>
                <w:color w:val="2B2F36"/>
                <w:sz w:val="16"/>
              </w:rPr>
              <w:t>Engine and compressor makers; aftermarket</w:t>
            </w:r>
          </w:p>
        </w:tc>
        <w:tc>
          <w:tcPr>
            <w:tcW w:type="dxa" w:w="1179"/>
            <w:vAlign w:val="top"/>
          </w:tcPr>
          <w:p>
            <w:pPr>
              <w:spacing w:after="0" w:line="240" w:lineRule="auto"/>
            </w:pPr>
            <w:r>
              <w:rPr>
                <w:color w:val="2B2F36"/>
                <w:sz w:val="16"/>
              </w:rPr>
              <w:t>High (bimetal)</w:t>
            </w:r>
          </w:p>
        </w:tc>
        <w:tc>
          <w:tcPr>
            <w:tcW w:type="dxa" w:w="964"/>
            <w:vAlign w:val="top"/>
          </w:tcPr>
          <w:p>
            <w:pPr>
              <w:spacing w:after="0" w:line="240" w:lineRule="auto"/>
            </w:pPr>
            <w:r>
              <w:rPr>
                <w:color w:val="2B2F36"/>
                <w:sz w:val="16"/>
              </w:rPr>
              <w:t>Harvest</w:t>
            </w:r>
          </w:p>
        </w:tc>
        <w:tc>
          <w:tcPr>
            <w:tcW w:type="dxa" w:w="1714"/>
            <w:vAlign w:val="top"/>
          </w:tcPr>
          <w:p>
            <w:pPr>
              <w:spacing w:after="0" w:line="240" w:lineRule="auto"/>
            </w:pPr>
            <w:r>
              <w:rPr>
                <w:color w:val="2B2F36"/>
                <w:sz w:val="16"/>
              </w:rPr>
              <w:t>Aftermarket only</w:t>
            </w:r>
          </w:p>
        </w:tc>
      </w:tr>
      <w:tr>
        <w:trPr>
          <w:cantSplit/>
        </w:trPr>
        <w:tc>
          <w:tcPr>
            <w:tcW w:type="dxa" w:w="1500"/>
            <w:shd w:val="clear" w:color="auto" w:fill="F7F4EE"/>
            <w:vAlign w:val="top"/>
          </w:tcPr>
          <w:p>
            <w:pPr>
              <w:spacing w:after="0" w:line="240" w:lineRule="auto"/>
            </w:pPr>
            <w:r>
              <w:rPr>
                <w:color w:val="2B2F36"/>
                <w:sz w:val="16"/>
              </w:rPr>
              <w:t>Instruments &amp; gauges</w:t>
            </w:r>
          </w:p>
        </w:tc>
        <w:tc>
          <w:tcPr>
            <w:tcW w:type="dxa" w:w="2143"/>
            <w:shd w:val="clear" w:color="auto" w:fill="F7F4EE"/>
            <w:vAlign w:val="top"/>
          </w:tcPr>
          <w:p>
            <w:pPr>
              <w:spacing w:after="0" w:line="240" w:lineRule="auto"/>
            </w:pPr>
            <w:r>
              <w:rPr>
                <w:color w:val="2B2F36"/>
                <w:sz w:val="16"/>
              </w:rPr>
              <w:t>Process-industry specs</w:t>
            </w:r>
          </w:p>
        </w:tc>
        <w:tc>
          <w:tcPr>
            <w:tcW w:type="dxa" w:w="2250"/>
            <w:shd w:val="clear" w:color="auto" w:fill="F7F4EE"/>
            <w:vAlign w:val="top"/>
          </w:tcPr>
          <w:p>
            <w:pPr>
              <w:spacing w:after="0" w:line="240" w:lineRule="auto"/>
            </w:pPr>
            <w:r>
              <w:rPr>
                <w:color w:val="2B2F36"/>
                <w:sz w:val="16"/>
              </w:rPr>
              <w:t>Gauge and flow-meter makers</w:t>
            </w:r>
          </w:p>
        </w:tc>
        <w:tc>
          <w:tcPr>
            <w:tcW w:type="dxa" w:w="1179"/>
            <w:shd w:val="clear" w:color="auto" w:fill="F7F4EE"/>
            <w:vAlign w:val="top"/>
          </w:tcPr>
          <w:p>
            <w:pPr>
              <w:spacing w:after="0" w:line="240" w:lineRule="auto"/>
            </w:pPr>
            <w:r>
              <w:rPr>
                <w:color w:val="2B2F36"/>
                <w:sz w:val="16"/>
              </w:rPr>
              <w:t>High (brass)</w:t>
            </w:r>
          </w:p>
        </w:tc>
        <w:tc>
          <w:tcPr>
            <w:tcW w:type="dxa" w:w="964"/>
            <w:shd w:val="clear" w:color="auto" w:fill="F7F4EE"/>
            <w:vAlign w:val="top"/>
          </w:tcPr>
          <w:p>
            <w:pPr>
              <w:spacing w:after="0" w:line="240" w:lineRule="auto"/>
            </w:pPr>
            <w:r>
              <w:rPr>
                <w:color w:val="2B2F36"/>
                <w:sz w:val="16"/>
              </w:rPr>
              <w:t>Selective</w:t>
            </w:r>
          </w:p>
        </w:tc>
        <w:tc>
          <w:tcPr>
            <w:tcW w:type="dxa" w:w="1714"/>
            <w:shd w:val="clear" w:color="auto" w:fill="F7F4EE"/>
            <w:vAlign w:val="top"/>
          </w:tcPr>
          <w:p>
            <w:pPr>
              <w:spacing w:after="0" w:line="240" w:lineRule="auto"/>
            </w:pPr>
            <w:r>
              <w:rPr>
                <w:color w:val="2B2F36"/>
                <w:sz w:val="16"/>
              </w:rPr>
              <w:t>Ignore</w:t>
            </w:r>
          </w:p>
        </w:tc>
      </w:tr>
      <w:tr>
        <w:trPr>
          <w:cantSplit/>
        </w:trPr>
        <w:tc>
          <w:tcPr>
            <w:tcW w:type="dxa" w:w="1500"/>
            <w:vAlign w:val="top"/>
          </w:tcPr>
          <w:p>
            <w:pPr>
              <w:spacing w:after="0" w:line="240" w:lineRule="auto"/>
            </w:pPr>
            <w:r>
              <w:rPr>
                <w:color w:val="2B2F36"/>
                <w:sz w:val="16"/>
              </w:rPr>
              <w:t>Plumbing hardware</w:t>
            </w:r>
          </w:p>
        </w:tc>
        <w:tc>
          <w:tcPr>
            <w:tcW w:type="dxa" w:w="2143"/>
            <w:vAlign w:val="top"/>
          </w:tcPr>
          <w:p>
            <w:pPr>
              <w:spacing w:after="0" w:line="240" w:lineRule="auto"/>
            </w:pPr>
            <w:r>
              <w:rPr>
                <w:color w:val="2B2F36"/>
                <w:sz w:val="16"/>
              </w:rPr>
              <w:t>Lead-free rules spreading</w:t>
            </w:r>
          </w:p>
        </w:tc>
        <w:tc>
          <w:tcPr>
            <w:tcW w:type="dxa" w:w="2250"/>
            <w:vAlign w:val="top"/>
          </w:tcPr>
          <w:p>
            <w:pPr>
              <w:spacing w:after="0" w:line="240" w:lineRule="auto"/>
            </w:pPr>
            <w:r>
              <w:rPr>
                <w:color w:val="2B2F36"/>
                <w:sz w:val="16"/>
              </w:rPr>
              <w:t>Hardware casters, Jamnagar and Delhi</w:t>
            </w:r>
          </w:p>
        </w:tc>
        <w:tc>
          <w:tcPr>
            <w:tcW w:type="dxa" w:w="1179"/>
            <w:vAlign w:val="top"/>
          </w:tcPr>
          <w:p>
            <w:pPr>
              <w:spacing w:after="0" w:line="240" w:lineRule="auto"/>
            </w:pPr>
            <w:r>
              <w:rPr>
                <w:color w:val="2B2F36"/>
                <w:sz w:val="16"/>
              </w:rPr>
              <w:t>High</w:t>
            </w:r>
          </w:p>
        </w:tc>
        <w:tc>
          <w:tcPr>
            <w:tcW w:type="dxa" w:w="964"/>
            <w:vAlign w:val="top"/>
          </w:tcPr>
          <w:p>
            <w:pPr>
              <w:spacing w:after="0" w:line="240" w:lineRule="auto"/>
            </w:pPr>
            <w:r>
              <w:rPr>
                <w:color w:val="2B2F36"/>
                <w:sz w:val="16"/>
              </w:rPr>
              <w:t>Selective</w:t>
            </w:r>
          </w:p>
        </w:tc>
        <w:tc>
          <w:tcPr>
            <w:tcW w:type="dxa" w:w="1714"/>
            <w:vAlign w:val="top"/>
          </w:tcPr>
          <w:p>
            <w:pPr>
              <w:spacing w:after="0" w:line="240" w:lineRule="auto"/>
            </w:pPr>
            <w:r>
              <w:rPr>
                <w:color w:val="2B2F36"/>
                <w:sz w:val="16"/>
              </w:rPr>
              <w:t>CC490K as price entry only; shrinking (−2 %/yr)</w:t>
            </w:r>
          </w:p>
        </w:tc>
      </w:tr>
      <w:tr>
        <w:trPr>
          <w:cantSplit/>
        </w:trPr>
        <w:tc>
          <w:tcPr>
            <w:tcW w:type="dxa" w:w="1500"/>
            <w:shd w:val="clear" w:color="auto" w:fill="F7F4EE"/>
            <w:vAlign w:val="top"/>
          </w:tcPr>
          <w:p>
            <w:pPr>
              <w:spacing w:after="0" w:line="240" w:lineRule="auto"/>
            </w:pPr>
            <w:r>
              <w:rPr>
                <w:color w:val="2B2F36"/>
                <w:sz w:val="16"/>
              </w:rPr>
              <w:t>Decorative castings</w:t>
            </w:r>
          </w:p>
        </w:tc>
        <w:tc>
          <w:tcPr>
            <w:tcW w:type="dxa" w:w="2143"/>
            <w:shd w:val="clear" w:color="auto" w:fill="F7F4EE"/>
            <w:vAlign w:val="top"/>
          </w:tcPr>
          <w:p>
            <w:pPr>
              <w:spacing w:after="0" w:line="240" w:lineRule="auto"/>
            </w:pPr>
            <w:r>
              <w:rPr>
                <w:color w:val="2B2F36"/>
                <w:sz w:val="16"/>
              </w:rPr>
              <w:t>None</w:t>
            </w:r>
          </w:p>
        </w:tc>
        <w:tc>
          <w:tcPr>
            <w:tcW w:type="dxa" w:w="2250"/>
            <w:shd w:val="clear" w:color="auto" w:fill="F7F4EE"/>
            <w:vAlign w:val="top"/>
          </w:tcPr>
          <w:p>
            <w:pPr>
              <w:spacing w:after="0" w:line="240" w:lineRule="auto"/>
            </w:pPr>
            <w:r>
              <w:rPr>
                <w:color w:val="2B2F36"/>
                <w:sz w:val="16"/>
              </w:rPr>
              <w:t>Moradabad (300 km), Aligarh, Jamnagar artisans</w:t>
            </w:r>
          </w:p>
        </w:tc>
        <w:tc>
          <w:tcPr>
            <w:tcW w:type="dxa" w:w="1179"/>
            <w:shd w:val="clear" w:color="auto" w:fill="F7F4EE"/>
            <w:vAlign w:val="top"/>
          </w:tcPr>
          <w:p>
            <w:pPr>
              <w:spacing w:after="0" w:line="240" w:lineRule="auto"/>
            </w:pPr>
            <w:r>
              <w:rPr>
                <w:color w:val="2B2F36"/>
                <w:sz w:val="16"/>
              </w:rPr>
              <w:t>High (brass)</w:t>
            </w:r>
          </w:p>
        </w:tc>
        <w:tc>
          <w:tcPr>
            <w:tcW w:type="dxa" w:w="964"/>
            <w:shd w:val="clear" w:color="auto" w:fill="F7F4EE"/>
            <w:vAlign w:val="top"/>
          </w:tcPr>
          <w:p>
            <w:pPr>
              <w:spacing w:after="0" w:line="240" w:lineRule="auto"/>
            </w:pPr>
            <w:r>
              <w:rPr>
                <w:color w:val="2B2F36"/>
                <w:sz w:val="16"/>
              </w:rPr>
              <w:t>Selective</w:t>
            </w:r>
          </w:p>
        </w:tc>
        <w:tc>
          <w:tcPr>
            <w:tcW w:type="dxa" w:w="1714"/>
            <w:shd w:val="clear" w:color="auto" w:fill="F7F4EE"/>
            <w:vAlign w:val="top"/>
          </w:tcPr>
          <w:p>
            <w:pPr>
              <w:spacing w:after="0" w:line="240" w:lineRule="auto"/>
            </w:pPr>
            <w:r>
              <w:rPr>
                <w:color w:val="2B2F36"/>
                <w:sz w:val="16"/>
              </w:rPr>
              <w:t>Ignore; price-driven, scrap-based</w:t>
            </w:r>
          </w:p>
        </w:tc>
      </w:tr>
    </w:tbl>
    <w:p>
      <w:pPr>
        <w:spacing w:after="40"/>
      </w:pP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1F4E79"/>
            </w:tcBorders>
            <w:shd w:val="clear" w:color="auto" w:fill="EEF3F8"/>
          </w:tcPr>
          <w:p>
            <w:pPr>
              <w:spacing w:after="60"/>
            </w:pPr>
            <w:r>
              <w:rPr>
                <w:b/>
                <w:color w:val="1F4E79"/>
                <w:sz w:val="20"/>
              </w:rPr>
              <w:t>What this means for Bajaj Alloys</w:t>
            </w:r>
          </w:p>
          <w:p>
            <w:pPr>
              <w:spacing w:after="40" w:line="252" w:lineRule="auto"/>
              <w:ind w:left="255" w:hanging="255"/>
            </w:pPr>
            <w:r>
              <w:rPr>
                <w:color w:val="2B2F36"/>
                <w:sz w:val="19"/>
              </w:rPr>
              <w:t xml:space="preserve">• </w:t>
            </w:r>
            <w:r>
              <w:rPr>
                <w:b/>
                <w:color w:val="2B2F36"/>
                <w:sz w:val="19"/>
              </w:rPr>
              <w:t>Account plans for the top eight</w:t>
            </w:r>
            <w:r>
              <w:rPr>
                <w:color w:val="2B2F36"/>
                <w:sz w:val="19"/>
              </w:rPr>
              <w:t xml:space="preserve"> (fire, sugar-mill, hydro, marine, defence, hydraulics, meter bodies, boiler mountings): 16 % of demand together.</w:t>
            </w:r>
          </w:p>
          <w:p>
            <w:pPr>
              <w:spacing w:after="40" w:line="252" w:lineRule="auto"/>
              <w:ind w:left="255" w:hanging="255"/>
            </w:pPr>
            <w:r>
              <w:rPr>
                <w:color w:val="2B2F36"/>
                <w:sz w:val="19"/>
              </w:rPr>
              <w:t xml:space="preserve">• </w:t>
            </w:r>
            <w:r>
              <w:rPr>
                <w:b/>
                <w:color w:val="2B2F36"/>
                <w:sz w:val="19"/>
              </w:rPr>
              <w:t>Two approval plays:</w:t>
            </w:r>
            <w:r>
              <w:rPr>
                <w:color w:val="2B2F36"/>
                <w:sz w:val="19"/>
              </w:rPr>
              <w:t xml:space="preserve"> hydro and defence (and marine for class approvals). Start registration now; orders follow in 12–24 months.</w:t>
            </w:r>
          </w:p>
          <w:p>
            <w:pPr>
              <w:spacing w:after="40" w:line="252" w:lineRule="auto"/>
              <w:ind w:left="255" w:hanging="255"/>
            </w:pPr>
            <w:r>
              <w:rPr>
                <w:color w:val="2B2F36"/>
                <w:sz w:val="19"/>
              </w:rPr>
              <w:t xml:space="preserve">• </w:t>
            </w:r>
            <w:r>
              <w:rPr>
                <w:b/>
                <w:color w:val="2B2F36"/>
                <w:sz w:val="19"/>
              </w:rPr>
              <w:t>Ignore</w:t>
            </w:r>
            <w:r>
              <w:rPr>
                <w:color w:val="2B2F36"/>
                <w:sz w:val="19"/>
              </w:rPr>
              <w:t xml:space="preserve"> instruments and decorative castings; sell plumbing and engine bushes only on enquiry.</w:t>
            </w:r>
          </w:p>
        </w:tc>
      </w:tr>
    </w:tbl>
    <w:p>
      <w:pPr>
        <w:spacing w:after="40"/>
      </w:pPr>
    </w:p>
    <w:p>
      <w:r>
        <w:br w:type="page"/>
      </w:r>
    </w:p>
    <w:p>
      <w:pPr>
        <w:pStyle w:val="Heading1"/>
      </w:pPr>
      <w:r>
        <w:t>11. Competitive landscape</w:t>
      </w:r>
    </w:p>
    <w:p>
      <w:r>
        <w:t>India's market has organised ingot makers, integrated foundries that alloy their own melt, and a large unorganised sector that remelts scrap. The companies below appear in public sources for these grades. No reliable market-share data is published.</w:t>
      </w:r>
    </w:p>
    <w:p>
      <w:pPr>
        <w:keepNext/>
        <w:spacing w:after="40"/>
      </w:pPr>
      <w:r>
        <w:rPr>
          <w:b/>
          <w:color w:val="5B6470"/>
          <w:sz w:val="18"/>
        </w:rPr>
        <w:t>Table 30.</w:t>
      </w:r>
      <w:r>
        <w:rPr>
          <w:color w:val="5B6470"/>
          <w:sz w:val="18"/>
        </w:rPr>
        <w:t xml:space="preserve"> Players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608"/>
        <w:gridCol w:w="1587"/>
        <w:gridCol w:w="3402"/>
        <w:gridCol w:w="2154"/>
      </w:tblGrid>
      <w:tr>
        <w:trPr>
          <w:cantSplit/>
          <w:tblHeader/>
        </w:trPr>
        <w:tc>
          <w:tcPr>
            <w:tcW w:type="dxa" w:w="2608"/>
            <w:shd w:val="clear" w:color="auto" w:fill="1F4E79"/>
            <w:vAlign w:val="center"/>
          </w:tcPr>
          <w:p>
            <w:pPr>
              <w:spacing w:after="0" w:line="240" w:lineRule="auto"/>
            </w:pPr>
            <w:r>
              <w:rPr>
                <w:b/>
                <w:color w:val="FFFFFF"/>
                <w:sz w:val="16"/>
              </w:rPr>
              <w:t>Company</w:t>
            </w:r>
          </w:p>
        </w:tc>
        <w:tc>
          <w:tcPr>
            <w:tcW w:type="dxa" w:w="1587"/>
            <w:shd w:val="clear" w:color="auto" w:fill="1F4E79"/>
            <w:vAlign w:val="center"/>
          </w:tcPr>
          <w:p>
            <w:pPr>
              <w:spacing w:after="0" w:line="240" w:lineRule="auto"/>
            </w:pPr>
            <w:r>
              <w:rPr>
                <w:b/>
                <w:color w:val="FFFFFF"/>
                <w:sz w:val="16"/>
              </w:rPr>
              <w:t>Location</w:t>
            </w:r>
          </w:p>
        </w:tc>
        <w:tc>
          <w:tcPr>
            <w:tcW w:type="dxa" w:w="3402"/>
            <w:shd w:val="clear" w:color="auto" w:fill="1F4E79"/>
            <w:vAlign w:val="center"/>
          </w:tcPr>
          <w:p>
            <w:pPr>
              <w:spacing w:after="0" w:line="240" w:lineRule="auto"/>
            </w:pPr>
            <w:r>
              <w:rPr>
                <w:b/>
                <w:color w:val="FFFFFF"/>
                <w:sz w:val="16"/>
              </w:rPr>
              <w:t>Relevant offer</w:t>
            </w:r>
          </w:p>
        </w:tc>
        <w:tc>
          <w:tcPr>
            <w:tcW w:type="dxa" w:w="2154"/>
            <w:shd w:val="clear" w:color="auto" w:fill="1F4E79"/>
            <w:vAlign w:val="center"/>
          </w:tcPr>
          <w:p>
            <w:pPr>
              <w:spacing w:after="0" w:line="240" w:lineRule="auto"/>
            </w:pPr>
            <w:r>
              <w:rPr>
                <w:b/>
                <w:color w:val="FFFFFF"/>
                <w:sz w:val="16"/>
              </w:rPr>
              <w:t>Type</w:t>
            </w:r>
          </w:p>
        </w:tc>
      </w:tr>
      <w:tr>
        <w:trPr>
          <w:cantSplit/>
        </w:trPr>
        <w:tc>
          <w:tcPr>
            <w:tcW w:type="dxa" w:w="2608"/>
            <w:vAlign w:val="top"/>
          </w:tcPr>
          <w:p>
            <w:pPr>
              <w:spacing w:after="0" w:line="240" w:lineRule="auto"/>
            </w:pPr>
            <w:r>
              <w:rPr>
                <w:color w:val="2B2F36"/>
                <w:sz w:val="16"/>
              </w:rPr>
              <w:t>Bright Metals</w:t>
            </w:r>
          </w:p>
        </w:tc>
        <w:tc>
          <w:tcPr>
            <w:tcW w:type="dxa" w:w="1587"/>
            <w:vAlign w:val="top"/>
          </w:tcPr>
          <w:p>
            <w:pPr>
              <w:spacing w:after="0" w:line="240" w:lineRule="auto"/>
            </w:pPr>
            <w:r>
              <w:rPr>
                <w:color w:val="2B2F36"/>
                <w:sz w:val="16"/>
              </w:rPr>
              <w:t>India</w:t>
            </w:r>
          </w:p>
        </w:tc>
        <w:tc>
          <w:tcPr>
            <w:tcW w:type="dxa" w:w="3402"/>
            <w:vAlign w:val="top"/>
          </w:tcPr>
          <w:p>
            <w:pPr>
              <w:spacing w:after="0" w:line="240" w:lineRule="auto"/>
            </w:pPr>
            <w:r>
              <w:rPr>
                <w:color w:val="2B2F36"/>
                <w:sz w:val="16"/>
              </w:rPr>
              <w:t>Leaded bronze ingots, ~50 years in business</w:t>
            </w:r>
          </w:p>
        </w:tc>
        <w:tc>
          <w:tcPr>
            <w:tcW w:type="dxa" w:w="2154"/>
            <w:vAlign w:val="top"/>
          </w:tcPr>
          <w:p>
            <w:pPr>
              <w:spacing w:after="0" w:line="240" w:lineRule="auto"/>
            </w:pPr>
            <w:r>
              <w:rPr>
                <w:color w:val="2B2F36"/>
                <w:sz w:val="16"/>
              </w:rPr>
              <w:t>Ingot maker (direct competitor)</w:t>
            </w:r>
          </w:p>
        </w:tc>
      </w:tr>
      <w:tr>
        <w:trPr>
          <w:cantSplit/>
        </w:trPr>
        <w:tc>
          <w:tcPr>
            <w:tcW w:type="dxa" w:w="2608"/>
            <w:shd w:val="clear" w:color="auto" w:fill="F7F4EE"/>
            <w:vAlign w:val="top"/>
          </w:tcPr>
          <w:p>
            <w:pPr>
              <w:spacing w:after="0" w:line="240" w:lineRule="auto"/>
            </w:pPr>
            <w:r>
              <w:rPr>
                <w:color w:val="2B2F36"/>
                <w:sz w:val="16"/>
              </w:rPr>
              <w:t>RJ Metal Industries</w:t>
            </w:r>
          </w:p>
        </w:tc>
        <w:tc>
          <w:tcPr>
            <w:tcW w:type="dxa" w:w="1587"/>
            <w:shd w:val="clear" w:color="auto" w:fill="F7F4EE"/>
            <w:vAlign w:val="top"/>
          </w:tcPr>
          <w:p>
            <w:pPr>
              <w:spacing w:after="0" w:line="240" w:lineRule="auto"/>
            </w:pPr>
            <w:r>
              <w:rPr>
                <w:color w:val="2B2F36"/>
                <w:sz w:val="16"/>
              </w:rPr>
              <w:t>Kolkata</w:t>
            </w:r>
          </w:p>
        </w:tc>
        <w:tc>
          <w:tcPr>
            <w:tcW w:type="dxa" w:w="3402"/>
            <w:shd w:val="clear" w:color="auto" w:fill="F7F4EE"/>
            <w:vAlign w:val="top"/>
          </w:tcPr>
          <w:p>
            <w:pPr>
              <w:spacing w:after="0" w:line="240" w:lineRule="auto"/>
            </w:pPr>
            <w:r>
              <w:rPr>
                <w:color w:val="2B2F36"/>
                <w:sz w:val="16"/>
              </w:rPr>
              <w:t>IS 318 LTB 1–5 leaded tin bronze ingots and castings</w:t>
            </w:r>
          </w:p>
        </w:tc>
        <w:tc>
          <w:tcPr>
            <w:tcW w:type="dxa" w:w="2154"/>
            <w:shd w:val="clear" w:color="auto" w:fill="F7F4EE"/>
            <w:vAlign w:val="top"/>
          </w:tcPr>
          <w:p>
            <w:pPr>
              <w:spacing w:after="0" w:line="240" w:lineRule="auto"/>
            </w:pPr>
            <w:r>
              <w:rPr>
                <w:color w:val="2B2F36"/>
                <w:sz w:val="16"/>
              </w:rPr>
              <w:t>Ingot + castings</w:t>
            </w:r>
          </w:p>
        </w:tc>
      </w:tr>
      <w:tr>
        <w:trPr>
          <w:cantSplit/>
        </w:trPr>
        <w:tc>
          <w:tcPr>
            <w:tcW w:type="dxa" w:w="2608"/>
            <w:vAlign w:val="top"/>
          </w:tcPr>
          <w:p>
            <w:pPr>
              <w:spacing w:after="0" w:line="240" w:lineRule="auto"/>
            </w:pPr>
            <w:r>
              <w:rPr>
                <w:color w:val="2B2F36"/>
                <w:sz w:val="16"/>
              </w:rPr>
              <w:t>Conex Screws &amp; Fasteners</w:t>
            </w:r>
          </w:p>
        </w:tc>
        <w:tc>
          <w:tcPr>
            <w:tcW w:type="dxa" w:w="1587"/>
            <w:vAlign w:val="top"/>
          </w:tcPr>
          <w:p>
            <w:pPr>
              <w:spacing w:after="0" w:line="240" w:lineRule="auto"/>
            </w:pPr>
            <w:r>
              <w:rPr>
                <w:color w:val="2B2F36"/>
                <w:sz w:val="16"/>
              </w:rPr>
              <w:t>India</w:t>
            </w:r>
          </w:p>
        </w:tc>
        <w:tc>
          <w:tcPr>
            <w:tcW w:type="dxa" w:w="3402"/>
            <w:vAlign w:val="top"/>
          </w:tcPr>
          <w:p>
            <w:pPr>
              <w:spacing w:after="0" w:line="240" w:lineRule="auto"/>
            </w:pPr>
            <w:r>
              <w:rPr>
                <w:color w:val="2B2F36"/>
                <w:sz w:val="16"/>
              </w:rPr>
              <w:t>CC491K / LG2 sand castings, exports</w:t>
            </w:r>
          </w:p>
        </w:tc>
        <w:tc>
          <w:tcPr>
            <w:tcW w:type="dxa" w:w="2154"/>
            <w:vAlign w:val="top"/>
          </w:tcPr>
          <w:p>
            <w:pPr>
              <w:spacing w:after="0" w:line="240" w:lineRule="auto"/>
            </w:pPr>
            <w:r>
              <w:rPr>
                <w:color w:val="2B2F36"/>
                <w:sz w:val="16"/>
              </w:rPr>
              <w:t>Foundry (potential customer)</w:t>
            </w:r>
          </w:p>
        </w:tc>
      </w:tr>
      <w:tr>
        <w:trPr>
          <w:cantSplit/>
        </w:trPr>
        <w:tc>
          <w:tcPr>
            <w:tcW w:type="dxa" w:w="2608"/>
            <w:shd w:val="clear" w:color="auto" w:fill="F7F4EE"/>
            <w:vAlign w:val="top"/>
          </w:tcPr>
          <w:p>
            <w:pPr>
              <w:spacing w:after="0" w:line="240" w:lineRule="auto"/>
            </w:pPr>
            <w:r>
              <w:rPr>
                <w:color w:val="2B2F36"/>
                <w:sz w:val="16"/>
              </w:rPr>
              <w:t>Govind Metal</w:t>
            </w:r>
          </w:p>
        </w:tc>
        <w:tc>
          <w:tcPr>
            <w:tcW w:type="dxa" w:w="1587"/>
            <w:shd w:val="clear" w:color="auto" w:fill="F7F4EE"/>
            <w:vAlign w:val="top"/>
          </w:tcPr>
          <w:p>
            <w:pPr>
              <w:spacing w:after="0" w:line="240" w:lineRule="auto"/>
            </w:pPr>
            <w:r>
              <w:rPr>
                <w:color w:val="2B2F36"/>
                <w:sz w:val="16"/>
              </w:rPr>
              <w:t>India</w:t>
            </w:r>
          </w:p>
        </w:tc>
        <w:tc>
          <w:tcPr>
            <w:tcW w:type="dxa" w:w="3402"/>
            <w:shd w:val="clear" w:color="auto" w:fill="F7F4EE"/>
            <w:vAlign w:val="top"/>
          </w:tcPr>
          <w:p>
            <w:pPr>
              <w:spacing w:after="0" w:line="240" w:lineRule="auto"/>
            </w:pPr>
            <w:r>
              <w:rPr>
                <w:color w:val="2B2F36"/>
                <w:sz w:val="16"/>
              </w:rPr>
              <w:t>Bearing bronze</w:t>
            </w:r>
          </w:p>
        </w:tc>
        <w:tc>
          <w:tcPr>
            <w:tcW w:type="dxa" w:w="2154"/>
            <w:shd w:val="clear" w:color="auto" w:fill="F7F4EE"/>
            <w:vAlign w:val="top"/>
          </w:tcPr>
          <w:p>
            <w:pPr>
              <w:spacing w:after="0" w:line="240" w:lineRule="auto"/>
            </w:pPr>
            <w:r>
              <w:rPr>
                <w:color w:val="2B2F36"/>
                <w:sz w:val="16"/>
              </w:rPr>
              <w:t>Bar/tube supplier</w:t>
            </w:r>
          </w:p>
        </w:tc>
      </w:tr>
      <w:tr>
        <w:trPr>
          <w:cantSplit/>
        </w:trPr>
        <w:tc>
          <w:tcPr>
            <w:tcW w:type="dxa" w:w="2608"/>
            <w:vAlign w:val="top"/>
          </w:tcPr>
          <w:p>
            <w:pPr>
              <w:spacing w:after="0" w:line="240" w:lineRule="auto"/>
            </w:pPr>
            <w:r>
              <w:rPr>
                <w:color w:val="2B2F36"/>
                <w:sz w:val="16"/>
              </w:rPr>
              <w:t>Concast, National Bronze, MetalTek, Busby, Aviva, Farmers Copper</w:t>
            </w:r>
          </w:p>
        </w:tc>
        <w:tc>
          <w:tcPr>
            <w:tcW w:type="dxa" w:w="1587"/>
            <w:vAlign w:val="top"/>
          </w:tcPr>
          <w:p>
            <w:pPr>
              <w:spacing w:after="0" w:line="240" w:lineRule="auto"/>
            </w:pPr>
            <w:r>
              <w:rPr>
                <w:color w:val="2B2F36"/>
                <w:sz w:val="16"/>
              </w:rPr>
              <w:t>USA</w:t>
            </w:r>
          </w:p>
        </w:tc>
        <w:tc>
          <w:tcPr>
            <w:tcW w:type="dxa" w:w="3402"/>
            <w:vAlign w:val="top"/>
          </w:tcPr>
          <w:p>
            <w:pPr>
              <w:spacing w:after="0" w:line="240" w:lineRule="auto"/>
            </w:pPr>
            <w:r>
              <w:rPr>
                <w:color w:val="2B2F36"/>
                <w:sz w:val="16"/>
              </w:rPr>
              <w:t>Continuous-cast bearing bronze bar and tube</w:t>
            </w:r>
          </w:p>
        </w:tc>
        <w:tc>
          <w:tcPr>
            <w:tcW w:type="dxa" w:w="2154"/>
            <w:vAlign w:val="top"/>
          </w:tcPr>
          <w:p>
            <w:pPr>
              <w:spacing w:after="0" w:line="240" w:lineRule="auto"/>
            </w:pPr>
            <w:r>
              <w:rPr>
                <w:color w:val="2B2F36"/>
                <w:sz w:val="16"/>
              </w:rPr>
              <w:t>Global benchmark</w:t>
            </w:r>
          </w:p>
        </w:tc>
      </w:tr>
      <w:tr>
        <w:trPr>
          <w:cantSplit/>
        </w:trPr>
        <w:tc>
          <w:tcPr>
            <w:tcW w:type="dxa" w:w="2608"/>
            <w:shd w:val="clear" w:color="auto" w:fill="F7F4EE"/>
            <w:vAlign w:val="top"/>
          </w:tcPr>
          <w:p>
            <w:pPr>
              <w:spacing w:after="0" w:line="240" w:lineRule="auto"/>
            </w:pPr>
            <w:r>
              <w:rPr>
                <w:color w:val="2B2F36"/>
                <w:sz w:val="16"/>
              </w:rPr>
              <w:t>UK stockists (Holme Dodsworth, Copper Alloys Ltd)</w:t>
            </w:r>
          </w:p>
        </w:tc>
        <w:tc>
          <w:tcPr>
            <w:tcW w:type="dxa" w:w="1587"/>
            <w:shd w:val="clear" w:color="auto" w:fill="F7F4EE"/>
            <w:vAlign w:val="top"/>
          </w:tcPr>
          <w:p>
            <w:pPr>
              <w:spacing w:after="0" w:line="240" w:lineRule="auto"/>
            </w:pPr>
            <w:r>
              <w:rPr>
                <w:color w:val="2B2F36"/>
                <w:sz w:val="16"/>
              </w:rPr>
              <w:t>UK</w:t>
            </w:r>
          </w:p>
        </w:tc>
        <w:tc>
          <w:tcPr>
            <w:tcW w:type="dxa" w:w="3402"/>
            <w:shd w:val="clear" w:color="auto" w:fill="F7F4EE"/>
            <w:vAlign w:val="top"/>
          </w:tcPr>
          <w:p>
            <w:pPr>
              <w:spacing w:after="0" w:line="240" w:lineRule="auto"/>
            </w:pPr>
            <w:r>
              <w:rPr>
                <w:color w:val="2B2F36"/>
                <w:sz w:val="16"/>
              </w:rPr>
              <w:t>LG1, LG2, LG4, LB2, LB4 cast bar to EN 1982</w:t>
            </w:r>
          </w:p>
        </w:tc>
        <w:tc>
          <w:tcPr>
            <w:tcW w:type="dxa" w:w="2154"/>
            <w:shd w:val="clear" w:color="auto" w:fill="F7F4EE"/>
            <w:vAlign w:val="top"/>
          </w:tcPr>
          <w:p>
            <w:pPr>
              <w:spacing w:after="0" w:line="240" w:lineRule="auto"/>
            </w:pPr>
            <w:r>
              <w:rPr>
                <w:color w:val="2B2F36"/>
                <w:sz w:val="16"/>
              </w:rPr>
              <w:t>Export benchmark</w:t>
            </w:r>
          </w:p>
        </w:tc>
      </w:tr>
      <w:tr>
        <w:trPr>
          <w:cantSplit/>
        </w:trPr>
        <w:tc>
          <w:tcPr>
            <w:tcW w:type="dxa" w:w="2608"/>
            <w:vAlign w:val="top"/>
          </w:tcPr>
          <w:p>
            <w:pPr>
              <w:spacing w:after="0" w:line="240" w:lineRule="auto"/>
            </w:pPr>
            <w:r>
              <w:rPr>
                <w:color w:val="2B2F36"/>
                <w:sz w:val="16"/>
              </w:rPr>
              <w:t>Unorganised remelters</w:t>
            </w:r>
          </w:p>
        </w:tc>
        <w:tc>
          <w:tcPr>
            <w:tcW w:type="dxa" w:w="1587"/>
            <w:vAlign w:val="top"/>
          </w:tcPr>
          <w:p>
            <w:pPr>
              <w:spacing w:after="0" w:line="240" w:lineRule="auto"/>
            </w:pPr>
            <w:r>
              <w:rPr>
                <w:color w:val="2B2F36"/>
                <w:sz w:val="16"/>
              </w:rPr>
              <w:t>Jamnagar, Moradabad, Delhi-NCR</w:t>
            </w:r>
          </w:p>
        </w:tc>
        <w:tc>
          <w:tcPr>
            <w:tcW w:type="dxa" w:w="3402"/>
            <w:vAlign w:val="top"/>
          </w:tcPr>
          <w:p>
            <w:pPr>
              <w:spacing w:after="0" w:line="240" w:lineRule="auto"/>
            </w:pPr>
            <w:r>
              <w:rPr>
                <w:color w:val="2B2F36"/>
                <w:sz w:val="16"/>
              </w:rPr>
              <w:t>Scrap-based gunmetal ingot, often uncertified</w:t>
            </w:r>
          </w:p>
        </w:tc>
        <w:tc>
          <w:tcPr>
            <w:tcW w:type="dxa" w:w="2154"/>
            <w:vAlign w:val="top"/>
          </w:tcPr>
          <w:p>
            <w:pPr>
              <w:spacing w:after="0" w:line="240" w:lineRule="auto"/>
            </w:pPr>
            <w:r>
              <w:rPr>
                <w:color w:val="2B2F36"/>
                <w:sz w:val="16"/>
              </w:rPr>
              <w:t>Price competitors</w:t>
            </w:r>
          </w:p>
        </w:tc>
      </w:tr>
    </w:tbl>
    <w:p>
      <w:pPr>
        <w:spacing w:after="40"/>
      </w:pPr>
    </w:p>
    <w:p>
      <w:r>
        <w:t>Bajaj can beat the unorganised sector on certification and consistency (spectrometer-certified EN chemistry, tight lead and tin control, low impurities) and importers on lead time and rupee pricing. This matters most for CC490K and CC491K, where remelted scrap competes on price. Remelters share Bajaj's scrap-route cost advantage (Section 6.5), so the edge is certification, not metal cost.</w:t>
      </w:r>
    </w:p>
    <w:p>
      <w:pPr>
        <w:keepNext/>
        <w:spacing w:after="40"/>
        <w:jc w:val="center"/>
      </w:pPr>
      <w:r>
        <w:drawing>
          <wp:inline xmlns:a="http://schemas.openxmlformats.org/drawingml/2006/main" xmlns:pic="http://schemas.openxmlformats.org/drawingml/2006/picture">
            <wp:extent cx="5040000" cy="2484837"/>
            <wp:docPr id="34" name="Picture 34"/>
            <wp:cNvGraphicFramePr>
              <a:graphicFrameLocks noChangeAspect="1"/>
            </wp:cNvGraphicFramePr>
            <a:graphic>
              <a:graphicData uri="http://schemas.openxmlformats.org/drawingml/2006/picture">
                <pic:pic>
                  <pic:nvPicPr>
                    <pic:cNvPr id="0" name="d19.png"/>
                    <pic:cNvPicPr/>
                  </pic:nvPicPr>
                  <pic:blipFill>
                    <a:blip r:embed="rId44"/>
                    <a:stretch>
                      <a:fillRect/>
                    </a:stretch>
                  </pic:blipFill>
                  <pic:spPr>
                    <a:xfrm>
                      <a:off x="0" y="0"/>
                      <a:ext cx="5040000" cy="2484837"/>
                    </a:xfrm>
                    <a:prstGeom prst="rect"/>
                  </pic:spPr>
                </pic:pic>
              </a:graphicData>
            </a:graphic>
          </wp:inline>
        </w:drawing>
      </w:r>
    </w:p>
    <w:p>
      <w:pPr>
        <w:spacing w:after="160"/>
      </w:pPr>
      <w:r>
        <w:rPr>
          <w:b/>
          <w:color w:val="5B6470"/>
          <w:sz w:val="17"/>
        </w:rPr>
        <w:t>Figure 34.</w:t>
      </w:r>
      <w:r>
        <w:rPr>
          <w:color w:val="5B6470"/>
          <w:sz w:val="17"/>
        </w:rPr>
        <w:t xml:space="preserve"> Qualitative positioning of supplier types by price and by certification and consistency. Bajaj's opening is certified EN/UNS/IS chemistry at Indian ingot prices.</w:t>
      </w:r>
    </w:p>
    <w:p>
      <w:pPr>
        <w:keepNext/>
        <w:spacing w:after="40"/>
      </w:pPr>
      <w:r>
        <w:rPr>
          <w:b/>
          <w:color w:val="5B6470"/>
          <w:sz w:val="18"/>
        </w:rPr>
        <w:t>Table 31.</w:t>
      </w:r>
      <w:r>
        <w:rPr>
          <w:color w:val="5B6470"/>
          <w:sz w:val="18"/>
        </w:rPr>
        <w:t xml:space="preserve"> What each customer segment buys on (qualitative; H high, M medium, L low importance)</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549"/>
        <w:gridCol w:w="942"/>
        <w:gridCol w:w="1441"/>
        <w:gridCol w:w="1441"/>
        <w:gridCol w:w="1108"/>
        <w:gridCol w:w="997"/>
        <w:gridCol w:w="1274"/>
      </w:tblGrid>
      <w:tr>
        <w:trPr>
          <w:cantSplit/>
          <w:tblHeader/>
        </w:trPr>
        <w:tc>
          <w:tcPr>
            <w:tcW w:type="dxa" w:w="2549"/>
            <w:shd w:val="clear" w:color="auto" w:fill="1F4E79"/>
            <w:vAlign w:val="center"/>
          </w:tcPr>
          <w:p>
            <w:pPr>
              <w:spacing w:after="0" w:line="240" w:lineRule="auto"/>
            </w:pPr>
            <w:r>
              <w:rPr>
                <w:b/>
                <w:color w:val="FFFFFF"/>
                <w:sz w:val="16"/>
              </w:rPr>
              <w:t>Segment</w:t>
            </w:r>
          </w:p>
        </w:tc>
        <w:tc>
          <w:tcPr>
            <w:tcW w:type="dxa" w:w="942"/>
            <w:shd w:val="clear" w:color="auto" w:fill="1F4E79"/>
            <w:vAlign w:val="center"/>
          </w:tcPr>
          <w:p>
            <w:pPr>
              <w:spacing w:after="0" w:line="240" w:lineRule="auto"/>
            </w:pPr>
            <w:r>
              <w:rPr>
                <w:b/>
                <w:color w:val="FFFFFF"/>
                <w:sz w:val="16"/>
              </w:rPr>
              <w:t>Price</w:t>
            </w:r>
          </w:p>
        </w:tc>
        <w:tc>
          <w:tcPr>
            <w:tcW w:type="dxa" w:w="1441"/>
            <w:shd w:val="clear" w:color="auto" w:fill="1F4E79"/>
            <w:vAlign w:val="center"/>
          </w:tcPr>
          <w:p>
            <w:pPr>
              <w:spacing w:after="0" w:line="240" w:lineRule="auto"/>
            </w:pPr>
            <w:r>
              <w:rPr>
                <w:b/>
                <w:color w:val="FFFFFF"/>
                <w:sz w:val="16"/>
              </w:rPr>
              <w:t>Certified chemistry</w:t>
            </w:r>
          </w:p>
        </w:tc>
        <w:tc>
          <w:tcPr>
            <w:tcW w:type="dxa" w:w="1441"/>
            <w:shd w:val="clear" w:color="auto" w:fill="1F4E79"/>
            <w:vAlign w:val="center"/>
          </w:tcPr>
          <w:p>
            <w:pPr>
              <w:spacing w:after="0" w:line="240" w:lineRule="auto"/>
            </w:pPr>
            <w:r>
              <w:rPr>
                <w:b/>
                <w:color w:val="FFFFFF"/>
                <w:sz w:val="16"/>
              </w:rPr>
              <w:t>Batch consistency</w:t>
            </w:r>
          </w:p>
        </w:tc>
        <w:tc>
          <w:tcPr>
            <w:tcW w:type="dxa" w:w="1108"/>
            <w:shd w:val="clear" w:color="auto" w:fill="1F4E79"/>
            <w:vAlign w:val="center"/>
          </w:tcPr>
          <w:p>
            <w:pPr>
              <w:spacing w:after="0" w:line="240" w:lineRule="auto"/>
            </w:pPr>
            <w:r>
              <w:rPr>
                <w:b/>
                <w:color w:val="FFFFFF"/>
                <w:sz w:val="16"/>
              </w:rPr>
              <w:t>Credit terms</w:t>
            </w:r>
          </w:p>
        </w:tc>
        <w:tc>
          <w:tcPr>
            <w:tcW w:type="dxa" w:w="997"/>
            <w:shd w:val="clear" w:color="auto" w:fill="1F4E79"/>
            <w:vAlign w:val="center"/>
          </w:tcPr>
          <w:p>
            <w:pPr>
              <w:spacing w:after="0" w:line="240" w:lineRule="auto"/>
            </w:pPr>
            <w:r>
              <w:rPr>
                <w:b/>
                <w:color w:val="FFFFFF"/>
                <w:sz w:val="16"/>
              </w:rPr>
              <w:t>Lead time</w:t>
            </w:r>
          </w:p>
        </w:tc>
        <w:tc>
          <w:tcPr>
            <w:tcW w:type="dxa" w:w="1274"/>
            <w:shd w:val="clear" w:color="auto" w:fill="1F4E79"/>
            <w:vAlign w:val="center"/>
          </w:tcPr>
          <w:p>
            <w:pPr>
              <w:spacing w:after="0" w:line="240" w:lineRule="auto"/>
            </w:pPr>
            <w:r>
              <w:rPr>
                <w:b/>
                <w:color w:val="FFFFFF"/>
                <w:sz w:val="16"/>
              </w:rPr>
              <w:t>Technical support</w:t>
            </w:r>
          </w:p>
        </w:tc>
      </w:tr>
      <w:tr>
        <w:trPr>
          <w:cantSplit/>
        </w:trPr>
        <w:tc>
          <w:tcPr>
            <w:tcW w:type="dxa" w:w="2549"/>
            <w:vAlign w:val="top"/>
          </w:tcPr>
          <w:p>
            <w:pPr>
              <w:spacing w:after="0" w:line="240" w:lineRule="auto"/>
            </w:pPr>
            <w:r>
              <w:rPr>
                <w:color w:val="2B2F36"/>
                <w:sz w:val="16"/>
              </w:rPr>
              <w:t>Export-oriented foundries</w:t>
            </w:r>
          </w:p>
        </w:tc>
        <w:tc>
          <w:tcPr>
            <w:tcW w:type="dxa" w:w="942"/>
            <w:vAlign w:val="top"/>
          </w:tcPr>
          <w:p>
            <w:pPr>
              <w:spacing w:after="0" w:line="240" w:lineRule="auto"/>
              <w:jc w:val="center"/>
            </w:pPr>
            <w:r>
              <w:rPr>
                <w:color w:val="2B2F36"/>
                <w:sz w:val="16"/>
              </w:rPr>
              <w:t>M</w:t>
            </w:r>
          </w:p>
        </w:tc>
        <w:tc>
          <w:tcPr>
            <w:tcW w:type="dxa" w:w="1441"/>
            <w:vAlign w:val="top"/>
          </w:tcPr>
          <w:p>
            <w:pPr>
              <w:spacing w:after="0" w:line="240" w:lineRule="auto"/>
              <w:jc w:val="center"/>
            </w:pPr>
            <w:r>
              <w:rPr>
                <w:color w:val="2B2F36"/>
                <w:sz w:val="16"/>
              </w:rPr>
              <w:t>H</w:t>
            </w:r>
          </w:p>
        </w:tc>
        <w:tc>
          <w:tcPr>
            <w:tcW w:type="dxa" w:w="1441"/>
            <w:vAlign w:val="top"/>
          </w:tcPr>
          <w:p>
            <w:pPr>
              <w:spacing w:after="0" w:line="240" w:lineRule="auto"/>
              <w:jc w:val="center"/>
            </w:pPr>
            <w:r>
              <w:rPr>
                <w:color w:val="2B2F36"/>
                <w:sz w:val="16"/>
              </w:rPr>
              <w:t>H</w:t>
            </w:r>
          </w:p>
        </w:tc>
        <w:tc>
          <w:tcPr>
            <w:tcW w:type="dxa" w:w="1108"/>
            <w:vAlign w:val="top"/>
          </w:tcPr>
          <w:p>
            <w:pPr>
              <w:spacing w:after="0" w:line="240" w:lineRule="auto"/>
              <w:jc w:val="center"/>
            </w:pPr>
            <w:r>
              <w:rPr>
                <w:color w:val="2B2F36"/>
                <w:sz w:val="16"/>
              </w:rPr>
              <w:t>M</w:t>
            </w:r>
          </w:p>
        </w:tc>
        <w:tc>
          <w:tcPr>
            <w:tcW w:type="dxa" w:w="997"/>
            <w:vAlign w:val="top"/>
          </w:tcPr>
          <w:p>
            <w:pPr>
              <w:spacing w:after="0" w:line="240" w:lineRule="auto"/>
              <w:jc w:val="center"/>
            </w:pPr>
            <w:r>
              <w:rPr>
                <w:color w:val="2B2F36"/>
                <w:sz w:val="16"/>
              </w:rPr>
              <w:t>M</w:t>
            </w:r>
          </w:p>
        </w:tc>
        <w:tc>
          <w:tcPr>
            <w:tcW w:type="dxa" w:w="1274"/>
            <w:vAlign w:val="top"/>
          </w:tcPr>
          <w:p>
            <w:pPr>
              <w:spacing w:after="0" w:line="240" w:lineRule="auto"/>
              <w:jc w:val="center"/>
            </w:pPr>
            <w:r>
              <w:rPr>
                <w:color w:val="2B2F36"/>
                <w:sz w:val="16"/>
              </w:rPr>
              <w:t>M</w:t>
            </w:r>
          </w:p>
        </w:tc>
      </w:tr>
      <w:tr>
        <w:trPr>
          <w:cantSplit/>
        </w:trPr>
        <w:tc>
          <w:tcPr>
            <w:tcW w:type="dxa" w:w="2549"/>
            <w:shd w:val="clear" w:color="auto" w:fill="F7F4EE"/>
            <w:vAlign w:val="top"/>
          </w:tcPr>
          <w:p>
            <w:pPr>
              <w:spacing w:after="0" w:line="240" w:lineRule="auto"/>
            </w:pPr>
            <w:r>
              <w:rPr>
                <w:color w:val="2B2F36"/>
                <w:sz w:val="16"/>
              </w:rPr>
              <w:t>Fire-equipment makers (ISI)</w:t>
            </w:r>
          </w:p>
        </w:tc>
        <w:tc>
          <w:tcPr>
            <w:tcW w:type="dxa" w:w="942"/>
            <w:shd w:val="clear" w:color="auto" w:fill="F7F4EE"/>
            <w:vAlign w:val="top"/>
          </w:tcPr>
          <w:p>
            <w:pPr>
              <w:spacing w:after="0" w:line="240" w:lineRule="auto"/>
              <w:jc w:val="center"/>
            </w:pPr>
            <w:r>
              <w:rPr>
                <w:color w:val="2B2F36"/>
                <w:sz w:val="16"/>
              </w:rPr>
              <w:t>M</w:t>
            </w:r>
          </w:p>
        </w:tc>
        <w:tc>
          <w:tcPr>
            <w:tcW w:type="dxa" w:w="1441"/>
            <w:shd w:val="clear" w:color="auto" w:fill="F7F4EE"/>
            <w:vAlign w:val="top"/>
          </w:tcPr>
          <w:p>
            <w:pPr>
              <w:spacing w:after="0" w:line="240" w:lineRule="auto"/>
              <w:jc w:val="center"/>
            </w:pPr>
            <w:r>
              <w:rPr>
                <w:color w:val="2B2F36"/>
                <w:sz w:val="16"/>
              </w:rPr>
              <w:t>H</w:t>
            </w:r>
          </w:p>
        </w:tc>
        <w:tc>
          <w:tcPr>
            <w:tcW w:type="dxa" w:w="1441"/>
            <w:shd w:val="clear" w:color="auto" w:fill="F7F4EE"/>
            <w:vAlign w:val="top"/>
          </w:tcPr>
          <w:p>
            <w:pPr>
              <w:spacing w:after="0" w:line="240" w:lineRule="auto"/>
              <w:jc w:val="center"/>
            </w:pPr>
            <w:r>
              <w:rPr>
                <w:color w:val="2B2F36"/>
                <w:sz w:val="16"/>
              </w:rPr>
              <w:t>H</w:t>
            </w:r>
          </w:p>
        </w:tc>
        <w:tc>
          <w:tcPr>
            <w:tcW w:type="dxa" w:w="1108"/>
            <w:shd w:val="clear" w:color="auto" w:fill="F7F4EE"/>
            <w:vAlign w:val="top"/>
          </w:tcPr>
          <w:p>
            <w:pPr>
              <w:spacing w:after="0" w:line="240" w:lineRule="auto"/>
              <w:jc w:val="center"/>
            </w:pPr>
            <w:r>
              <w:rPr>
                <w:color w:val="2B2F36"/>
                <w:sz w:val="16"/>
              </w:rPr>
              <w:t>M</w:t>
            </w:r>
          </w:p>
        </w:tc>
        <w:tc>
          <w:tcPr>
            <w:tcW w:type="dxa" w:w="997"/>
            <w:shd w:val="clear" w:color="auto" w:fill="F7F4EE"/>
            <w:vAlign w:val="top"/>
          </w:tcPr>
          <w:p>
            <w:pPr>
              <w:spacing w:after="0" w:line="240" w:lineRule="auto"/>
              <w:jc w:val="center"/>
            </w:pPr>
            <w:r>
              <w:rPr>
                <w:color w:val="2B2F36"/>
                <w:sz w:val="16"/>
              </w:rPr>
              <w:t>M</w:t>
            </w:r>
          </w:p>
        </w:tc>
        <w:tc>
          <w:tcPr>
            <w:tcW w:type="dxa" w:w="1274"/>
            <w:shd w:val="clear" w:color="auto" w:fill="F7F4EE"/>
            <w:vAlign w:val="top"/>
          </w:tcPr>
          <w:p>
            <w:pPr>
              <w:spacing w:after="0" w:line="240" w:lineRule="auto"/>
              <w:jc w:val="center"/>
            </w:pPr>
            <w:r>
              <w:rPr>
                <w:color w:val="2B2F36"/>
                <w:sz w:val="16"/>
              </w:rPr>
              <w:t>M</w:t>
            </w:r>
          </w:p>
        </w:tc>
      </w:tr>
      <w:tr>
        <w:trPr>
          <w:cantSplit/>
        </w:trPr>
        <w:tc>
          <w:tcPr>
            <w:tcW w:type="dxa" w:w="2549"/>
            <w:vAlign w:val="top"/>
          </w:tcPr>
          <w:p>
            <w:pPr>
              <w:spacing w:after="0" w:line="240" w:lineRule="auto"/>
            </w:pPr>
            <w:r>
              <w:rPr>
                <w:color w:val="2B2F36"/>
                <w:sz w:val="16"/>
              </w:rPr>
              <w:t>Bush makers</w:t>
            </w:r>
          </w:p>
        </w:tc>
        <w:tc>
          <w:tcPr>
            <w:tcW w:type="dxa" w:w="942"/>
            <w:vAlign w:val="top"/>
          </w:tcPr>
          <w:p>
            <w:pPr>
              <w:spacing w:after="0" w:line="240" w:lineRule="auto"/>
              <w:jc w:val="center"/>
            </w:pPr>
            <w:r>
              <w:rPr>
                <w:color w:val="2B2F36"/>
                <w:sz w:val="16"/>
              </w:rPr>
              <w:t>M</w:t>
            </w:r>
          </w:p>
        </w:tc>
        <w:tc>
          <w:tcPr>
            <w:tcW w:type="dxa" w:w="1441"/>
            <w:vAlign w:val="top"/>
          </w:tcPr>
          <w:p>
            <w:pPr>
              <w:spacing w:after="0" w:line="240" w:lineRule="auto"/>
              <w:jc w:val="center"/>
            </w:pPr>
            <w:r>
              <w:rPr>
                <w:color w:val="2B2F36"/>
                <w:sz w:val="16"/>
              </w:rPr>
              <w:t>H</w:t>
            </w:r>
          </w:p>
        </w:tc>
        <w:tc>
          <w:tcPr>
            <w:tcW w:type="dxa" w:w="1441"/>
            <w:vAlign w:val="top"/>
          </w:tcPr>
          <w:p>
            <w:pPr>
              <w:spacing w:after="0" w:line="240" w:lineRule="auto"/>
              <w:jc w:val="center"/>
            </w:pPr>
            <w:r>
              <w:rPr>
                <w:color w:val="2B2F36"/>
                <w:sz w:val="16"/>
              </w:rPr>
              <w:t>H</w:t>
            </w:r>
          </w:p>
        </w:tc>
        <w:tc>
          <w:tcPr>
            <w:tcW w:type="dxa" w:w="1108"/>
            <w:vAlign w:val="top"/>
          </w:tcPr>
          <w:p>
            <w:pPr>
              <w:spacing w:after="0" w:line="240" w:lineRule="auto"/>
              <w:jc w:val="center"/>
            </w:pPr>
            <w:r>
              <w:rPr>
                <w:color w:val="2B2F36"/>
                <w:sz w:val="16"/>
              </w:rPr>
              <w:t>M</w:t>
            </w:r>
          </w:p>
        </w:tc>
        <w:tc>
          <w:tcPr>
            <w:tcW w:type="dxa" w:w="997"/>
            <w:vAlign w:val="top"/>
          </w:tcPr>
          <w:p>
            <w:pPr>
              <w:spacing w:after="0" w:line="240" w:lineRule="auto"/>
              <w:jc w:val="center"/>
            </w:pPr>
            <w:r>
              <w:rPr>
                <w:color w:val="2B2F36"/>
                <w:sz w:val="16"/>
              </w:rPr>
              <w:t>H</w:t>
            </w:r>
          </w:p>
        </w:tc>
        <w:tc>
          <w:tcPr>
            <w:tcW w:type="dxa" w:w="1274"/>
            <w:vAlign w:val="top"/>
          </w:tcPr>
          <w:p>
            <w:pPr>
              <w:spacing w:after="0" w:line="240" w:lineRule="auto"/>
              <w:jc w:val="center"/>
            </w:pPr>
            <w:r>
              <w:rPr>
                <w:color w:val="2B2F36"/>
                <w:sz w:val="16"/>
              </w:rPr>
              <w:t>M</w:t>
            </w:r>
          </w:p>
        </w:tc>
      </w:tr>
      <w:tr>
        <w:trPr>
          <w:cantSplit/>
        </w:trPr>
        <w:tc>
          <w:tcPr>
            <w:tcW w:type="dxa" w:w="2549"/>
            <w:shd w:val="clear" w:color="auto" w:fill="F7F4EE"/>
            <w:vAlign w:val="top"/>
          </w:tcPr>
          <w:p>
            <w:pPr>
              <w:spacing w:after="0" w:line="240" w:lineRule="auto"/>
            </w:pPr>
            <w:r>
              <w:rPr>
                <w:color w:val="2B2F36"/>
                <w:sz w:val="16"/>
              </w:rPr>
              <w:t>Pump / valve foundries (standard)</w:t>
            </w:r>
          </w:p>
        </w:tc>
        <w:tc>
          <w:tcPr>
            <w:tcW w:type="dxa" w:w="942"/>
            <w:shd w:val="clear" w:color="auto" w:fill="F7F4EE"/>
            <w:vAlign w:val="top"/>
          </w:tcPr>
          <w:p>
            <w:pPr>
              <w:spacing w:after="0" w:line="240" w:lineRule="auto"/>
              <w:jc w:val="center"/>
            </w:pPr>
            <w:r>
              <w:rPr>
                <w:color w:val="2B2F36"/>
                <w:sz w:val="16"/>
              </w:rPr>
              <w:t>H</w:t>
            </w:r>
          </w:p>
        </w:tc>
        <w:tc>
          <w:tcPr>
            <w:tcW w:type="dxa" w:w="1441"/>
            <w:shd w:val="clear" w:color="auto" w:fill="F7F4EE"/>
            <w:vAlign w:val="top"/>
          </w:tcPr>
          <w:p>
            <w:pPr>
              <w:spacing w:after="0" w:line="240" w:lineRule="auto"/>
              <w:jc w:val="center"/>
            </w:pPr>
            <w:r>
              <w:rPr>
                <w:color w:val="2B2F36"/>
                <w:sz w:val="16"/>
              </w:rPr>
              <w:t>M</w:t>
            </w:r>
          </w:p>
        </w:tc>
        <w:tc>
          <w:tcPr>
            <w:tcW w:type="dxa" w:w="1441"/>
            <w:shd w:val="clear" w:color="auto" w:fill="F7F4EE"/>
            <w:vAlign w:val="top"/>
          </w:tcPr>
          <w:p>
            <w:pPr>
              <w:spacing w:after="0" w:line="240" w:lineRule="auto"/>
              <w:jc w:val="center"/>
            </w:pPr>
            <w:r>
              <w:rPr>
                <w:color w:val="2B2F36"/>
                <w:sz w:val="16"/>
              </w:rPr>
              <w:t>H</w:t>
            </w:r>
          </w:p>
        </w:tc>
        <w:tc>
          <w:tcPr>
            <w:tcW w:type="dxa" w:w="1108"/>
            <w:shd w:val="clear" w:color="auto" w:fill="F7F4EE"/>
            <w:vAlign w:val="top"/>
          </w:tcPr>
          <w:p>
            <w:pPr>
              <w:spacing w:after="0" w:line="240" w:lineRule="auto"/>
              <w:jc w:val="center"/>
            </w:pPr>
            <w:r>
              <w:rPr>
                <w:color w:val="2B2F36"/>
                <w:sz w:val="16"/>
              </w:rPr>
              <w:t>M</w:t>
            </w:r>
          </w:p>
        </w:tc>
        <w:tc>
          <w:tcPr>
            <w:tcW w:type="dxa" w:w="997"/>
            <w:shd w:val="clear" w:color="auto" w:fill="F7F4EE"/>
            <w:vAlign w:val="top"/>
          </w:tcPr>
          <w:p>
            <w:pPr>
              <w:spacing w:after="0" w:line="240" w:lineRule="auto"/>
              <w:jc w:val="center"/>
            </w:pPr>
            <w:r>
              <w:rPr>
                <w:color w:val="2B2F36"/>
                <w:sz w:val="16"/>
              </w:rPr>
              <w:t>H</w:t>
            </w:r>
          </w:p>
        </w:tc>
        <w:tc>
          <w:tcPr>
            <w:tcW w:type="dxa" w:w="1274"/>
            <w:shd w:val="clear" w:color="auto" w:fill="F7F4EE"/>
            <w:vAlign w:val="top"/>
          </w:tcPr>
          <w:p>
            <w:pPr>
              <w:spacing w:after="0" w:line="240" w:lineRule="auto"/>
              <w:jc w:val="center"/>
            </w:pPr>
            <w:r>
              <w:rPr>
                <w:color w:val="2B2F36"/>
                <w:sz w:val="16"/>
              </w:rPr>
              <w:t>L</w:t>
            </w:r>
          </w:p>
        </w:tc>
      </w:tr>
      <w:tr>
        <w:trPr>
          <w:cantSplit/>
        </w:trPr>
        <w:tc>
          <w:tcPr>
            <w:tcW w:type="dxa" w:w="2549"/>
            <w:vAlign w:val="top"/>
          </w:tcPr>
          <w:p>
            <w:pPr>
              <w:spacing w:after="0" w:line="240" w:lineRule="auto"/>
            </w:pPr>
            <w:r>
              <w:rPr>
                <w:color w:val="2B2F36"/>
                <w:sz w:val="16"/>
              </w:rPr>
              <w:t>Plumbing and hardware casters</w:t>
            </w:r>
          </w:p>
        </w:tc>
        <w:tc>
          <w:tcPr>
            <w:tcW w:type="dxa" w:w="942"/>
            <w:vAlign w:val="top"/>
          </w:tcPr>
          <w:p>
            <w:pPr>
              <w:spacing w:after="0" w:line="240" w:lineRule="auto"/>
              <w:jc w:val="center"/>
            </w:pPr>
            <w:r>
              <w:rPr>
                <w:color w:val="2B2F36"/>
                <w:sz w:val="16"/>
              </w:rPr>
              <w:t>H</w:t>
            </w:r>
          </w:p>
        </w:tc>
        <w:tc>
          <w:tcPr>
            <w:tcW w:type="dxa" w:w="1441"/>
            <w:vAlign w:val="top"/>
          </w:tcPr>
          <w:p>
            <w:pPr>
              <w:spacing w:after="0" w:line="240" w:lineRule="auto"/>
              <w:jc w:val="center"/>
            </w:pPr>
            <w:r>
              <w:rPr>
                <w:color w:val="2B2F36"/>
                <w:sz w:val="16"/>
              </w:rPr>
              <w:t>L</w:t>
            </w:r>
          </w:p>
        </w:tc>
        <w:tc>
          <w:tcPr>
            <w:tcW w:type="dxa" w:w="1441"/>
            <w:vAlign w:val="top"/>
          </w:tcPr>
          <w:p>
            <w:pPr>
              <w:spacing w:after="0" w:line="240" w:lineRule="auto"/>
              <w:jc w:val="center"/>
            </w:pPr>
            <w:r>
              <w:rPr>
                <w:color w:val="2B2F36"/>
                <w:sz w:val="16"/>
              </w:rPr>
              <w:t>L</w:t>
            </w:r>
          </w:p>
        </w:tc>
        <w:tc>
          <w:tcPr>
            <w:tcW w:type="dxa" w:w="1108"/>
            <w:vAlign w:val="top"/>
          </w:tcPr>
          <w:p>
            <w:pPr>
              <w:spacing w:after="0" w:line="240" w:lineRule="auto"/>
              <w:jc w:val="center"/>
            </w:pPr>
            <w:r>
              <w:rPr>
                <w:color w:val="2B2F36"/>
                <w:sz w:val="16"/>
              </w:rPr>
              <w:t>H</w:t>
            </w:r>
          </w:p>
        </w:tc>
        <w:tc>
          <w:tcPr>
            <w:tcW w:type="dxa" w:w="997"/>
            <w:vAlign w:val="top"/>
          </w:tcPr>
          <w:p>
            <w:pPr>
              <w:spacing w:after="0" w:line="240" w:lineRule="auto"/>
              <w:jc w:val="center"/>
            </w:pPr>
            <w:r>
              <w:rPr>
                <w:color w:val="2B2F36"/>
                <w:sz w:val="16"/>
              </w:rPr>
              <w:t>M</w:t>
            </w:r>
          </w:p>
        </w:tc>
        <w:tc>
          <w:tcPr>
            <w:tcW w:type="dxa" w:w="1274"/>
            <w:vAlign w:val="top"/>
          </w:tcPr>
          <w:p>
            <w:pPr>
              <w:spacing w:after="0" w:line="240" w:lineRule="auto"/>
              <w:jc w:val="center"/>
            </w:pPr>
            <w:r>
              <w:rPr>
                <w:color w:val="2B2F36"/>
                <w:sz w:val="16"/>
              </w:rPr>
              <w:t>L</w:t>
            </w:r>
          </w:p>
        </w:tc>
      </w:tr>
    </w:tbl>
    <w:p>
      <w:pPr>
        <w:spacing w:after="40"/>
      </w:pPr>
    </w:p>
    <w:p>
      <w:r>
        <w:t>The segments that value certification most (export foundries, fire-equipment makers, bush makers) are the ones remelters cannot serve. Sell there first.</w:t>
      </w:r>
    </w:p>
    <w:p>
      <w:pPr>
        <w:pStyle w:val="Heading1"/>
      </w:pPr>
      <w:r>
        <w:t>12. External environment: PESTLE</w:t>
      </w:r>
    </w:p>
    <w:p>
      <w:r>
        <w:t xml:space="preserve">Each factor is scored from −3 (serious threat) to +3 (strong opportunity) for its effect on Bajaj over the next two to three years. Scores are judgement. Dated facts below are carried over from Rev 5; the tariff and trade-deal items were </w:t>
      </w:r>
      <w:r>
        <w:rPr>
          <w:b/>
        </w:rPr>
        <w:t>not re-verified</w:t>
      </w:r>
      <w:r>
        <w:t xml:space="preserve"> in Rev 6.</w:t>
      </w:r>
    </w:p>
    <w:p>
      <w:pPr>
        <w:keepNext/>
        <w:spacing w:after="40"/>
        <w:jc w:val="center"/>
      </w:pPr>
      <w:r>
        <w:drawing>
          <wp:inline xmlns:a="http://schemas.openxmlformats.org/drawingml/2006/main" xmlns:pic="http://schemas.openxmlformats.org/drawingml/2006/picture">
            <wp:extent cx="5220000" cy="3509039"/>
            <wp:docPr id="35" name="Picture 35"/>
            <wp:cNvGraphicFramePr>
              <a:graphicFrameLocks noChangeAspect="1"/>
            </wp:cNvGraphicFramePr>
            <a:graphic>
              <a:graphicData uri="http://schemas.openxmlformats.org/drawingml/2006/picture">
                <pic:pic>
                  <pic:nvPicPr>
                    <pic:cNvPr id="0" name="d17.png"/>
                    <pic:cNvPicPr/>
                  </pic:nvPicPr>
                  <pic:blipFill>
                    <a:blip r:embed="rId45"/>
                    <a:stretch>
                      <a:fillRect/>
                    </a:stretch>
                  </pic:blipFill>
                  <pic:spPr>
                    <a:xfrm>
                      <a:off x="0" y="0"/>
                      <a:ext cx="5220000" cy="3509039"/>
                    </a:xfrm>
                    <a:prstGeom prst="rect"/>
                  </pic:spPr>
                </pic:pic>
              </a:graphicData>
            </a:graphic>
          </wp:inline>
        </w:drawing>
      </w:r>
    </w:p>
    <w:p>
      <w:pPr>
        <w:spacing w:after="160"/>
      </w:pPr>
      <w:r>
        <w:rPr>
          <w:b/>
          <w:color w:val="5B6470"/>
          <w:sz w:val="17"/>
        </w:rPr>
        <w:t>Figure 35.</w:t>
      </w:r>
      <w:r>
        <w:rPr>
          <w:color w:val="5B6470"/>
          <w:sz w:val="17"/>
        </w:rPr>
        <w:t xml:space="preserve"> PESTLE impact scores. Net −6 on 20 factors. Biggest threat: US tariffs; biggest opportunities: public capex, India–EU FTA, farm-machinery demand and the weak-rupee boost for exporters.</w:t>
      </w:r>
    </w:p>
    <w:p>
      <w:pPr>
        <w:keepNext/>
        <w:spacing w:after="40"/>
      </w:pPr>
      <w:r>
        <w:rPr>
          <w:b/>
          <w:color w:val="5B6470"/>
          <w:sz w:val="18"/>
        </w:rPr>
        <w:t>Table 32.</w:t>
      </w:r>
      <w:r>
        <w:rPr>
          <w:color w:val="5B6470"/>
          <w:sz w:val="18"/>
        </w:rPr>
        <w:t xml:space="preserve"> PESTLE factors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410"/>
        <w:gridCol w:w="3759"/>
        <w:gridCol w:w="3877"/>
        <w:gridCol w:w="705"/>
      </w:tblGrid>
      <w:tr>
        <w:trPr>
          <w:cantSplit/>
          <w:tblHeader/>
        </w:trPr>
        <w:tc>
          <w:tcPr>
            <w:tcW w:type="dxa" w:w="1410"/>
            <w:shd w:val="clear" w:color="auto" w:fill="1F4E79"/>
            <w:vAlign w:val="center"/>
          </w:tcPr>
          <w:p>
            <w:pPr>
              <w:spacing w:after="0" w:line="240" w:lineRule="auto"/>
            </w:pPr>
            <w:r>
              <w:rPr>
                <w:b/>
                <w:color w:val="FFFFFF"/>
                <w:sz w:val="16"/>
              </w:rPr>
              <w:t>Factor</w:t>
            </w:r>
          </w:p>
        </w:tc>
        <w:tc>
          <w:tcPr>
            <w:tcW w:type="dxa" w:w="3759"/>
            <w:shd w:val="clear" w:color="auto" w:fill="1F4E79"/>
            <w:vAlign w:val="center"/>
          </w:tcPr>
          <w:p>
            <w:pPr>
              <w:spacing w:after="0" w:line="240" w:lineRule="auto"/>
            </w:pPr>
            <w:r>
              <w:rPr>
                <w:b/>
                <w:color w:val="FFFFFF"/>
                <w:sz w:val="16"/>
              </w:rPr>
              <w:t>Development</w:t>
            </w:r>
          </w:p>
        </w:tc>
        <w:tc>
          <w:tcPr>
            <w:tcW w:type="dxa" w:w="3877"/>
            <w:shd w:val="clear" w:color="auto" w:fill="1F4E79"/>
            <w:vAlign w:val="center"/>
          </w:tcPr>
          <w:p>
            <w:pPr>
              <w:spacing w:after="0" w:line="240" w:lineRule="auto"/>
            </w:pPr>
            <w:r>
              <w:rPr>
                <w:b/>
                <w:color w:val="FFFFFF"/>
                <w:sz w:val="16"/>
              </w:rPr>
              <w:t>Effect on Bajaj</w:t>
            </w:r>
          </w:p>
        </w:tc>
        <w:tc>
          <w:tcPr>
            <w:tcW w:type="dxa" w:w="705"/>
            <w:shd w:val="clear" w:color="auto" w:fill="1F4E79"/>
            <w:vAlign w:val="center"/>
          </w:tcPr>
          <w:p>
            <w:pPr>
              <w:spacing w:after="0" w:line="240" w:lineRule="auto"/>
            </w:pPr>
            <w:r>
              <w:rPr>
                <w:b/>
                <w:color w:val="FFFFFF"/>
                <w:sz w:val="16"/>
              </w:rPr>
              <w:t>Score</w:t>
            </w:r>
          </w:p>
        </w:tc>
      </w:tr>
      <w:tr>
        <w:trPr>
          <w:cantSplit/>
        </w:trPr>
        <w:tc>
          <w:tcPr>
            <w:tcW w:type="dxa" w:w="1410"/>
            <w:vAlign w:val="top"/>
          </w:tcPr>
          <w:p>
            <w:pPr>
              <w:spacing w:after="0" w:line="240" w:lineRule="auto"/>
            </w:pPr>
            <w:r>
              <w:rPr>
                <w:color w:val="2B2F36"/>
                <w:sz w:val="16"/>
              </w:rPr>
              <w:t>Political</w:t>
            </w:r>
          </w:p>
        </w:tc>
        <w:tc>
          <w:tcPr>
            <w:tcW w:type="dxa" w:w="3759"/>
            <w:vAlign w:val="top"/>
          </w:tcPr>
          <w:p>
            <w:pPr>
              <w:spacing w:after="0" w:line="240" w:lineRule="auto"/>
            </w:pPr>
            <w:r>
              <w:rPr>
                <w:color w:val="2B2F36"/>
                <w:sz w:val="16"/>
              </w:rPr>
              <w:t>US tariffs on Indian goods: 50 % (Aug 2025), about 18 % after the Feb 2026 interim deal, plus a 10 % Section 301 duty on many lines from July 2026 (not re-verified)</w:t>
            </w:r>
          </w:p>
        </w:tc>
        <w:tc>
          <w:tcPr>
            <w:tcW w:type="dxa" w:w="3877"/>
            <w:vAlign w:val="top"/>
          </w:tcPr>
          <w:p>
            <w:pPr>
              <w:spacing w:after="0" w:line="240" w:lineRule="auto"/>
            </w:pPr>
            <w:r>
              <w:rPr>
                <w:color w:val="2B2F36"/>
                <w:sz w:val="16"/>
              </w:rPr>
              <w:t>The USA buys about a quarter of India's pump and valve exports; customers' order books swing with tariff news</w:t>
            </w:r>
          </w:p>
        </w:tc>
        <w:tc>
          <w:tcPr>
            <w:tcW w:type="dxa" w:w="705"/>
            <w:vAlign w:val="top"/>
          </w:tcPr>
          <w:p>
            <w:pPr>
              <w:spacing w:after="0" w:line="240" w:lineRule="auto"/>
              <w:jc w:val="center"/>
            </w:pPr>
            <w:r>
              <w:rPr>
                <w:color w:val="2B2F36"/>
                <w:sz w:val="16"/>
              </w:rPr>
              <w:t>−3</w:t>
            </w:r>
          </w:p>
        </w:tc>
      </w:tr>
      <w:tr>
        <w:trPr>
          <w:cantSplit/>
        </w:trPr>
        <w:tc>
          <w:tcPr>
            <w:tcW w:type="dxa" w:w="1410"/>
            <w:shd w:val="clear" w:color="auto" w:fill="F7F4EE"/>
            <w:vAlign w:val="top"/>
          </w:tcPr>
          <w:p>
            <w:pPr>
              <w:spacing w:after="0" w:line="240" w:lineRule="auto"/>
            </w:pPr>
            <w:r>
              <w:rPr>
                <w:color w:val="2B2F36"/>
                <w:sz w:val="16"/>
              </w:rPr>
              <w:t>Political</w:t>
            </w:r>
          </w:p>
        </w:tc>
        <w:tc>
          <w:tcPr>
            <w:tcW w:type="dxa" w:w="3759"/>
            <w:shd w:val="clear" w:color="auto" w:fill="F7F4EE"/>
            <w:vAlign w:val="top"/>
          </w:tcPr>
          <w:p>
            <w:pPr>
              <w:spacing w:after="0" w:line="240" w:lineRule="auto"/>
            </w:pPr>
            <w:r>
              <w:rPr>
                <w:color w:val="2B2F36"/>
                <w:sz w:val="16"/>
              </w:rPr>
              <w:t>India–EU FTA concluded 27 Jan 2026; entry into force targeted for early 2027</w:t>
            </w:r>
          </w:p>
        </w:tc>
        <w:tc>
          <w:tcPr>
            <w:tcW w:type="dxa" w:w="3877"/>
            <w:shd w:val="clear" w:color="auto" w:fill="F7F4EE"/>
            <w:vAlign w:val="top"/>
          </w:tcPr>
          <w:p>
            <w:pPr>
              <w:spacing w:after="0" w:line="240" w:lineRule="auto"/>
            </w:pPr>
            <w:r>
              <w:rPr>
                <w:color w:val="2B2F36"/>
                <w:sz w:val="16"/>
              </w:rPr>
              <w:t>Lower EU duties help pump, valve and bush exporters</w:t>
            </w:r>
          </w:p>
        </w:tc>
        <w:tc>
          <w:tcPr>
            <w:tcW w:type="dxa" w:w="705"/>
            <w:shd w:val="clear" w:color="auto" w:fill="F7F4EE"/>
            <w:vAlign w:val="top"/>
          </w:tcPr>
          <w:p>
            <w:pPr>
              <w:spacing w:after="0" w:line="240" w:lineRule="auto"/>
              <w:jc w:val="center"/>
            </w:pPr>
            <w:r>
              <w:rPr>
                <w:color w:val="2B2F36"/>
                <w:sz w:val="16"/>
              </w:rPr>
              <w:t>+2</w:t>
            </w:r>
          </w:p>
        </w:tc>
      </w:tr>
      <w:tr>
        <w:trPr>
          <w:cantSplit/>
        </w:trPr>
        <w:tc>
          <w:tcPr>
            <w:tcW w:type="dxa" w:w="1410"/>
            <w:vAlign w:val="top"/>
          </w:tcPr>
          <w:p>
            <w:pPr>
              <w:spacing w:after="0" w:line="240" w:lineRule="auto"/>
            </w:pPr>
            <w:r>
              <w:rPr>
                <w:color w:val="2B2F36"/>
                <w:sz w:val="16"/>
              </w:rPr>
              <w:t>Political</w:t>
            </w:r>
          </w:p>
        </w:tc>
        <w:tc>
          <w:tcPr>
            <w:tcW w:type="dxa" w:w="3759"/>
            <w:vAlign w:val="top"/>
          </w:tcPr>
          <w:p>
            <w:pPr>
              <w:spacing w:after="0" w:line="240" w:lineRule="auto"/>
            </w:pPr>
            <w:r>
              <w:rPr>
                <w:color w:val="2B2F36"/>
                <w:sz w:val="16"/>
              </w:rPr>
              <w:t>Record public capex: railways ₹2.93 lakh crore (FY27); Jal Jeevan Mission to Dec 2028; ₹69,725 crore shipbuilding package; PM-KUSUM to Mar 2027</w:t>
            </w:r>
          </w:p>
        </w:tc>
        <w:tc>
          <w:tcPr>
            <w:tcW w:type="dxa" w:w="3877"/>
            <w:vAlign w:val="top"/>
          </w:tcPr>
          <w:p>
            <w:pPr>
              <w:spacing w:after="0" w:line="240" w:lineRule="auto"/>
            </w:pPr>
            <w:r>
              <w:rPr>
                <w:color w:val="2B2F36"/>
                <w:sz w:val="16"/>
              </w:rPr>
              <w:t>Steady demand for pump, valve, railway and marine castings</w:t>
            </w:r>
          </w:p>
        </w:tc>
        <w:tc>
          <w:tcPr>
            <w:tcW w:type="dxa" w:w="705"/>
            <w:vAlign w:val="top"/>
          </w:tcPr>
          <w:p>
            <w:pPr>
              <w:spacing w:after="0" w:line="240" w:lineRule="auto"/>
              <w:jc w:val="center"/>
            </w:pPr>
            <w:r>
              <w:rPr>
                <w:color w:val="2B2F36"/>
                <w:sz w:val="16"/>
              </w:rPr>
              <w:t>+2</w:t>
            </w:r>
          </w:p>
        </w:tc>
      </w:tr>
      <w:tr>
        <w:trPr>
          <w:cantSplit/>
        </w:trPr>
        <w:tc>
          <w:tcPr>
            <w:tcW w:type="dxa" w:w="1410"/>
            <w:shd w:val="clear" w:color="auto" w:fill="F7F4EE"/>
            <w:vAlign w:val="top"/>
          </w:tcPr>
          <w:p>
            <w:pPr>
              <w:spacing w:after="0" w:line="240" w:lineRule="auto"/>
            </w:pPr>
            <w:r>
              <w:rPr>
                <w:color w:val="2B2F36"/>
                <w:sz w:val="16"/>
              </w:rPr>
              <w:t>Economic</w:t>
            </w:r>
          </w:p>
        </w:tc>
        <w:tc>
          <w:tcPr>
            <w:tcW w:type="dxa" w:w="3759"/>
            <w:shd w:val="clear" w:color="auto" w:fill="F7F4EE"/>
            <w:vAlign w:val="top"/>
          </w:tcPr>
          <w:p>
            <w:pPr>
              <w:spacing w:after="0" w:line="240" w:lineRule="auto"/>
            </w:pPr>
            <w:r>
              <w:rPr>
                <w:color w:val="2B2F36"/>
                <w:sz w:val="16"/>
              </w:rPr>
              <w:t>LME copper US$ 14,335/t, tin US$ 54,400/t (1 Oct 2026); tin +29 % in 2026</w:t>
            </w:r>
          </w:p>
        </w:tc>
        <w:tc>
          <w:tcPr>
            <w:tcW w:type="dxa" w:w="3877"/>
            <w:shd w:val="clear" w:color="auto" w:fill="F7F4EE"/>
            <w:vAlign w:val="top"/>
          </w:tcPr>
          <w:p>
            <w:pPr>
              <w:spacing w:after="0" w:line="240" w:lineRule="auto"/>
            </w:pPr>
            <w:r>
              <w:rPr>
                <w:color w:val="2B2F36"/>
                <w:sz w:val="16"/>
              </w:rPr>
              <w:t>More working capital; buyers resist price rises; formula pricing essential</w:t>
            </w:r>
          </w:p>
        </w:tc>
        <w:tc>
          <w:tcPr>
            <w:tcW w:type="dxa" w:w="705"/>
            <w:shd w:val="clear" w:color="auto" w:fill="F7F4EE"/>
            <w:vAlign w:val="top"/>
          </w:tcPr>
          <w:p>
            <w:pPr>
              <w:spacing w:after="0" w:line="240" w:lineRule="auto"/>
              <w:jc w:val="center"/>
            </w:pPr>
            <w:r>
              <w:rPr>
                <w:color w:val="2B2F36"/>
                <w:sz w:val="16"/>
              </w:rPr>
              <w:t>−2</w:t>
            </w:r>
          </w:p>
        </w:tc>
      </w:tr>
      <w:tr>
        <w:trPr>
          <w:cantSplit/>
        </w:trPr>
        <w:tc>
          <w:tcPr>
            <w:tcW w:type="dxa" w:w="1410"/>
            <w:vAlign w:val="top"/>
          </w:tcPr>
          <w:p>
            <w:pPr>
              <w:spacing w:after="0" w:line="240" w:lineRule="auto"/>
            </w:pPr>
            <w:r>
              <w:rPr>
                <w:color w:val="2B2F36"/>
                <w:sz w:val="16"/>
              </w:rPr>
              <w:t>Economic (imports)</w:t>
            </w:r>
          </w:p>
        </w:tc>
        <w:tc>
          <w:tcPr>
            <w:tcW w:type="dxa" w:w="3759"/>
            <w:vAlign w:val="top"/>
          </w:tcPr>
          <w:p>
            <w:pPr>
              <w:spacing w:after="0" w:line="240" w:lineRule="auto"/>
            </w:pPr>
            <w:r>
              <w:rPr>
                <w:color w:val="2B2F36"/>
                <w:sz w:val="16"/>
              </w:rPr>
              <w:t>Rupee ₹96.18/US$ against ≈ ₹90.7 in January; tin almost entirely imported</w:t>
            </w:r>
          </w:p>
        </w:tc>
        <w:tc>
          <w:tcPr>
            <w:tcW w:type="dxa" w:w="3877"/>
            <w:vAlign w:val="top"/>
          </w:tcPr>
          <w:p>
            <w:pPr>
              <w:spacing w:after="0" w:line="240" w:lineRule="auto"/>
            </w:pPr>
            <w:r>
              <w:rPr>
                <w:color w:val="2B2F36"/>
                <w:sz w:val="16"/>
              </w:rPr>
              <w:t>Every ₹1/US$ adds ≈ ₹15/kg to CC491K metal value; a 5 % rupee fall adds ≈ ₹73/kg</w:t>
            </w:r>
          </w:p>
        </w:tc>
        <w:tc>
          <w:tcPr>
            <w:tcW w:type="dxa" w:w="705"/>
            <w:vAlign w:val="top"/>
          </w:tcPr>
          <w:p>
            <w:pPr>
              <w:spacing w:after="0" w:line="240" w:lineRule="auto"/>
              <w:jc w:val="center"/>
            </w:pPr>
            <w:r>
              <w:rPr>
                <w:color w:val="2B2F36"/>
                <w:sz w:val="16"/>
              </w:rPr>
              <w:t>−2</w:t>
            </w:r>
          </w:p>
        </w:tc>
      </w:tr>
      <w:tr>
        <w:trPr>
          <w:cantSplit/>
        </w:trPr>
        <w:tc>
          <w:tcPr>
            <w:tcW w:type="dxa" w:w="1410"/>
            <w:shd w:val="clear" w:color="auto" w:fill="F7F4EE"/>
            <w:vAlign w:val="top"/>
          </w:tcPr>
          <w:p>
            <w:pPr>
              <w:spacing w:after="0" w:line="240" w:lineRule="auto"/>
            </w:pPr>
            <w:r>
              <w:rPr>
                <w:color w:val="2B2F36"/>
                <w:sz w:val="16"/>
              </w:rPr>
              <w:t>Economic (exports)</w:t>
            </w:r>
          </w:p>
        </w:tc>
        <w:tc>
          <w:tcPr>
            <w:tcW w:type="dxa" w:w="3759"/>
            <w:shd w:val="clear" w:color="auto" w:fill="F7F4EE"/>
            <w:vAlign w:val="top"/>
          </w:tcPr>
          <w:p>
            <w:pPr>
              <w:spacing w:after="0" w:line="240" w:lineRule="auto"/>
            </w:pPr>
            <w:r>
              <w:rPr>
                <w:color w:val="2B2F36"/>
                <w:sz w:val="16"/>
              </w:rPr>
              <w:t>Same weak rupee earns exporters more rupees per dollar</w:t>
            </w:r>
          </w:p>
        </w:tc>
        <w:tc>
          <w:tcPr>
            <w:tcW w:type="dxa" w:w="3877"/>
            <w:shd w:val="clear" w:color="auto" w:fill="F7F4EE"/>
            <w:vAlign w:val="top"/>
          </w:tcPr>
          <w:p>
            <w:pPr>
              <w:spacing w:after="0" w:line="240" w:lineRule="auto"/>
            </w:pPr>
            <w:r>
              <w:rPr>
                <w:color w:val="2B2F36"/>
                <w:sz w:val="16"/>
              </w:rPr>
              <w:t>Exporting customers win orders and buy more ingot</w:t>
            </w:r>
          </w:p>
        </w:tc>
        <w:tc>
          <w:tcPr>
            <w:tcW w:type="dxa" w:w="705"/>
            <w:shd w:val="clear" w:color="auto" w:fill="F7F4EE"/>
            <w:vAlign w:val="top"/>
          </w:tcPr>
          <w:p>
            <w:pPr>
              <w:spacing w:after="0" w:line="240" w:lineRule="auto"/>
              <w:jc w:val="center"/>
            </w:pPr>
            <w:r>
              <w:rPr>
                <w:color w:val="2B2F36"/>
                <w:sz w:val="16"/>
              </w:rPr>
              <w:t>+2</w:t>
            </w:r>
          </w:p>
        </w:tc>
      </w:tr>
      <w:tr>
        <w:trPr>
          <w:cantSplit/>
        </w:trPr>
        <w:tc>
          <w:tcPr>
            <w:tcW w:type="dxa" w:w="1410"/>
            <w:vAlign w:val="top"/>
          </w:tcPr>
          <w:p>
            <w:pPr>
              <w:spacing w:after="0" w:line="240" w:lineRule="auto"/>
            </w:pPr>
            <w:r>
              <w:rPr>
                <w:color w:val="2B2F36"/>
                <w:sz w:val="16"/>
              </w:rPr>
              <w:t>Economic</w:t>
            </w:r>
          </w:p>
        </w:tc>
        <w:tc>
          <w:tcPr>
            <w:tcW w:type="dxa" w:w="3759"/>
            <w:vAlign w:val="top"/>
          </w:tcPr>
          <w:p>
            <w:pPr>
              <w:spacing w:after="0" w:line="240" w:lineRule="auto"/>
            </w:pPr>
            <w:r>
              <w:rPr>
                <w:color w:val="2B2F36"/>
                <w:sz w:val="16"/>
              </w:rPr>
              <w:t>Tractor sales record 11.6 lakh (FY26, +23 %); foundry market forecast +9.4 %/yr to 2029</w:t>
            </w:r>
          </w:p>
        </w:tc>
        <w:tc>
          <w:tcPr>
            <w:tcW w:type="dxa" w:w="3877"/>
            <w:vAlign w:val="top"/>
          </w:tcPr>
          <w:p>
            <w:pPr>
              <w:spacing w:after="0" w:line="240" w:lineRule="auto"/>
            </w:pPr>
            <w:r>
              <w:rPr>
                <w:color w:val="2B2F36"/>
                <w:sz w:val="16"/>
              </w:rPr>
              <w:t>More demand for bushes, hydraulic parts and castings</w:t>
            </w:r>
          </w:p>
        </w:tc>
        <w:tc>
          <w:tcPr>
            <w:tcW w:type="dxa" w:w="705"/>
            <w:vAlign w:val="top"/>
          </w:tcPr>
          <w:p>
            <w:pPr>
              <w:spacing w:after="0" w:line="240" w:lineRule="auto"/>
              <w:jc w:val="center"/>
            </w:pPr>
            <w:r>
              <w:rPr>
                <w:color w:val="2B2F36"/>
                <w:sz w:val="16"/>
              </w:rPr>
              <w:t>+2</w:t>
            </w:r>
          </w:p>
        </w:tc>
      </w:tr>
      <w:tr>
        <w:trPr>
          <w:cantSplit/>
        </w:trPr>
        <w:tc>
          <w:tcPr>
            <w:tcW w:type="dxa" w:w="1410"/>
            <w:shd w:val="clear" w:color="auto" w:fill="F7F4EE"/>
            <w:vAlign w:val="top"/>
          </w:tcPr>
          <w:p>
            <w:pPr>
              <w:spacing w:after="0" w:line="240" w:lineRule="auto"/>
            </w:pPr>
            <w:r>
              <w:rPr>
                <w:color w:val="2B2F36"/>
                <w:sz w:val="16"/>
              </w:rPr>
              <w:t>Social</w:t>
            </w:r>
          </w:p>
        </w:tc>
        <w:tc>
          <w:tcPr>
            <w:tcW w:type="dxa" w:w="3759"/>
            <w:shd w:val="clear" w:color="auto" w:fill="F7F4EE"/>
            <w:vAlign w:val="top"/>
          </w:tcPr>
          <w:p>
            <w:pPr>
              <w:spacing w:after="0" w:line="240" w:lineRule="auto"/>
            </w:pPr>
            <w:r>
              <w:rPr>
                <w:color w:val="2B2F36"/>
                <w:sz w:val="16"/>
              </w:rPr>
              <w:t>More high-rise buildings, metros, stricter fire-code enforcement</w:t>
            </w:r>
          </w:p>
        </w:tc>
        <w:tc>
          <w:tcPr>
            <w:tcW w:type="dxa" w:w="3877"/>
            <w:shd w:val="clear" w:color="auto" w:fill="F7F4EE"/>
            <w:vAlign w:val="top"/>
          </w:tcPr>
          <w:p>
            <w:pPr>
              <w:spacing w:after="0" w:line="240" w:lineRule="auto"/>
            </w:pPr>
            <w:r>
              <w:rPr>
                <w:color w:val="2B2F36"/>
                <w:sz w:val="16"/>
              </w:rPr>
              <w:t>Supports fire-pump, hydrant-valve and fire-hardware castings</w:t>
            </w:r>
          </w:p>
        </w:tc>
        <w:tc>
          <w:tcPr>
            <w:tcW w:type="dxa" w:w="705"/>
            <w:shd w:val="clear" w:color="auto" w:fill="F7F4EE"/>
            <w:vAlign w:val="top"/>
          </w:tcPr>
          <w:p>
            <w:pPr>
              <w:spacing w:after="0" w:line="240" w:lineRule="auto"/>
              <w:jc w:val="center"/>
            </w:pPr>
            <w:r>
              <w:rPr>
                <w:color w:val="2B2F36"/>
                <w:sz w:val="16"/>
              </w:rPr>
              <w:t>+1</w:t>
            </w:r>
          </w:p>
        </w:tc>
      </w:tr>
      <w:tr>
        <w:trPr>
          <w:cantSplit/>
        </w:trPr>
        <w:tc>
          <w:tcPr>
            <w:tcW w:type="dxa" w:w="1410"/>
            <w:vAlign w:val="top"/>
          </w:tcPr>
          <w:p>
            <w:pPr>
              <w:spacing w:after="0" w:line="240" w:lineRule="auto"/>
            </w:pPr>
            <w:r>
              <w:rPr>
                <w:color w:val="2B2F36"/>
                <w:sz w:val="16"/>
              </w:rPr>
              <w:t>Social</w:t>
            </w:r>
          </w:p>
        </w:tc>
        <w:tc>
          <w:tcPr>
            <w:tcW w:type="dxa" w:w="3759"/>
            <w:vAlign w:val="top"/>
          </w:tcPr>
          <w:p>
            <w:pPr>
              <w:spacing w:after="0" w:line="240" w:lineRule="auto"/>
            </w:pPr>
            <w:r>
              <w:rPr>
                <w:color w:val="2B2F36"/>
                <w:sz w:val="16"/>
              </w:rPr>
              <w:t>Experienced melters and moulders are scarce</w:t>
            </w:r>
          </w:p>
        </w:tc>
        <w:tc>
          <w:tcPr>
            <w:tcW w:type="dxa" w:w="3877"/>
            <w:vAlign w:val="top"/>
          </w:tcPr>
          <w:p>
            <w:pPr>
              <w:spacing w:after="0" w:line="240" w:lineRule="auto"/>
            </w:pPr>
            <w:r>
              <w:rPr>
                <w:color w:val="2B2F36"/>
                <w:sz w:val="16"/>
              </w:rPr>
              <w:t>Raises Bajaj's skill need, but makes consistent ingot more valuable</w:t>
            </w:r>
          </w:p>
        </w:tc>
        <w:tc>
          <w:tcPr>
            <w:tcW w:type="dxa" w:w="705"/>
            <w:vAlign w:val="top"/>
          </w:tcPr>
          <w:p>
            <w:pPr>
              <w:spacing w:after="0" w:line="240" w:lineRule="auto"/>
              <w:jc w:val="center"/>
            </w:pPr>
            <w:r>
              <w:rPr>
                <w:color w:val="2B2F36"/>
                <w:sz w:val="16"/>
              </w:rPr>
              <w:t>−1</w:t>
            </w:r>
          </w:p>
        </w:tc>
      </w:tr>
      <w:tr>
        <w:trPr>
          <w:cantSplit/>
        </w:trPr>
        <w:tc>
          <w:tcPr>
            <w:tcW w:type="dxa" w:w="1410"/>
            <w:shd w:val="clear" w:color="auto" w:fill="F7F4EE"/>
            <w:vAlign w:val="top"/>
          </w:tcPr>
          <w:p>
            <w:pPr>
              <w:spacing w:after="0" w:line="240" w:lineRule="auto"/>
            </w:pPr>
            <w:r>
              <w:rPr>
                <w:color w:val="2B2F36"/>
                <w:sz w:val="16"/>
              </w:rPr>
              <w:t>Technological</w:t>
            </w:r>
          </w:p>
        </w:tc>
        <w:tc>
          <w:tcPr>
            <w:tcW w:type="dxa" w:w="3759"/>
            <w:shd w:val="clear" w:color="auto" w:fill="F7F4EE"/>
            <w:vAlign w:val="top"/>
          </w:tcPr>
          <w:p>
            <w:pPr>
              <w:spacing w:after="0" w:line="240" w:lineRule="auto"/>
            </w:pPr>
            <w:r>
              <w:rPr>
                <w:color w:val="2B2F36"/>
                <w:sz w:val="16"/>
              </w:rPr>
              <w:t>Bismuth/silicon bronzes and low-lead gunmetal (CC499K type) replace leaded grades in potable water</w:t>
            </w:r>
          </w:p>
        </w:tc>
        <w:tc>
          <w:tcPr>
            <w:tcW w:type="dxa" w:w="3877"/>
            <w:shd w:val="clear" w:color="auto" w:fill="F7F4EE"/>
            <w:vAlign w:val="top"/>
          </w:tcPr>
          <w:p>
            <w:pPr>
              <w:spacing w:after="0" w:line="240" w:lineRule="auto"/>
            </w:pPr>
            <w:r>
              <w:rPr>
                <w:color w:val="2B2F36"/>
                <w:sz w:val="16"/>
              </w:rPr>
              <w:t>Erodes CC490K and part of CC491K over time</w:t>
            </w:r>
          </w:p>
        </w:tc>
        <w:tc>
          <w:tcPr>
            <w:tcW w:type="dxa" w:w="705"/>
            <w:shd w:val="clear" w:color="auto" w:fill="F7F4EE"/>
            <w:vAlign w:val="top"/>
          </w:tcPr>
          <w:p>
            <w:pPr>
              <w:spacing w:after="0" w:line="240" w:lineRule="auto"/>
              <w:jc w:val="center"/>
            </w:pPr>
            <w:r>
              <w:rPr>
                <w:color w:val="2B2F36"/>
                <w:sz w:val="16"/>
              </w:rPr>
              <w:t>−2</w:t>
            </w:r>
          </w:p>
        </w:tc>
      </w:tr>
      <w:tr>
        <w:trPr>
          <w:cantSplit/>
        </w:trPr>
        <w:tc>
          <w:tcPr>
            <w:tcW w:type="dxa" w:w="1410"/>
            <w:vAlign w:val="top"/>
          </w:tcPr>
          <w:p>
            <w:pPr>
              <w:spacing w:after="0" w:line="240" w:lineRule="auto"/>
            </w:pPr>
            <w:r>
              <w:rPr>
                <w:color w:val="2B2F36"/>
                <w:sz w:val="16"/>
              </w:rPr>
              <w:t>Technological</w:t>
            </w:r>
          </w:p>
        </w:tc>
        <w:tc>
          <w:tcPr>
            <w:tcW w:type="dxa" w:w="3759"/>
            <w:vAlign w:val="top"/>
          </w:tcPr>
          <w:p>
            <w:pPr>
              <w:spacing w:after="0" w:line="240" w:lineRule="auto"/>
            </w:pPr>
            <w:r>
              <w:rPr>
                <w:color w:val="2B2F36"/>
                <w:sz w:val="16"/>
              </w:rPr>
              <w:t>Polymer impellers and bimetal bearings</w:t>
            </w:r>
          </w:p>
        </w:tc>
        <w:tc>
          <w:tcPr>
            <w:tcW w:type="dxa" w:w="3877"/>
            <w:vAlign w:val="top"/>
          </w:tcPr>
          <w:p>
            <w:pPr>
              <w:spacing w:after="0" w:line="240" w:lineRule="auto"/>
            </w:pPr>
            <w:r>
              <w:rPr>
                <w:color w:val="2B2F36"/>
                <w:sz w:val="16"/>
              </w:rPr>
              <w:t>Take share in light-duty pumps and automotive bushes</w:t>
            </w:r>
          </w:p>
        </w:tc>
        <w:tc>
          <w:tcPr>
            <w:tcW w:type="dxa" w:w="705"/>
            <w:vAlign w:val="top"/>
          </w:tcPr>
          <w:p>
            <w:pPr>
              <w:spacing w:after="0" w:line="240" w:lineRule="auto"/>
              <w:jc w:val="center"/>
            </w:pPr>
            <w:r>
              <w:rPr>
                <w:color w:val="2B2F36"/>
                <w:sz w:val="16"/>
              </w:rPr>
              <w:t>−1</w:t>
            </w:r>
          </w:p>
        </w:tc>
      </w:tr>
      <w:tr>
        <w:trPr>
          <w:cantSplit/>
        </w:trPr>
        <w:tc>
          <w:tcPr>
            <w:tcW w:type="dxa" w:w="1410"/>
            <w:shd w:val="clear" w:color="auto" w:fill="F7F4EE"/>
            <w:vAlign w:val="top"/>
          </w:tcPr>
          <w:p>
            <w:pPr>
              <w:spacing w:after="0" w:line="240" w:lineRule="auto"/>
            </w:pPr>
            <w:r>
              <w:rPr>
                <w:color w:val="2B2F36"/>
                <w:sz w:val="16"/>
              </w:rPr>
              <w:t>Technological</w:t>
            </w:r>
          </w:p>
        </w:tc>
        <w:tc>
          <w:tcPr>
            <w:tcW w:type="dxa" w:w="3759"/>
            <w:shd w:val="clear" w:color="auto" w:fill="F7F4EE"/>
            <w:vAlign w:val="top"/>
          </w:tcPr>
          <w:p>
            <w:pPr>
              <w:spacing w:after="0" w:line="240" w:lineRule="auto"/>
            </w:pPr>
            <w:r>
              <w:rPr>
                <w:color w:val="2B2F36"/>
                <w:sz w:val="16"/>
              </w:rPr>
              <w:t>Cheaper optical-emission spectrometers and continuous casting</w:t>
            </w:r>
          </w:p>
        </w:tc>
        <w:tc>
          <w:tcPr>
            <w:tcW w:type="dxa" w:w="3877"/>
            <w:shd w:val="clear" w:color="auto" w:fill="F7F4EE"/>
            <w:vAlign w:val="top"/>
          </w:tcPr>
          <w:p>
            <w:pPr>
              <w:spacing w:after="0" w:line="240" w:lineRule="auto"/>
            </w:pPr>
            <w:r>
              <w:rPr>
                <w:color w:val="2B2F36"/>
                <w:sz w:val="16"/>
              </w:rPr>
              <w:t>Raise buyers' quality expectations, favouring certified suppliers</w:t>
            </w:r>
          </w:p>
        </w:tc>
        <w:tc>
          <w:tcPr>
            <w:tcW w:type="dxa" w:w="705"/>
            <w:shd w:val="clear" w:color="auto" w:fill="F7F4EE"/>
            <w:vAlign w:val="top"/>
          </w:tcPr>
          <w:p>
            <w:pPr>
              <w:spacing w:after="0" w:line="240" w:lineRule="auto"/>
              <w:jc w:val="center"/>
            </w:pPr>
            <w:r>
              <w:rPr>
                <w:color w:val="2B2F36"/>
                <w:sz w:val="16"/>
              </w:rPr>
              <w:t>+1</w:t>
            </w:r>
          </w:p>
        </w:tc>
      </w:tr>
      <w:tr>
        <w:trPr>
          <w:cantSplit/>
        </w:trPr>
        <w:tc>
          <w:tcPr>
            <w:tcW w:type="dxa" w:w="1410"/>
            <w:vAlign w:val="top"/>
          </w:tcPr>
          <w:p>
            <w:pPr>
              <w:spacing w:after="0" w:line="240" w:lineRule="auto"/>
            </w:pPr>
            <w:r>
              <w:rPr>
                <w:color w:val="2B2F36"/>
                <w:sz w:val="16"/>
              </w:rPr>
              <w:t>Legal: labour</w:t>
            </w:r>
          </w:p>
        </w:tc>
        <w:tc>
          <w:tcPr>
            <w:tcW w:type="dxa" w:w="3759"/>
            <w:vAlign w:val="top"/>
          </w:tcPr>
          <w:p>
            <w:pPr>
              <w:spacing w:after="0" w:line="240" w:lineRule="auto"/>
            </w:pPr>
            <w:r>
              <w:rPr>
                <w:color w:val="2B2F36"/>
                <w:sz w:val="16"/>
              </w:rPr>
              <w:t>Four Labour Codes in force 21 Nov 2025</w:t>
            </w:r>
          </w:p>
        </w:tc>
        <w:tc>
          <w:tcPr>
            <w:tcW w:type="dxa" w:w="3877"/>
            <w:vAlign w:val="top"/>
          </w:tcPr>
          <w:p>
            <w:pPr>
              <w:spacing w:after="0" w:line="240" w:lineRule="auto"/>
            </w:pPr>
            <w:r>
              <w:rPr>
                <w:color w:val="2B2F36"/>
                <w:sz w:val="16"/>
              </w:rPr>
              <w:t>Higher statutory cost per worker, partly offset by simpler compliance</w:t>
            </w:r>
          </w:p>
        </w:tc>
        <w:tc>
          <w:tcPr>
            <w:tcW w:type="dxa" w:w="705"/>
            <w:vAlign w:val="top"/>
          </w:tcPr>
          <w:p>
            <w:pPr>
              <w:spacing w:after="0" w:line="240" w:lineRule="auto"/>
              <w:jc w:val="center"/>
            </w:pPr>
            <w:r>
              <w:rPr>
                <w:color w:val="2B2F36"/>
                <w:sz w:val="16"/>
              </w:rPr>
              <w:t>−1</w:t>
            </w:r>
          </w:p>
        </w:tc>
      </w:tr>
      <w:tr>
        <w:trPr>
          <w:cantSplit/>
        </w:trPr>
        <w:tc>
          <w:tcPr>
            <w:tcW w:type="dxa" w:w="1410"/>
            <w:shd w:val="clear" w:color="auto" w:fill="F7F4EE"/>
            <w:vAlign w:val="top"/>
          </w:tcPr>
          <w:p>
            <w:pPr>
              <w:spacing w:after="0" w:line="240" w:lineRule="auto"/>
            </w:pPr>
            <w:r>
              <w:rPr>
                <w:color w:val="2B2F36"/>
                <w:sz w:val="16"/>
              </w:rPr>
              <w:t>Legal: recycling</w:t>
            </w:r>
          </w:p>
        </w:tc>
        <w:tc>
          <w:tcPr>
            <w:tcW w:type="dxa" w:w="3759"/>
            <w:shd w:val="clear" w:color="auto" w:fill="F7F4EE"/>
            <w:vAlign w:val="top"/>
          </w:tcPr>
          <w:p>
            <w:pPr>
              <w:spacing w:after="0" w:line="240" w:lineRule="auto"/>
            </w:pPr>
            <w:r>
              <w:rPr>
                <w:color w:val="2B2F36"/>
                <w:sz w:val="16"/>
              </w:rPr>
              <w:t>EPR for non-ferrous scrap in force 1 Apr 2026; recycled-content minimums from 2028–29</w:t>
            </w:r>
          </w:p>
        </w:tc>
        <w:tc>
          <w:tcPr>
            <w:tcW w:type="dxa" w:w="3877"/>
            <w:shd w:val="clear" w:color="auto" w:fill="F7F4EE"/>
            <w:vAlign w:val="top"/>
          </w:tcPr>
          <w:p>
            <w:pPr>
              <w:spacing w:after="0" w:line="240" w:lineRule="auto"/>
            </w:pPr>
            <w:r>
              <w:rPr>
                <w:color w:val="2B2F36"/>
                <w:sz w:val="16"/>
              </w:rPr>
              <w:t>Registration and returns cost for Bajaj and its scrap suppliers; scrap may firm</w:t>
            </w:r>
          </w:p>
        </w:tc>
        <w:tc>
          <w:tcPr>
            <w:tcW w:type="dxa" w:w="705"/>
            <w:shd w:val="clear" w:color="auto" w:fill="F7F4EE"/>
            <w:vAlign w:val="top"/>
          </w:tcPr>
          <w:p>
            <w:pPr>
              <w:spacing w:after="0" w:line="240" w:lineRule="auto"/>
              <w:jc w:val="center"/>
            </w:pPr>
            <w:r>
              <w:rPr>
                <w:color w:val="2B2F36"/>
                <w:sz w:val="16"/>
              </w:rPr>
              <w:t>−1</w:t>
            </w:r>
          </w:p>
        </w:tc>
      </w:tr>
      <w:tr>
        <w:trPr>
          <w:cantSplit/>
        </w:trPr>
        <w:tc>
          <w:tcPr>
            <w:tcW w:type="dxa" w:w="1410"/>
            <w:vAlign w:val="top"/>
          </w:tcPr>
          <w:p>
            <w:pPr>
              <w:spacing w:after="0" w:line="240" w:lineRule="auto"/>
            </w:pPr>
            <w:r>
              <w:rPr>
                <w:color w:val="2B2F36"/>
                <w:sz w:val="16"/>
              </w:rPr>
              <w:t>Legal: bureaucracy</w:t>
            </w:r>
          </w:p>
        </w:tc>
        <w:tc>
          <w:tcPr>
            <w:tcW w:type="dxa" w:w="3759"/>
            <w:vAlign w:val="top"/>
          </w:tcPr>
          <w:p>
            <w:pPr>
              <w:spacing w:after="0" w:line="240" w:lineRule="auto"/>
            </w:pPr>
            <w:r>
              <w:rPr>
                <w:color w:val="2B2F36"/>
                <w:sz w:val="16"/>
              </w:rPr>
              <w:t>Many separate approvals (SPCB consent, hazardous-waste authorisation, factory licence, EPR, GST on scrap, BIS, IBR, export documents)</w:t>
            </w:r>
          </w:p>
        </w:tc>
        <w:tc>
          <w:tcPr>
            <w:tcW w:type="dxa" w:w="3877"/>
            <w:vAlign w:val="top"/>
          </w:tcPr>
          <w:p>
            <w:pPr>
              <w:spacing w:after="0" w:line="240" w:lineRule="auto"/>
            </w:pPr>
            <w:r>
              <w:rPr>
                <w:color w:val="2B2F36"/>
                <w:sz w:val="16"/>
              </w:rPr>
              <w:t>Slow approvals delay capacity and new grades; fixed compliance cost</w:t>
            </w:r>
          </w:p>
        </w:tc>
        <w:tc>
          <w:tcPr>
            <w:tcW w:type="dxa" w:w="705"/>
            <w:vAlign w:val="top"/>
          </w:tcPr>
          <w:p>
            <w:pPr>
              <w:spacing w:after="0" w:line="240" w:lineRule="auto"/>
              <w:jc w:val="center"/>
            </w:pPr>
            <w:r>
              <w:rPr>
                <w:color w:val="2B2F36"/>
                <w:sz w:val="16"/>
              </w:rPr>
              <w:t>−1</w:t>
            </w:r>
          </w:p>
        </w:tc>
      </w:tr>
      <w:tr>
        <w:trPr>
          <w:cantSplit/>
        </w:trPr>
        <w:tc>
          <w:tcPr>
            <w:tcW w:type="dxa" w:w="1410"/>
            <w:shd w:val="clear" w:color="auto" w:fill="F7F4EE"/>
            <w:vAlign w:val="top"/>
          </w:tcPr>
          <w:p>
            <w:pPr>
              <w:spacing w:after="0" w:line="240" w:lineRule="auto"/>
            </w:pPr>
            <w:r>
              <w:rPr>
                <w:color w:val="2B2F36"/>
                <w:sz w:val="16"/>
              </w:rPr>
              <w:t>Legal</w:t>
            </w:r>
          </w:p>
        </w:tc>
        <w:tc>
          <w:tcPr>
            <w:tcW w:type="dxa" w:w="3759"/>
            <w:shd w:val="clear" w:color="auto" w:fill="F7F4EE"/>
            <w:vAlign w:val="top"/>
          </w:tcPr>
          <w:p>
            <w:pPr>
              <w:spacing w:after="0" w:line="240" w:lineRule="auto"/>
            </w:pPr>
            <w:r>
              <w:rPr>
                <w:color w:val="2B2F36"/>
                <w:sz w:val="16"/>
              </w:rPr>
              <w:t>US Safe Drinking Water Act: ≤ 0.25 % weighted lead</w:t>
            </w:r>
          </w:p>
        </w:tc>
        <w:tc>
          <w:tcPr>
            <w:tcW w:type="dxa" w:w="3877"/>
            <w:shd w:val="clear" w:color="auto" w:fill="F7F4EE"/>
            <w:vAlign w:val="top"/>
          </w:tcPr>
          <w:p>
            <w:pPr>
              <w:spacing w:after="0" w:line="240" w:lineRule="auto"/>
            </w:pPr>
            <w:r>
              <w:rPr>
                <w:color w:val="2B2F36"/>
                <w:sz w:val="16"/>
              </w:rPr>
              <w:t>All six grades excluded from US potable-water products</w:t>
            </w:r>
          </w:p>
        </w:tc>
        <w:tc>
          <w:tcPr>
            <w:tcW w:type="dxa" w:w="705"/>
            <w:shd w:val="clear" w:color="auto" w:fill="F7F4EE"/>
            <w:vAlign w:val="top"/>
          </w:tcPr>
          <w:p>
            <w:pPr>
              <w:spacing w:after="0" w:line="240" w:lineRule="auto"/>
              <w:jc w:val="center"/>
            </w:pPr>
            <w:r>
              <w:rPr>
                <w:color w:val="2B2F36"/>
                <w:sz w:val="16"/>
              </w:rPr>
              <w:t>−2</w:t>
            </w:r>
          </w:p>
        </w:tc>
      </w:tr>
      <w:tr>
        <w:trPr>
          <w:cantSplit/>
        </w:trPr>
        <w:tc>
          <w:tcPr>
            <w:tcW w:type="dxa" w:w="1410"/>
            <w:vAlign w:val="top"/>
          </w:tcPr>
          <w:p>
            <w:pPr>
              <w:spacing w:after="0" w:line="240" w:lineRule="auto"/>
            </w:pPr>
            <w:r>
              <w:rPr>
                <w:color w:val="2B2F36"/>
                <w:sz w:val="16"/>
              </w:rPr>
              <w:t>Legal</w:t>
            </w:r>
          </w:p>
        </w:tc>
        <w:tc>
          <w:tcPr>
            <w:tcW w:type="dxa" w:w="3759"/>
            <w:vAlign w:val="top"/>
          </w:tcPr>
          <w:p>
            <w:pPr>
              <w:spacing w:after="0" w:line="240" w:lineRule="auto"/>
            </w:pPr>
            <w:r>
              <w:rPr>
                <w:color w:val="2B2F36"/>
                <w:sz w:val="16"/>
              </w:rPr>
              <w:t>EU Drinking Water Directive: tap lead 10 → 5 µg/l by 2036 (4MS list); RoHS 6(c) exemption to June 2027</w:t>
            </w:r>
          </w:p>
        </w:tc>
        <w:tc>
          <w:tcPr>
            <w:tcW w:type="dxa" w:w="3877"/>
            <w:vAlign w:val="top"/>
          </w:tcPr>
          <w:p>
            <w:pPr>
              <w:spacing w:after="0" w:line="240" w:lineRule="auto"/>
            </w:pPr>
            <w:r>
              <w:rPr>
                <w:color w:val="2B2F36"/>
                <w:sz w:val="16"/>
              </w:rPr>
              <w:t>EU potable-water demand drifts to low-lead gunmetal</w:t>
            </w:r>
          </w:p>
        </w:tc>
        <w:tc>
          <w:tcPr>
            <w:tcW w:type="dxa" w:w="705"/>
            <w:vAlign w:val="top"/>
          </w:tcPr>
          <w:p>
            <w:pPr>
              <w:spacing w:after="0" w:line="240" w:lineRule="auto"/>
              <w:jc w:val="center"/>
            </w:pPr>
            <w:r>
              <w:rPr>
                <w:color w:val="2B2F36"/>
                <w:sz w:val="16"/>
              </w:rPr>
              <w:t>−1</w:t>
            </w:r>
          </w:p>
        </w:tc>
      </w:tr>
      <w:tr>
        <w:trPr>
          <w:cantSplit/>
        </w:trPr>
        <w:tc>
          <w:tcPr>
            <w:tcW w:type="dxa" w:w="1410"/>
            <w:shd w:val="clear" w:color="auto" w:fill="F7F4EE"/>
            <w:vAlign w:val="top"/>
          </w:tcPr>
          <w:p>
            <w:pPr>
              <w:spacing w:after="0" w:line="240" w:lineRule="auto"/>
            </w:pPr>
            <w:r>
              <w:rPr>
                <w:color w:val="2B2F36"/>
                <w:sz w:val="16"/>
              </w:rPr>
              <w:t>Legal</w:t>
            </w:r>
          </w:p>
        </w:tc>
        <w:tc>
          <w:tcPr>
            <w:tcW w:type="dxa" w:w="3759"/>
            <w:shd w:val="clear" w:color="auto" w:fill="F7F4EE"/>
            <w:vAlign w:val="top"/>
          </w:tcPr>
          <w:p>
            <w:pPr>
              <w:spacing w:after="0" w:line="240" w:lineRule="auto"/>
            </w:pPr>
            <w:r>
              <w:rPr>
                <w:color w:val="2B2F36"/>
                <w:sz w:val="16"/>
              </w:rPr>
              <w:t>13 Nov 2025 withdrawal of BIS quality-control orders on copper, tin, lead, zinc; nil copper-scrap duty</w:t>
            </w:r>
          </w:p>
        </w:tc>
        <w:tc>
          <w:tcPr>
            <w:tcW w:type="dxa" w:w="3877"/>
            <w:shd w:val="clear" w:color="auto" w:fill="F7F4EE"/>
            <w:vAlign w:val="top"/>
          </w:tcPr>
          <w:p>
            <w:pPr>
              <w:spacing w:after="0" w:line="240" w:lineRule="auto"/>
            </w:pPr>
            <w:r>
              <w:rPr>
                <w:color w:val="2B2F36"/>
                <w:sz w:val="16"/>
              </w:rPr>
              <w:t>Cheaper imports of tin and copper; also lowers barriers for imported ingot</w:t>
            </w:r>
          </w:p>
        </w:tc>
        <w:tc>
          <w:tcPr>
            <w:tcW w:type="dxa" w:w="705"/>
            <w:shd w:val="clear" w:color="auto" w:fill="F7F4EE"/>
            <w:vAlign w:val="top"/>
          </w:tcPr>
          <w:p>
            <w:pPr>
              <w:spacing w:after="0" w:line="240" w:lineRule="auto"/>
              <w:jc w:val="center"/>
            </w:pPr>
            <w:r>
              <w:rPr>
                <w:color w:val="2B2F36"/>
                <w:sz w:val="16"/>
              </w:rPr>
              <w:t>+1</w:t>
            </w:r>
          </w:p>
        </w:tc>
      </w:tr>
      <w:tr>
        <w:trPr>
          <w:cantSplit/>
        </w:trPr>
        <w:tc>
          <w:tcPr>
            <w:tcW w:type="dxa" w:w="1410"/>
            <w:vAlign w:val="top"/>
          </w:tcPr>
          <w:p>
            <w:pPr>
              <w:spacing w:after="0" w:line="240" w:lineRule="auto"/>
            </w:pPr>
            <w:r>
              <w:rPr>
                <w:color w:val="2B2F36"/>
                <w:sz w:val="16"/>
              </w:rPr>
              <w:t>Environmental</w:t>
            </w:r>
          </w:p>
        </w:tc>
        <w:tc>
          <w:tcPr>
            <w:tcW w:type="dxa" w:w="3759"/>
            <w:vAlign w:val="top"/>
          </w:tcPr>
          <w:p>
            <w:pPr>
              <w:spacing w:after="0" w:line="240" w:lineRule="auto"/>
            </w:pPr>
            <w:r>
              <w:rPr>
                <w:color w:val="2B2F36"/>
                <w:sz w:val="16"/>
              </w:rPr>
              <w:t>Lead-bearing melts need SPCB consent, fume extraction, hazardous-waste handling</w:t>
            </w:r>
          </w:p>
        </w:tc>
        <w:tc>
          <w:tcPr>
            <w:tcW w:type="dxa" w:w="3877"/>
            <w:vAlign w:val="top"/>
          </w:tcPr>
          <w:p>
            <w:pPr>
              <w:spacing w:after="0" w:line="240" w:lineRule="auto"/>
            </w:pPr>
            <w:r>
              <w:rPr>
                <w:color w:val="2B2F36"/>
                <w:sz w:val="16"/>
              </w:rPr>
              <w:t>Compliance cost, but also keeps new entrants out</w:t>
            </w:r>
          </w:p>
        </w:tc>
        <w:tc>
          <w:tcPr>
            <w:tcW w:type="dxa" w:w="705"/>
            <w:vAlign w:val="top"/>
          </w:tcPr>
          <w:p>
            <w:pPr>
              <w:spacing w:after="0" w:line="240" w:lineRule="auto"/>
              <w:jc w:val="center"/>
            </w:pPr>
            <w:r>
              <w:rPr>
                <w:color w:val="2B2F36"/>
                <w:sz w:val="16"/>
              </w:rPr>
              <w:t>−1</w:t>
            </w:r>
          </w:p>
        </w:tc>
      </w:tr>
      <w:tr>
        <w:trPr>
          <w:cantSplit/>
        </w:trPr>
        <w:tc>
          <w:tcPr>
            <w:tcW w:type="dxa" w:w="1410"/>
            <w:shd w:val="clear" w:color="auto" w:fill="F7F4EE"/>
            <w:vAlign w:val="top"/>
          </w:tcPr>
          <w:p>
            <w:pPr>
              <w:spacing w:after="0" w:line="240" w:lineRule="auto"/>
            </w:pPr>
            <w:r>
              <w:rPr>
                <w:color w:val="2B2F36"/>
                <w:sz w:val="16"/>
              </w:rPr>
              <w:t>Environmental</w:t>
            </w:r>
          </w:p>
        </w:tc>
        <w:tc>
          <w:tcPr>
            <w:tcW w:type="dxa" w:w="3759"/>
            <w:shd w:val="clear" w:color="auto" w:fill="F7F4EE"/>
            <w:vAlign w:val="top"/>
          </w:tcPr>
          <w:p>
            <w:pPr>
              <w:spacing w:after="0" w:line="240" w:lineRule="auto"/>
            </w:pPr>
            <w:r>
              <w:rPr>
                <w:color w:val="2B2F36"/>
                <w:sz w:val="16"/>
              </w:rPr>
              <w:t>EPR makes recycled content tradeable; ESG audits ask for it</w:t>
            </w:r>
          </w:p>
        </w:tc>
        <w:tc>
          <w:tcPr>
            <w:tcW w:type="dxa" w:w="3877"/>
            <w:shd w:val="clear" w:color="auto" w:fill="F7F4EE"/>
            <w:vAlign w:val="top"/>
          </w:tcPr>
          <w:p>
            <w:pPr>
              <w:spacing w:after="0" w:line="240" w:lineRule="auto"/>
            </w:pPr>
            <w:r>
              <w:rPr>
                <w:color w:val="2B2F36"/>
                <w:sz w:val="16"/>
              </w:rPr>
              <w:t>Bajaj's scrap-based ingot can earn EPR credits and be sold as certified recycled content</w:t>
            </w:r>
          </w:p>
        </w:tc>
        <w:tc>
          <w:tcPr>
            <w:tcW w:type="dxa" w:w="705"/>
            <w:shd w:val="clear" w:color="auto" w:fill="F7F4EE"/>
            <w:vAlign w:val="top"/>
          </w:tcPr>
          <w:p>
            <w:pPr>
              <w:spacing w:after="0" w:line="240" w:lineRule="auto"/>
              <w:jc w:val="center"/>
            </w:pPr>
            <w:r>
              <w:rPr>
                <w:color w:val="2B2F36"/>
                <w:sz w:val="16"/>
              </w:rPr>
              <w:t>+1</w:t>
            </w:r>
          </w:p>
        </w:tc>
      </w:tr>
    </w:tbl>
    <w:p>
      <w:pPr>
        <w:spacing w:after="40"/>
      </w:pPr>
    </w:p>
    <w:p>
      <w:pPr>
        <w:pStyle w:val="Heading3"/>
      </w:pPr>
      <w:r>
        <w:t>The weak rupee: two effects, not one</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474"/>
        <w:gridCol w:w="4139"/>
        <w:gridCol w:w="4139"/>
      </w:tblGrid>
      <w:tr>
        <w:trPr>
          <w:cantSplit/>
          <w:tblHeader/>
        </w:trPr>
        <w:tc>
          <w:tcPr>
            <w:tcW w:type="dxa" w:w="1474"/>
            <w:shd w:val="clear" w:color="auto" w:fill="1F4E79"/>
            <w:vAlign w:val="center"/>
          </w:tcPr>
          <w:p>
            <w:pPr>
              <w:spacing w:after="0" w:line="240" w:lineRule="auto"/>
            </w:pPr>
          </w:p>
        </w:tc>
        <w:tc>
          <w:tcPr>
            <w:tcW w:type="dxa" w:w="4139"/>
            <w:shd w:val="clear" w:color="auto" w:fill="1F4E79"/>
            <w:vAlign w:val="center"/>
          </w:tcPr>
          <w:p>
            <w:pPr>
              <w:spacing w:after="0" w:line="240" w:lineRule="auto"/>
            </w:pPr>
            <w:r>
              <w:rPr>
                <w:b/>
                <w:color w:val="FFFFFF"/>
                <w:sz w:val="16"/>
              </w:rPr>
              <w:t>Import side (cost)</w:t>
            </w:r>
          </w:p>
        </w:tc>
        <w:tc>
          <w:tcPr>
            <w:tcW w:type="dxa" w:w="4139"/>
            <w:shd w:val="clear" w:color="auto" w:fill="1F4E79"/>
            <w:vAlign w:val="center"/>
          </w:tcPr>
          <w:p>
            <w:pPr>
              <w:spacing w:after="0" w:line="240" w:lineRule="auto"/>
            </w:pPr>
            <w:r>
              <w:rPr>
                <w:b/>
                <w:color w:val="FFFFFF"/>
                <w:sz w:val="16"/>
              </w:rPr>
              <w:t>Export side (demand)</w:t>
            </w:r>
          </w:p>
        </w:tc>
      </w:tr>
      <w:tr>
        <w:trPr>
          <w:cantSplit/>
        </w:trPr>
        <w:tc>
          <w:tcPr>
            <w:tcW w:type="dxa" w:w="1474"/>
            <w:vAlign w:val="top"/>
          </w:tcPr>
          <w:p>
            <w:pPr>
              <w:spacing w:after="0" w:line="240" w:lineRule="auto"/>
            </w:pPr>
            <w:r>
              <w:rPr>
                <w:b/>
                <w:color w:val="2B2F36"/>
                <w:sz w:val="16"/>
              </w:rPr>
              <w:t>What happens</w:t>
            </w:r>
          </w:p>
        </w:tc>
        <w:tc>
          <w:tcPr>
            <w:tcW w:type="dxa" w:w="4139"/>
            <w:vAlign w:val="top"/>
          </w:tcPr>
          <w:p>
            <w:pPr>
              <w:spacing w:after="0" w:line="240" w:lineRule="auto"/>
            </w:pPr>
            <w:r>
              <w:rPr>
                <w:color w:val="2B2F36"/>
                <w:sz w:val="16"/>
              </w:rPr>
              <w:t>Tin, imported copper and imported scrap cost more in rupees</w:t>
            </w:r>
          </w:p>
        </w:tc>
        <w:tc>
          <w:tcPr>
            <w:tcW w:type="dxa" w:w="4139"/>
            <w:vAlign w:val="top"/>
          </w:tcPr>
          <w:p>
            <w:pPr>
              <w:spacing w:after="0" w:line="240" w:lineRule="auto"/>
            </w:pPr>
            <w:r>
              <w:rPr>
                <w:color w:val="2B2F36"/>
                <w:sz w:val="16"/>
              </w:rPr>
              <w:t>Indian pump, valve and bush makers earn more rupees per dollar</w:t>
            </w:r>
          </w:p>
        </w:tc>
      </w:tr>
      <w:tr>
        <w:trPr>
          <w:cantSplit/>
        </w:trPr>
        <w:tc>
          <w:tcPr>
            <w:tcW w:type="dxa" w:w="1474"/>
            <w:shd w:val="clear" w:color="auto" w:fill="F7F4EE"/>
            <w:vAlign w:val="top"/>
          </w:tcPr>
          <w:p>
            <w:pPr>
              <w:spacing w:after="0" w:line="240" w:lineRule="auto"/>
            </w:pPr>
            <w:r>
              <w:rPr>
                <w:b/>
                <w:color w:val="2B2F36"/>
                <w:sz w:val="16"/>
              </w:rPr>
              <w:t>Size</w:t>
            </w:r>
          </w:p>
        </w:tc>
        <w:tc>
          <w:tcPr>
            <w:tcW w:type="dxa" w:w="4139"/>
            <w:shd w:val="clear" w:color="auto" w:fill="F7F4EE"/>
            <w:vAlign w:val="top"/>
          </w:tcPr>
          <w:p>
            <w:pPr>
              <w:spacing w:after="0" w:line="240" w:lineRule="auto"/>
            </w:pPr>
            <w:r>
              <w:rPr>
                <w:color w:val="2B2F36"/>
                <w:sz w:val="16"/>
              </w:rPr>
              <w:t>₹1/US$ ≈ ₹15/kg on CC491K; −5 % rupee ≈ +₹73/kg</w:t>
            </w:r>
          </w:p>
        </w:tc>
        <w:tc>
          <w:tcPr>
            <w:tcW w:type="dxa" w:w="4139"/>
            <w:shd w:val="clear" w:color="auto" w:fill="F7F4EE"/>
            <w:vAlign w:val="top"/>
          </w:tcPr>
          <w:p>
            <w:pPr>
              <w:spacing w:after="0" w:line="240" w:lineRule="auto"/>
            </w:pPr>
            <w:r>
              <w:rPr>
                <w:color w:val="2B2F36"/>
                <w:sz w:val="16"/>
              </w:rPr>
              <w:t>A 5 % weaker rupee is like a 5 % price cut for the overseas buyer</w:t>
            </w:r>
          </w:p>
        </w:tc>
      </w:tr>
      <w:tr>
        <w:trPr>
          <w:cantSplit/>
        </w:trPr>
        <w:tc>
          <w:tcPr>
            <w:tcW w:type="dxa" w:w="1474"/>
            <w:vAlign w:val="top"/>
          </w:tcPr>
          <w:p>
            <w:pPr>
              <w:spacing w:after="0" w:line="240" w:lineRule="auto"/>
            </w:pPr>
            <w:r>
              <w:rPr>
                <w:b/>
                <w:color w:val="2B2F36"/>
                <w:sz w:val="16"/>
              </w:rPr>
              <w:t>What Bajaj does</w:t>
            </w:r>
          </w:p>
        </w:tc>
        <w:tc>
          <w:tcPr>
            <w:tcW w:type="dxa" w:w="4139"/>
            <w:vAlign w:val="top"/>
          </w:tcPr>
          <w:p>
            <w:pPr>
              <w:spacing w:after="0" w:line="240" w:lineRule="auto"/>
            </w:pPr>
            <w:r>
              <w:rPr>
                <w:color w:val="2B2F36"/>
                <w:sz w:val="16"/>
              </w:rPr>
              <w:t>Price on LME × ₹/US$ at the invoice date; buy tin against orders; short quote validity</w:t>
            </w:r>
          </w:p>
        </w:tc>
        <w:tc>
          <w:tcPr>
            <w:tcW w:type="dxa" w:w="4139"/>
            <w:vAlign w:val="top"/>
          </w:tcPr>
          <w:p>
            <w:pPr>
              <w:spacing w:after="0" w:line="240" w:lineRule="auto"/>
            </w:pPr>
            <w:r>
              <w:rPr>
                <w:color w:val="2B2F36"/>
                <w:sz w:val="16"/>
              </w:rPr>
              <w:t>Target exporting foundries harder while the rupee is weak</w:t>
            </w:r>
          </w:p>
        </w:tc>
      </w:tr>
      <w:tr>
        <w:trPr>
          <w:cantSplit/>
        </w:trPr>
        <w:tc>
          <w:tcPr>
            <w:tcW w:type="dxa" w:w="1474"/>
            <w:shd w:val="clear" w:color="auto" w:fill="F7F4EE"/>
            <w:vAlign w:val="top"/>
          </w:tcPr>
          <w:p>
            <w:pPr>
              <w:spacing w:after="0" w:line="240" w:lineRule="auto"/>
            </w:pPr>
            <w:r>
              <w:rPr>
                <w:b/>
                <w:color w:val="2B2F36"/>
                <w:sz w:val="16"/>
              </w:rPr>
              <w:t>Net</w:t>
            </w:r>
          </w:p>
        </w:tc>
        <w:tc>
          <w:tcPr>
            <w:tcW w:type="dxa" w:w="4139"/>
            <w:shd w:val="clear" w:color="auto" w:fill="F7F4EE"/>
            <w:vAlign w:val="top"/>
          </w:tcPr>
          <w:p>
            <w:pPr>
              <w:spacing w:after="0" w:line="240" w:lineRule="auto"/>
            </w:pPr>
            <w:r>
              <w:rPr>
                <w:color w:val="2B2F36"/>
                <w:sz w:val="16"/>
              </w:rPr>
              <w:t>Negative but passable to buyers</w:t>
            </w:r>
          </w:p>
        </w:tc>
        <w:tc>
          <w:tcPr>
            <w:tcW w:type="dxa" w:w="4139"/>
            <w:shd w:val="clear" w:color="auto" w:fill="F7F4EE"/>
            <w:vAlign w:val="top"/>
          </w:tcPr>
          <w:p>
            <w:pPr>
              <w:spacing w:after="0" w:line="240" w:lineRule="auto"/>
            </w:pPr>
            <w:r>
              <w:rPr>
                <w:color w:val="2B2F36"/>
                <w:sz w:val="16"/>
              </w:rPr>
              <w:t>Positive</w:t>
            </w:r>
          </w:p>
        </w:tc>
      </w:tr>
    </w:tbl>
    <w:p>
      <w:pPr>
        <w:spacing w:after="40"/>
      </w:pP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1F4E79"/>
            </w:tcBorders>
            <w:shd w:val="clear" w:color="auto" w:fill="EEF3F8"/>
          </w:tcPr>
          <w:p>
            <w:pPr>
              <w:spacing w:after="60"/>
            </w:pPr>
            <w:r>
              <w:rPr>
                <w:b/>
                <w:color w:val="1F4E79"/>
                <w:sz w:val="20"/>
              </w:rPr>
              <w:t>PESTLE verdict</w:t>
            </w:r>
          </w:p>
          <w:p>
            <w:pPr>
              <w:spacing w:after="40" w:line="252" w:lineRule="auto"/>
              <w:ind w:left="255" w:hanging="255"/>
            </w:pPr>
            <w:r>
              <w:rPr>
                <w:color w:val="2B2F36"/>
                <w:sz w:val="19"/>
              </w:rPr>
              <w:t>• Net −6 on 20 factors, but the positives are structural (public capex, FTAs, farm machinery, export competitiveness) while most negatives are cyclical (metal prices, tariffs) or compliance costs that hit unorganised rivals harder.</w:t>
            </w:r>
          </w:p>
          <w:p>
            <w:pPr>
              <w:spacing w:after="40" w:line="252" w:lineRule="auto"/>
              <w:ind w:left="255" w:hanging="255"/>
            </w:pPr>
            <w:r>
              <w:rPr>
                <w:color w:val="2B2F36"/>
                <w:sz w:val="19"/>
              </w:rPr>
              <w:t>• Three factors need action: metal and rupee exposure (formula pricing, tin against orders), lead rules (a low-lead gunmetal by 2027–28) and EPR (register early; sell recycled content).</w:t>
            </w:r>
          </w:p>
        </w:tc>
      </w:tr>
    </w:tbl>
    <w:p>
      <w:pPr>
        <w:spacing w:after="40"/>
      </w:pPr>
    </w:p>
    <w:p>
      <w:r>
        <w:br w:type="page"/>
      </w:r>
    </w:p>
    <w:p>
      <w:pPr>
        <w:pStyle w:val="Heading1"/>
      </w:pPr>
      <w:r>
        <w:t>13. Porter's Five Forces by customer segment</w:t>
      </w:r>
    </w:p>
    <w:p>
      <w:r>
        <w:t xml:space="preserve">Intensity is rated out of 5 (5 = strongest pressure on Bajaj's margins) for two kinds of buyer. </w:t>
      </w:r>
      <w:r>
        <w:rPr>
          <w:b/>
        </w:rPr>
        <w:t>Change from Rev 5:</w:t>
      </w:r>
      <w:r>
        <w:t xml:space="preserve"> supplier power concerns Bajaj's suppliers (LME metal, imported tin, scrap dealers), who are the same for every customer, so it is now rated 4/5 for both segments. What differs by segment is how much metal cost Bajaj can pass through; that is covered under buyer power and rivalry.</w:t>
      </w:r>
    </w:p>
    <w:p>
      <w:pPr>
        <w:keepNext/>
        <w:spacing w:after="40"/>
      </w:pPr>
      <w:r>
        <w:rPr>
          <w:b/>
          <w:color w:val="5B6470"/>
          <w:sz w:val="18"/>
        </w:rPr>
        <w:t>Table 33.</w:t>
      </w:r>
      <w:r>
        <w:rPr>
          <w:color w:val="5B6470"/>
          <w:sz w:val="18"/>
        </w:rPr>
        <w:t xml:space="preserve"> Customer segments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814"/>
        <w:gridCol w:w="6236"/>
        <w:gridCol w:w="1701"/>
      </w:tblGrid>
      <w:tr>
        <w:trPr>
          <w:cantSplit/>
          <w:tblHeader/>
        </w:trPr>
        <w:tc>
          <w:tcPr>
            <w:tcW w:type="dxa" w:w="1814"/>
            <w:shd w:val="clear" w:color="auto" w:fill="1F4E79"/>
            <w:vAlign w:val="center"/>
          </w:tcPr>
          <w:p>
            <w:pPr>
              <w:spacing w:after="0" w:line="240" w:lineRule="auto"/>
            </w:pPr>
            <w:r>
              <w:rPr>
                <w:b/>
                <w:color w:val="FFFFFF"/>
                <w:sz w:val="16"/>
              </w:rPr>
              <w:t>Segment</w:t>
            </w:r>
          </w:p>
        </w:tc>
        <w:tc>
          <w:tcPr>
            <w:tcW w:type="dxa" w:w="6236"/>
            <w:shd w:val="clear" w:color="auto" w:fill="1F4E79"/>
            <w:vAlign w:val="center"/>
          </w:tcPr>
          <w:p>
            <w:pPr>
              <w:spacing w:after="0" w:line="240" w:lineRule="auto"/>
            </w:pPr>
            <w:r>
              <w:rPr>
                <w:b/>
                <w:color w:val="FFFFFF"/>
                <w:sz w:val="16"/>
              </w:rPr>
              <w:t>Typical products</w:t>
            </w:r>
          </w:p>
        </w:tc>
        <w:tc>
          <w:tcPr>
            <w:tcW w:type="dxa" w:w="1701"/>
            <w:shd w:val="clear" w:color="auto" w:fill="1F4E79"/>
            <w:vAlign w:val="center"/>
          </w:tcPr>
          <w:p>
            <w:pPr>
              <w:spacing w:after="0" w:line="240" w:lineRule="auto"/>
            </w:pPr>
            <w:r>
              <w:rPr>
                <w:b/>
                <w:color w:val="FFFFFF"/>
                <w:sz w:val="16"/>
              </w:rPr>
              <w:t>Share of demand (est.)</w:t>
            </w:r>
          </w:p>
        </w:tc>
      </w:tr>
      <w:tr>
        <w:trPr>
          <w:cantSplit/>
        </w:trPr>
        <w:tc>
          <w:tcPr>
            <w:tcW w:type="dxa" w:w="1814"/>
            <w:vAlign w:val="top"/>
          </w:tcPr>
          <w:p>
            <w:pPr>
              <w:spacing w:after="0" w:line="240" w:lineRule="auto"/>
            </w:pPr>
            <w:r>
              <w:rPr>
                <w:color w:val="2B2F36"/>
                <w:sz w:val="16"/>
              </w:rPr>
              <w:t>Basic / commodity</w:t>
            </w:r>
          </w:p>
        </w:tc>
        <w:tc>
          <w:tcPr>
            <w:tcW w:type="dxa" w:w="6236"/>
            <w:vAlign w:val="top"/>
          </w:tcPr>
          <w:p>
            <w:pPr>
              <w:spacing w:after="0" w:line="240" w:lineRule="auto"/>
            </w:pPr>
            <w:r>
              <w:rPr>
                <w:color w:val="2B2F36"/>
                <w:sz w:val="16"/>
              </w:rPr>
              <w:t>Plumbing fittings, low-pressure valves, budget monoblock impellers, light-duty bushes, meter bodies, decorative castings</w:t>
            </w:r>
          </w:p>
        </w:tc>
        <w:tc>
          <w:tcPr>
            <w:tcW w:type="dxa" w:w="1701"/>
            <w:vAlign w:val="top"/>
          </w:tcPr>
          <w:p>
            <w:pPr>
              <w:spacing w:after="0" w:line="240" w:lineRule="auto"/>
            </w:pPr>
            <w:r>
              <w:rPr>
                <w:color w:val="2B2F36"/>
                <w:sz w:val="16"/>
              </w:rPr>
              <w:t>≈ 30 %</w:t>
            </w:r>
          </w:p>
        </w:tc>
      </w:tr>
      <w:tr>
        <w:trPr>
          <w:cantSplit/>
        </w:trPr>
        <w:tc>
          <w:tcPr>
            <w:tcW w:type="dxa" w:w="1814"/>
            <w:shd w:val="clear" w:color="auto" w:fill="F7F4EE"/>
            <w:vAlign w:val="top"/>
          </w:tcPr>
          <w:p>
            <w:pPr>
              <w:spacing w:after="0" w:line="240" w:lineRule="auto"/>
            </w:pPr>
            <w:r>
              <w:rPr>
                <w:color w:val="2B2F36"/>
                <w:sz w:val="16"/>
              </w:rPr>
              <w:t>Standard industrial</w:t>
            </w:r>
          </w:p>
        </w:tc>
        <w:tc>
          <w:tcPr>
            <w:tcW w:type="dxa" w:w="6236"/>
            <w:shd w:val="clear" w:color="auto" w:fill="F7F4EE"/>
            <w:vAlign w:val="top"/>
          </w:tcPr>
          <w:p>
            <w:pPr>
              <w:spacing w:after="0" w:line="240" w:lineRule="auto"/>
            </w:pPr>
            <w:r>
              <w:rPr>
                <w:color w:val="2B2F36"/>
                <w:sz w:val="16"/>
              </w:rPr>
              <w:t>General pumps, water-works valves, machine-tool and tractor bushes</w:t>
            </w:r>
          </w:p>
        </w:tc>
        <w:tc>
          <w:tcPr>
            <w:tcW w:type="dxa" w:w="1701"/>
            <w:shd w:val="clear" w:color="auto" w:fill="F7F4EE"/>
            <w:vAlign w:val="top"/>
          </w:tcPr>
          <w:p>
            <w:pPr>
              <w:spacing w:after="0" w:line="240" w:lineRule="auto"/>
            </w:pPr>
            <w:r>
              <w:rPr>
                <w:color w:val="2B2F36"/>
                <w:sz w:val="16"/>
              </w:rPr>
              <w:t>≈ 35 %</w:t>
            </w:r>
          </w:p>
        </w:tc>
      </w:tr>
      <w:tr>
        <w:trPr>
          <w:cantSplit/>
        </w:trPr>
        <w:tc>
          <w:tcPr>
            <w:tcW w:type="dxa" w:w="1814"/>
            <w:vAlign w:val="top"/>
          </w:tcPr>
          <w:p>
            <w:pPr>
              <w:spacing w:after="0" w:line="240" w:lineRule="auto"/>
            </w:pPr>
            <w:r>
              <w:rPr>
                <w:color w:val="2B2F36"/>
                <w:sz w:val="16"/>
              </w:rPr>
              <w:t>Specialised / specified</w:t>
            </w:r>
          </w:p>
        </w:tc>
        <w:tc>
          <w:tcPr>
            <w:tcW w:type="dxa" w:w="6236"/>
            <w:vAlign w:val="top"/>
          </w:tcPr>
          <w:p>
            <w:pPr>
              <w:spacing w:after="0" w:line="240" w:lineRule="auto"/>
            </w:pPr>
            <w:r>
              <w:rPr>
                <w:color w:val="2B2F36"/>
                <w:sz w:val="16"/>
              </w:rPr>
              <w:t>IS 5290 hydrant valves, IS 903 couplings, fire pumps, marine valves and pumps, heavy mill, crusher and sugar-mill bearings, IBR mountings, defence and hydro parts</w:t>
            </w:r>
          </w:p>
        </w:tc>
        <w:tc>
          <w:tcPr>
            <w:tcW w:type="dxa" w:w="1701"/>
            <w:vAlign w:val="top"/>
          </w:tcPr>
          <w:p>
            <w:pPr>
              <w:spacing w:after="0" w:line="240" w:lineRule="auto"/>
            </w:pPr>
            <w:r>
              <w:rPr>
                <w:color w:val="2B2F36"/>
                <w:sz w:val="16"/>
              </w:rPr>
              <w:t>≈ 35 %</w:t>
            </w:r>
          </w:p>
        </w:tc>
      </w:tr>
    </w:tbl>
    <w:p>
      <w:pPr>
        <w:spacing w:after="40"/>
      </w:pPr>
    </w:p>
    <w:p>
      <w:r>
        <w:rPr>
          <w:sz w:val="18"/>
        </w:rPr>
        <w:t>Cross-check: the minor uses that are clearly specialised (fire, marine, sugar-mill, boiler, defence, hydro) are 12 % of tonnes; adding heavy and railway bearings (about 9 % of tonnes) and IS 5290 hydrant valves inside the valve segment brings the total to the 30–40 % range, consistent with ≈ 35 % within the ±30 % tolerance.</w:t>
      </w:r>
    </w:p>
    <w:p>
      <w:pPr>
        <w:keepNext/>
        <w:spacing w:after="40"/>
      </w:pPr>
      <w:r>
        <w:rPr>
          <w:b/>
          <w:color w:val="5B6470"/>
          <w:sz w:val="18"/>
        </w:rPr>
        <w:t>Table 34.</w:t>
      </w:r>
      <w:r>
        <w:rPr>
          <w:color w:val="5B6470"/>
          <w:sz w:val="18"/>
        </w:rPr>
        <w:t xml:space="preserve"> The five forces by segment</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474"/>
        <w:gridCol w:w="2948"/>
        <w:gridCol w:w="3175"/>
        <w:gridCol w:w="2154"/>
      </w:tblGrid>
      <w:tr>
        <w:trPr>
          <w:cantSplit/>
          <w:tblHeader/>
        </w:trPr>
        <w:tc>
          <w:tcPr>
            <w:tcW w:type="dxa" w:w="1474"/>
            <w:shd w:val="clear" w:color="auto" w:fill="1F4E79"/>
            <w:vAlign w:val="center"/>
          </w:tcPr>
          <w:p>
            <w:pPr>
              <w:spacing w:after="0" w:line="240" w:lineRule="auto"/>
            </w:pPr>
            <w:r>
              <w:rPr>
                <w:b/>
                <w:color w:val="FFFFFF"/>
                <w:sz w:val="16"/>
              </w:rPr>
              <w:t>Force</w:t>
            </w:r>
          </w:p>
        </w:tc>
        <w:tc>
          <w:tcPr>
            <w:tcW w:type="dxa" w:w="2948"/>
            <w:shd w:val="clear" w:color="auto" w:fill="1F4E79"/>
            <w:vAlign w:val="center"/>
          </w:tcPr>
          <w:p>
            <w:pPr>
              <w:spacing w:after="0" w:line="240" w:lineRule="auto"/>
            </w:pPr>
            <w:r>
              <w:rPr>
                <w:b/>
                <w:color w:val="FFFFFF"/>
                <w:sz w:val="16"/>
              </w:rPr>
              <w:t>Basic product makers</w:t>
            </w:r>
          </w:p>
        </w:tc>
        <w:tc>
          <w:tcPr>
            <w:tcW w:type="dxa" w:w="3175"/>
            <w:shd w:val="clear" w:color="auto" w:fill="1F4E79"/>
            <w:vAlign w:val="center"/>
          </w:tcPr>
          <w:p>
            <w:pPr>
              <w:spacing w:after="0" w:line="240" w:lineRule="auto"/>
            </w:pPr>
            <w:r>
              <w:rPr>
                <w:b/>
                <w:color w:val="FFFFFF"/>
                <w:sz w:val="16"/>
              </w:rPr>
              <w:t>Specialised product makers</w:t>
            </w:r>
          </w:p>
        </w:tc>
        <w:tc>
          <w:tcPr>
            <w:tcW w:type="dxa" w:w="2154"/>
            <w:shd w:val="clear" w:color="auto" w:fill="1F4E79"/>
            <w:vAlign w:val="center"/>
          </w:tcPr>
          <w:p>
            <w:pPr>
              <w:spacing w:after="0" w:line="240" w:lineRule="auto"/>
            </w:pPr>
            <w:r>
              <w:rPr>
                <w:b/>
                <w:color w:val="FFFFFF"/>
                <w:sz w:val="16"/>
              </w:rPr>
              <w:t>What it means for Bajaj</w:t>
            </w:r>
          </w:p>
        </w:tc>
      </w:tr>
      <w:tr>
        <w:trPr>
          <w:cantSplit/>
        </w:trPr>
        <w:tc>
          <w:tcPr>
            <w:tcW w:type="dxa" w:w="1474"/>
            <w:vAlign w:val="top"/>
          </w:tcPr>
          <w:p>
            <w:pPr>
              <w:spacing w:after="0" w:line="240" w:lineRule="auto"/>
            </w:pPr>
            <w:r>
              <w:rPr>
                <w:color w:val="2B2F36"/>
                <w:sz w:val="16"/>
              </w:rPr>
              <w:t>Supplier power</w:t>
            </w:r>
          </w:p>
        </w:tc>
        <w:tc>
          <w:tcPr>
            <w:tcW w:type="dxa" w:w="2948"/>
            <w:vAlign w:val="top"/>
          </w:tcPr>
          <w:p>
            <w:pPr>
              <w:spacing w:after="0" w:line="240" w:lineRule="auto"/>
            </w:pPr>
            <w:r>
              <w:rPr>
                <w:color w:val="2B2F36"/>
                <w:sz w:val="16"/>
              </w:rPr>
              <w:t>4/5 · LME metal and imported tin; the same for all customers</w:t>
            </w:r>
          </w:p>
        </w:tc>
        <w:tc>
          <w:tcPr>
            <w:tcW w:type="dxa" w:w="3175"/>
            <w:vAlign w:val="top"/>
          </w:tcPr>
          <w:p>
            <w:pPr>
              <w:spacing w:after="0" w:line="240" w:lineRule="auto"/>
            </w:pPr>
            <w:r>
              <w:rPr>
                <w:color w:val="2B2F36"/>
                <w:sz w:val="16"/>
              </w:rPr>
              <w:t>4/5 · same suppliers</w:t>
            </w:r>
          </w:p>
        </w:tc>
        <w:tc>
          <w:tcPr>
            <w:tcW w:type="dxa" w:w="2154"/>
            <w:vAlign w:val="top"/>
          </w:tcPr>
          <w:p>
            <w:pPr>
              <w:spacing w:after="0" w:line="240" w:lineRule="auto"/>
            </w:pPr>
            <w:r>
              <w:rPr>
                <w:color w:val="2B2F36"/>
                <w:sz w:val="16"/>
              </w:rPr>
              <w:t>Metal cost is ~97 % of price; manage scrap and tin buying</w:t>
            </w:r>
          </w:p>
        </w:tc>
      </w:tr>
      <w:tr>
        <w:trPr>
          <w:cantSplit/>
        </w:trPr>
        <w:tc>
          <w:tcPr>
            <w:tcW w:type="dxa" w:w="1474"/>
            <w:shd w:val="clear" w:color="auto" w:fill="F7F4EE"/>
            <w:vAlign w:val="top"/>
          </w:tcPr>
          <w:p>
            <w:pPr>
              <w:spacing w:after="0" w:line="240" w:lineRule="auto"/>
            </w:pPr>
            <w:r>
              <w:rPr>
                <w:color w:val="2B2F36"/>
                <w:sz w:val="16"/>
              </w:rPr>
              <w:t>Buyer power</w:t>
            </w:r>
          </w:p>
        </w:tc>
        <w:tc>
          <w:tcPr>
            <w:tcW w:type="dxa" w:w="2948"/>
            <w:shd w:val="clear" w:color="auto" w:fill="F7F4EE"/>
            <w:vAlign w:val="top"/>
          </w:tcPr>
          <w:p>
            <w:pPr>
              <w:spacing w:after="0" w:line="240" w:lineRule="auto"/>
            </w:pPr>
            <w:r>
              <w:rPr>
                <w:color w:val="2B2F36"/>
                <w:sz w:val="16"/>
              </w:rPr>
              <w:t>4/5 · many sellers of uncertified ingot; buyers switch for ₹10/kg; refuse metal pass-through</w:t>
            </w:r>
          </w:p>
        </w:tc>
        <w:tc>
          <w:tcPr>
            <w:tcW w:type="dxa" w:w="3175"/>
            <w:shd w:val="clear" w:color="auto" w:fill="F7F4EE"/>
            <w:vAlign w:val="top"/>
          </w:tcPr>
          <w:p>
            <w:pPr>
              <w:spacing w:after="0" w:line="240" w:lineRule="auto"/>
            </w:pPr>
            <w:r>
              <w:rPr>
                <w:color w:val="2B2F36"/>
                <w:sz w:val="16"/>
              </w:rPr>
              <w:t>2/5 · changing ingot means re-testing and re-approval (ISI type tests, class surveys, OEM approval); accept formula pricing</w:t>
            </w:r>
          </w:p>
        </w:tc>
        <w:tc>
          <w:tcPr>
            <w:tcW w:type="dxa" w:w="2154"/>
            <w:shd w:val="clear" w:color="auto" w:fill="F7F4EE"/>
            <w:vAlign w:val="top"/>
          </w:tcPr>
          <w:p>
            <w:pPr>
              <w:spacing w:after="0" w:line="240" w:lineRule="auto"/>
            </w:pPr>
            <w:r>
              <w:rPr>
                <w:color w:val="2B2F36"/>
                <w:sz w:val="16"/>
              </w:rPr>
              <w:t>Specialised accounts are sticky once won</w:t>
            </w:r>
          </w:p>
        </w:tc>
      </w:tr>
      <w:tr>
        <w:trPr>
          <w:cantSplit/>
        </w:trPr>
        <w:tc>
          <w:tcPr>
            <w:tcW w:type="dxa" w:w="1474"/>
            <w:vAlign w:val="top"/>
          </w:tcPr>
          <w:p>
            <w:pPr>
              <w:spacing w:after="0" w:line="240" w:lineRule="auto"/>
            </w:pPr>
            <w:r>
              <w:rPr>
                <w:color w:val="2B2F36"/>
                <w:sz w:val="16"/>
              </w:rPr>
              <w:t>Competitive rivalry</w:t>
            </w:r>
          </w:p>
        </w:tc>
        <w:tc>
          <w:tcPr>
            <w:tcW w:type="dxa" w:w="2948"/>
            <w:vAlign w:val="top"/>
          </w:tcPr>
          <w:p>
            <w:pPr>
              <w:spacing w:after="0" w:line="240" w:lineRule="auto"/>
            </w:pPr>
            <w:r>
              <w:rPr>
                <w:color w:val="2B2F36"/>
                <w:sz w:val="16"/>
              </w:rPr>
              <w:t>5/5 · scrap remelters and regional ingot makers compete on price</w:t>
            </w:r>
          </w:p>
        </w:tc>
        <w:tc>
          <w:tcPr>
            <w:tcW w:type="dxa" w:w="3175"/>
            <w:vAlign w:val="top"/>
          </w:tcPr>
          <w:p>
            <w:pPr>
              <w:spacing w:after="0" w:line="240" w:lineRule="auto"/>
            </w:pPr>
            <w:r>
              <w:rPr>
                <w:color w:val="2B2F36"/>
                <w:sz w:val="16"/>
              </w:rPr>
              <w:t>2/5 · few suppliers can certify every heat</w:t>
            </w:r>
          </w:p>
        </w:tc>
        <w:tc>
          <w:tcPr>
            <w:tcW w:type="dxa" w:w="2154"/>
            <w:vAlign w:val="top"/>
          </w:tcPr>
          <w:p>
            <w:pPr>
              <w:spacing w:after="0" w:line="240" w:lineRule="auto"/>
            </w:pPr>
            <w:r>
              <w:rPr>
                <w:color w:val="2B2F36"/>
                <w:sz w:val="16"/>
              </w:rPr>
              <w:t>Compete on certificates, not price</w:t>
            </w:r>
          </w:p>
        </w:tc>
      </w:tr>
      <w:tr>
        <w:trPr>
          <w:cantSplit/>
        </w:trPr>
        <w:tc>
          <w:tcPr>
            <w:tcW w:type="dxa" w:w="1474"/>
            <w:shd w:val="clear" w:color="auto" w:fill="F7F4EE"/>
            <w:vAlign w:val="top"/>
          </w:tcPr>
          <w:p>
            <w:pPr>
              <w:spacing w:after="0" w:line="240" w:lineRule="auto"/>
            </w:pPr>
            <w:r>
              <w:rPr>
                <w:color w:val="2B2F36"/>
                <w:sz w:val="16"/>
              </w:rPr>
              <w:t>Threat of substitutes</w:t>
            </w:r>
          </w:p>
        </w:tc>
        <w:tc>
          <w:tcPr>
            <w:tcW w:type="dxa" w:w="2948"/>
            <w:shd w:val="clear" w:color="auto" w:fill="F7F4EE"/>
            <w:vAlign w:val="top"/>
          </w:tcPr>
          <w:p>
            <w:pPr>
              <w:spacing w:after="0" w:line="240" w:lineRule="auto"/>
            </w:pPr>
            <w:r>
              <w:rPr>
                <w:color w:val="2B2F36"/>
                <w:sz w:val="16"/>
              </w:rPr>
              <w:t>5/5 · brass/DZR, CPVC/PPR, polymer impellers, sintered and bimetal bushes</w:t>
            </w:r>
          </w:p>
        </w:tc>
        <w:tc>
          <w:tcPr>
            <w:tcW w:type="dxa" w:w="3175"/>
            <w:shd w:val="clear" w:color="auto" w:fill="F7F4EE"/>
            <w:vAlign w:val="top"/>
          </w:tcPr>
          <w:p>
            <w:pPr>
              <w:spacing w:after="0" w:line="240" w:lineRule="auto"/>
            </w:pPr>
            <w:r>
              <w:rPr>
                <w:color w:val="2B2F36"/>
                <w:sz w:val="16"/>
              </w:rPr>
              <w:t>1/5 · standards fix the material (IS 5290 names LTB 2 gunmetal; class rules and OEM drawings name the bronze)</w:t>
            </w:r>
          </w:p>
        </w:tc>
        <w:tc>
          <w:tcPr>
            <w:tcW w:type="dxa" w:w="2154"/>
            <w:shd w:val="clear" w:color="auto" w:fill="F7F4EE"/>
            <w:vAlign w:val="top"/>
          </w:tcPr>
          <w:p>
            <w:pPr>
              <w:spacing w:after="0" w:line="240" w:lineRule="auto"/>
            </w:pPr>
            <w:r>
              <w:rPr>
                <w:color w:val="2B2F36"/>
                <w:sz w:val="16"/>
              </w:rPr>
              <w:t>Lead with specialised makers; basic buyers are volume filler</w:t>
            </w:r>
          </w:p>
        </w:tc>
      </w:tr>
      <w:tr>
        <w:trPr>
          <w:cantSplit/>
        </w:trPr>
        <w:tc>
          <w:tcPr>
            <w:tcW w:type="dxa" w:w="1474"/>
            <w:vAlign w:val="top"/>
          </w:tcPr>
          <w:p>
            <w:pPr>
              <w:spacing w:after="0" w:line="240" w:lineRule="auto"/>
            </w:pPr>
            <w:r>
              <w:rPr>
                <w:color w:val="2B2F36"/>
                <w:sz w:val="16"/>
              </w:rPr>
              <w:t>Threat of new entrants</w:t>
            </w:r>
          </w:p>
        </w:tc>
        <w:tc>
          <w:tcPr>
            <w:tcW w:type="dxa" w:w="2948"/>
            <w:vAlign w:val="top"/>
          </w:tcPr>
          <w:p>
            <w:pPr>
              <w:spacing w:after="0" w:line="240" w:lineRule="auto"/>
            </w:pPr>
            <w:r>
              <w:rPr>
                <w:color w:val="2B2F36"/>
                <w:sz w:val="16"/>
              </w:rPr>
              <w:t>3/5 · any remelter can make uncertified ingot</w:t>
            </w:r>
          </w:p>
        </w:tc>
        <w:tc>
          <w:tcPr>
            <w:tcW w:type="dxa" w:w="3175"/>
            <w:vAlign w:val="top"/>
          </w:tcPr>
          <w:p>
            <w:pPr>
              <w:spacing w:after="0" w:line="240" w:lineRule="auto"/>
            </w:pPr>
            <w:r>
              <w:rPr>
                <w:color w:val="2B2F36"/>
                <w:sz w:val="16"/>
              </w:rPr>
              <w:t>1/5 · approval history, spectro certificates and lead-melt consent take years</w:t>
            </w:r>
          </w:p>
        </w:tc>
        <w:tc>
          <w:tcPr>
            <w:tcW w:type="dxa" w:w="2154"/>
            <w:vAlign w:val="top"/>
          </w:tcPr>
          <w:p>
            <w:pPr>
              <w:spacing w:after="0" w:line="240" w:lineRule="auto"/>
            </w:pPr>
            <w:r>
              <w:rPr>
                <w:color w:val="2B2F36"/>
                <w:sz w:val="16"/>
              </w:rPr>
              <w:t>Keep consent and certification current</w:t>
            </w:r>
          </w:p>
        </w:tc>
      </w:tr>
      <w:tr>
        <w:trPr>
          <w:cantSplit/>
        </w:trPr>
        <w:tc>
          <w:tcPr>
            <w:tcW w:type="dxa" w:w="1474"/>
            <w:shd w:val="clear" w:color="auto" w:fill="F7F4EE"/>
            <w:vAlign w:val="top"/>
          </w:tcPr>
          <w:p>
            <w:pPr>
              <w:spacing w:after="0" w:line="240" w:lineRule="auto"/>
            </w:pPr>
            <w:r>
              <w:rPr>
                <w:b/>
                <w:color w:val="2B2F36"/>
                <w:sz w:val="16"/>
              </w:rPr>
              <w:t>Average</w:t>
            </w:r>
          </w:p>
        </w:tc>
        <w:tc>
          <w:tcPr>
            <w:tcW w:type="dxa" w:w="2948"/>
            <w:shd w:val="clear" w:color="auto" w:fill="F7F4EE"/>
            <w:vAlign w:val="top"/>
          </w:tcPr>
          <w:p>
            <w:pPr>
              <w:spacing w:after="0" w:line="240" w:lineRule="auto"/>
            </w:pPr>
            <w:r>
              <w:rPr>
                <w:b/>
                <w:color w:val="2B2F36"/>
                <w:sz w:val="16"/>
              </w:rPr>
              <w:t>4.2/5</w:t>
            </w:r>
          </w:p>
        </w:tc>
        <w:tc>
          <w:tcPr>
            <w:tcW w:type="dxa" w:w="3175"/>
            <w:shd w:val="clear" w:color="auto" w:fill="F7F4EE"/>
            <w:vAlign w:val="top"/>
          </w:tcPr>
          <w:p>
            <w:pPr>
              <w:spacing w:after="0" w:line="240" w:lineRule="auto"/>
            </w:pPr>
            <w:r>
              <w:rPr>
                <w:b/>
                <w:color w:val="2B2F36"/>
                <w:sz w:val="16"/>
              </w:rPr>
              <w:t>2.0/5</w:t>
            </w:r>
          </w:p>
        </w:tc>
        <w:tc>
          <w:tcPr>
            <w:tcW w:type="dxa" w:w="2154"/>
            <w:shd w:val="clear" w:color="auto" w:fill="F7F4EE"/>
            <w:vAlign w:val="top"/>
          </w:tcPr>
          <w:p>
            <w:pPr>
              <w:spacing w:after="0" w:line="240" w:lineRule="auto"/>
            </w:pPr>
          </w:p>
        </w:tc>
      </w:tr>
    </w:tbl>
    <w:p>
      <w:pPr>
        <w:spacing w:after="40"/>
      </w:pPr>
    </w:p>
    <w:p>
      <w:pPr>
        <w:keepNext/>
        <w:spacing w:after="40"/>
        <w:jc w:val="center"/>
      </w:pPr>
      <w:r>
        <w:drawing>
          <wp:inline xmlns:a="http://schemas.openxmlformats.org/drawingml/2006/main" xmlns:pic="http://schemas.openxmlformats.org/drawingml/2006/picture">
            <wp:extent cx="4860000" cy="2695714"/>
            <wp:docPr id="36" name="Picture 36"/>
            <wp:cNvGraphicFramePr>
              <a:graphicFrameLocks noChangeAspect="1"/>
            </wp:cNvGraphicFramePr>
            <a:graphic>
              <a:graphicData uri="http://schemas.openxmlformats.org/drawingml/2006/picture">
                <pic:pic>
                  <pic:nvPicPr>
                    <pic:cNvPr id="0" name="d15.png"/>
                    <pic:cNvPicPr/>
                  </pic:nvPicPr>
                  <pic:blipFill>
                    <a:blip r:embed="rId46"/>
                    <a:stretch>
                      <a:fillRect/>
                    </a:stretch>
                  </pic:blipFill>
                  <pic:spPr>
                    <a:xfrm>
                      <a:off x="0" y="0"/>
                      <a:ext cx="4860000" cy="2695714"/>
                    </a:xfrm>
                    <a:prstGeom prst="rect"/>
                  </pic:spPr>
                </pic:pic>
              </a:graphicData>
            </a:graphic>
          </wp:inline>
        </w:drawing>
      </w:r>
    </w:p>
    <w:p>
      <w:pPr>
        <w:spacing w:after="160"/>
      </w:pPr>
      <w:r>
        <w:rPr>
          <w:b/>
          <w:color w:val="5B6470"/>
          <w:sz w:val="17"/>
        </w:rPr>
        <w:t>Figure 36.</w:t>
      </w:r>
      <w:r>
        <w:rPr>
          <w:color w:val="5B6470"/>
          <w:sz w:val="17"/>
        </w:rPr>
        <w:t xml:space="preserve"> Five Forces by segment: average 4.2/5 for basic makers against 2.0/5 for specialised makers. The widest gap is substitutes (5 vs 1).</w:t>
      </w:r>
    </w:p>
    <w:p>
      <w:pPr>
        <w:pStyle w:val="Heading2"/>
      </w:pPr>
      <w:r>
        <w:t>Threat of substitutes in detail</w:t>
      </w:r>
    </w:p>
    <w:p>
      <w:r>
        <w:t>A plumbing-fitting caster can switch to brass or plastic overnight, and so can its customers. A hydrant-valve maker cannot: IS 5290 names the material and the BIS licence covers the approved design. A sugar-mill bearing maker will not risk a cheaper alloy on a roller that stops the mill if it seizes.</w:t>
      </w:r>
    </w:p>
    <w:p>
      <w:pPr>
        <w:keepNext/>
        <w:spacing w:after="40"/>
        <w:jc w:val="center"/>
      </w:pPr>
      <w:r>
        <w:drawing>
          <wp:inline xmlns:a="http://schemas.openxmlformats.org/drawingml/2006/main" xmlns:pic="http://schemas.openxmlformats.org/drawingml/2006/picture">
            <wp:extent cx="4860000" cy="2354214"/>
            <wp:docPr id="37" name="Picture 37"/>
            <wp:cNvGraphicFramePr>
              <a:graphicFrameLocks noChangeAspect="1"/>
            </wp:cNvGraphicFramePr>
            <a:graphic>
              <a:graphicData uri="http://schemas.openxmlformats.org/drawingml/2006/picture">
                <pic:pic>
                  <pic:nvPicPr>
                    <pic:cNvPr id="0" name="d16.png"/>
                    <pic:cNvPicPr/>
                  </pic:nvPicPr>
                  <pic:blipFill>
                    <a:blip r:embed="rId47"/>
                    <a:stretch>
                      <a:fillRect/>
                    </a:stretch>
                  </pic:blipFill>
                  <pic:spPr>
                    <a:xfrm>
                      <a:off x="0" y="0"/>
                      <a:ext cx="4860000" cy="2354214"/>
                    </a:xfrm>
                    <a:prstGeom prst="rect"/>
                  </pic:spPr>
                </pic:pic>
              </a:graphicData>
            </a:graphic>
          </wp:inline>
        </w:drawing>
      </w:r>
    </w:p>
    <w:p>
      <w:pPr>
        <w:spacing w:after="160"/>
      </w:pPr>
      <w:r>
        <w:rPr>
          <w:b/>
          <w:color w:val="5B6470"/>
          <w:sz w:val="17"/>
        </w:rPr>
        <w:t>Figure 37.</w:t>
      </w:r>
      <w:r>
        <w:rPr>
          <w:color w:val="5B6470"/>
          <w:sz w:val="17"/>
        </w:rPr>
        <w:t xml:space="preserve"> Substitute threat by product and substitute material (0 none … 3 high). Judgement, from standards and duty conditions.</w:t>
      </w: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1F4E79"/>
            </w:tcBorders>
            <w:shd w:val="clear" w:color="auto" w:fill="EEF3F8"/>
          </w:tcPr>
          <w:p>
            <w:pPr>
              <w:spacing w:after="60"/>
            </w:pPr>
            <w:r>
              <w:rPr>
                <w:b/>
                <w:color w:val="1F4E79"/>
                <w:sz w:val="20"/>
              </w:rPr>
              <w:t>How Bajaj should use the segmentation</w:t>
            </w:r>
          </w:p>
          <w:p>
            <w:pPr>
              <w:spacing w:after="40" w:line="252" w:lineRule="auto"/>
              <w:ind w:left="255" w:hanging="255"/>
            </w:pPr>
            <w:r>
              <w:rPr>
                <w:color w:val="2B2F36"/>
                <w:sz w:val="19"/>
              </w:rPr>
              <w:t xml:space="preserve">• </w:t>
            </w:r>
            <w:r>
              <w:rPr>
                <w:b/>
                <w:color w:val="2B2F36"/>
                <w:sz w:val="19"/>
              </w:rPr>
              <w:t>Prioritise specialised makers (≈ 35 % of demand):</w:t>
            </w:r>
            <w:r>
              <w:rPr>
                <w:color w:val="2B2F36"/>
                <w:sz w:val="19"/>
              </w:rPr>
              <w:t xml:space="preserve"> lower pressure on every force, stickier accounts, room for a certification premium.</w:t>
            </w:r>
          </w:p>
          <w:p>
            <w:pPr>
              <w:spacing w:after="40" w:line="252" w:lineRule="auto"/>
              <w:ind w:left="255" w:hanging="255"/>
            </w:pPr>
            <w:r>
              <w:rPr>
                <w:color w:val="2B2F36"/>
                <w:sz w:val="19"/>
              </w:rPr>
              <w:t xml:space="preserve">• </w:t>
            </w:r>
            <w:r>
              <w:rPr>
                <w:b/>
                <w:color w:val="2B2F36"/>
                <w:sz w:val="19"/>
              </w:rPr>
              <w:t>Serve standard industrial buyers (≈ 35 %)</w:t>
            </w:r>
            <w:r>
              <w:rPr>
                <w:color w:val="2B2F36"/>
                <w:sz w:val="19"/>
              </w:rPr>
              <w:t xml:space="preserve"> on formula pricing and consistency: the volume base.</w:t>
            </w:r>
          </w:p>
          <w:p>
            <w:pPr>
              <w:spacing w:after="40" w:line="252" w:lineRule="auto"/>
              <w:ind w:left="255" w:hanging="255"/>
            </w:pPr>
            <w:r>
              <w:rPr>
                <w:color w:val="2B2F36"/>
                <w:sz w:val="19"/>
              </w:rPr>
              <w:t xml:space="preserve">• </w:t>
            </w:r>
            <w:r>
              <w:rPr>
                <w:b/>
                <w:color w:val="2B2F36"/>
                <w:sz w:val="19"/>
              </w:rPr>
              <w:t>Sell to basic makers only at formula price with no credit risk;</w:t>
            </w:r>
            <w:r>
              <w:rPr>
                <w:color w:val="2B2F36"/>
                <w:sz w:val="19"/>
              </w:rPr>
              <w:t xml:space="preserve"> their demand shrinks under substitutes and lead rules.</w:t>
            </w:r>
          </w:p>
          <w:p>
            <w:pPr>
              <w:spacing w:after="40" w:line="252" w:lineRule="auto"/>
              <w:ind w:left="255" w:hanging="255"/>
            </w:pPr>
            <w:r>
              <w:rPr>
                <w:color w:val="2B2F36"/>
                <w:sz w:val="19"/>
              </w:rPr>
              <w:t xml:space="preserve">• </w:t>
            </w:r>
            <w:r>
              <w:rPr>
                <w:b/>
                <w:color w:val="2B2F36"/>
                <w:sz w:val="19"/>
              </w:rPr>
              <w:t>Develop a low-lead gunmetal</w:t>
            </w:r>
            <w:r>
              <w:rPr>
                <w:color w:val="2B2F36"/>
                <w:sz w:val="19"/>
              </w:rPr>
              <w:t xml:space="preserve"> so that meter and potable-water valve makers can move from the basic to the specified column.</w:t>
            </w:r>
          </w:p>
        </w:tc>
      </w:tr>
    </w:tbl>
    <w:p>
      <w:pPr>
        <w:spacing w:after="40"/>
      </w:pPr>
    </w:p>
    <w:p>
      <w:pPr>
        <w:pStyle w:val="Heading1"/>
      </w:pPr>
      <w:r>
        <w:t>14. SWOT and TOWS</w:t>
      </w:r>
    </w:p>
    <w:p>
      <w:pPr>
        <w:keepNext/>
        <w:spacing w:after="40"/>
      </w:pPr>
      <w:r>
        <w:rPr>
          <w:b/>
          <w:color w:val="5B6470"/>
          <w:sz w:val="18"/>
        </w:rPr>
        <w:t>Table 35.</w:t>
      </w:r>
      <w:r>
        <w:rPr>
          <w:color w:val="5B6470"/>
          <w:sz w:val="18"/>
        </w:rPr>
        <w:t xml:space="preserve"> SWOT</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4876"/>
        <w:gridCol w:w="4876"/>
      </w:tblGrid>
      <w:tr>
        <w:trPr>
          <w:cantSplit/>
          <w:tblHeader/>
        </w:trPr>
        <w:tc>
          <w:tcPr>
            <w:tcW w:type="dxa" w:w="4876"/>
            <w:shd w:val="clear" w:color="auto" w:fill="1F4E79"/>
            <w:vAlign w:val="center"/>
          </w:tcPr>
          <w:p>
            <w:pPr>
              <w:spacing w:after="0" w:line="240" w:lineRule="auto"/>
            </w:pPr>
            <w:r>
              <w:rPr>
                <w:b/>
                <w:color w:val="FFFFFF"/>
                <w:sz w:val="16"/>
              </w:rPr>
              <w:t>Strengths (internal)</w:t>
            </w:r>
          </w:p>
        </w:tc>
        <w:tc>
          <w:tcPr>
            <w:tcW w:type="dxa" w:w="4876"/>
            <w:shd w:val="clear" w:color="auto" w:fill="1F4E79"/>
            <w:vAlign w:val="center"/>
          </w:tcPr>
          <w:p>
            <w:pPr>
              <w:spacing w:after="0" w:line="240" w:lineRule="auto"/>
            </w:pPr>
            <w:r>
              <w:rPr>
                <w:b/>
                <w:color w:val="FFFFFF"/>
                <w:sz w:val="16"/>
              </w:rPr>
              <w:t>Weaknesses (internal)</w:t>
            </w:r>
          </w:p>
        </w:tc>
      </w:tr>
      <w:tr>
        <w:trPr>
          <w:cantSplit/>
        </w:trPr>
        <w:tc>
          <w:tcPr>
            <w:tcW w:type="dxa" w:w="4876"/>
            <w:vAlign w:val="top"/>
          </w:tcPr>
          <w:p>
            <w:pPr>
              <w:spacing w:after="0" w:line="240" w:lineRule="auto"/>
            </w:pPr>
            <w:r>
              <w:rPr>
                <w:color w:val="2B2F36"/>
                <w:sz w:val="16"/>
              </w:rPr>
              <w:t>• Existing brass and bronze melting, scrap sourcing and analysis capability (the scrap route in Section 6.5)</w:t>
              <w:br/>
              <w:t>• Bhiwadi location: 75–160 km from the Manesar–Gurugram, Faridabad, Delhi, Ghaziabad, Noida and Prithla clusters</w:t>
              <w:br/>
              <w:t>• Same furnace route covers all six grades; only the charge mix changes</w:t>
              <w:br/>
              <w:t>• Pollution-control consent for lead-bearing melts in place</w:t>
            </w:r>
          </w:p>
        </w:tc>
        <w:tc>
          <w:tcPr>
            <w:tcW w:type="dxa" w:w="4876"/>
            <w:vAlign w:val="top"/>
          </w:tcPr>
          <w:p>
            <w:pPr>
              <w:spacing w:after="0" w:line="240" w:lineRule="auto"/>
            </w:pPr>
            <w:r>
              <w:rPr>
                <w:color w:val="2B2F36"/>
                <w:sz w:val="16"/>
              </w:rPr>
              <w:t>• Tin must be imported and is volatile (+29 % in 2026); holding it ties up working capital</w:t>
              <w:br/>
              <w:t>• CC495K needs careful melt practice to keep 8–11 % lead evenly spread, especially for centrifugal bushes</w:t>
              <w:br/>
              <w:t>• No EN or UNS-grade track record yet with export-oriented foundries</w:t>
              <w:br/>
              <w:t>• Far from the Rajkot–Ahmedabad (900–1,050 km) and Coimbatore (2,300 km) clusters and from the coast</w:t>
            </w:r>
          </w:p>
        </w:tc>
      </w:tr>
      <w:tr>
        <w:trPr>
          <w:cantSplit/>
        </w:trPr>
        <w:tc>
          <w:tcPr>
            <w:tcW w:type="dxa" w:w="4876"/>
            <w:shd w:val="clear" w:color="auto" w:fill="F1D9B8"/>
            <w:vAlign w:val="top"/>
          </w:tcPr>
          <w:p>
            <w:pPr>
              <w:spacing w:after="0" w:line="240" w:lineRule="auto"/>
            </w:pPr>
            <w:r>
              <w:rPr>
                <w:b/>
                <w:color w:val="2B2F36"/>
                <w:sz w:val="16"/>
              </w:rPr>
              <w:t>Opportunities (external)</w:t>
            </w:r>
          </w:p>
        </w:tc>
        <w:tc>
          <w:tcPr>
            <w:tcW w:type="dxa" w:w="4876"/>
            <w:shd w:val="clear" w:color="auto" w:fill="F1D9B8"/>
            <w:vAlign w:val="top"/>
          </w:tcPr>
          <w:p>
            <w:pPr>
              <w:spacing w:after="0" w:line="240" w:lineRule="auto"/>
            </w:pPr>
            <w:r>
              <w:rPr>
                <w:b/>
                <w:color w:val="2B2F36"/>
                <w:sz w:val="16"/>
              </w:rPr>
              <w:t>Threats (external)</w:t>
            </w:r>
          </w:p>
        </w:tc>
      </w:tr>
      <w:tr>
        <w:trPr>
          <w:cantSplit/>
        </w:trPr>
        <w:tc>
          <w:tcPr>
            <w:tcW w:type="dxa" w:w="4876"/>
            <w:vAlign w:val="top"/>
          </w:tcPr>
          <w:p>
            <w:pPr>
              <w:spacing w:after="0" w:line="240" w:lineRule="auto"/>
            </w:pPr>
            <w:r>
              <w:rPr>
                <w:color w:val="2B2F36"/>
                <w:sz w:val="16"/>
              </w:rPr>
              <w:t>• Exporting foundries: US$ 2.1 bn valves and US$ 1.3 bn pumps exported in 2023</w:t>
              <w:br/>
              <w:t>• Bushes (25 % of demand) with nearby buyers: Faridabad OEMs, Delhi and Ghaziabad sugar-mill bearing makers, Prithla–Noida hydro</w:t>
              <w:br/>
              <w:t>• Specified niches (fire, marine, sugar mills, IBR) where standards lock in bronze</w:t>
              <w:br/>
              <w:t>• India–EU FTA from 2027; EPR makes recycled ingot a selling point</w:t>
            </w:r>
          </w:p>
        </w:tc>
        <w:tc>
          <w:tcPr>
            <w:tcW w:type="dxa" w:w="4876"/>
            <w:vAlign w:val="top"/>
          </w:tcPr>
          <w:p>
            <w:pPr>
              <w:spacing w:after="0" w:line="240" w:lineRule="auto"/>
            </w:pPr>
            <w:r>
              <w:rPr>
                <w:color w:val="2B2F36"/>
                <w:sz w:val="16"/>
              </w:rPr>
              <w:t>• Lead-free drinking-water rules shrink plumbing and meter demand</w:t>
              <w:br/>
              <w:t>• Tin supply shocks and copper near record highs; weak rupee raises import cost</w:t>
              <w:br/>
              <w:t>• US tariff changes hit Bajaj's foundry customers</w:t>
              <w:br/>
              <w:t>• Uncertified scrap remelters undercut in basic segments (and share Bajaj's scrap advantage)</w:t>
              <w:br/>
              <w:t>• New labour, EPR and approval costs</w:t>
            </w:r>
          </w:p>
        </w:tc>
      </w:tr>
    </w:tbl>
    <w:p>
      <w:pPr>
        <w:spacing w:after="40"/>
      </w:pPr>
    </w:p>
    <w:p>
      <w:pPr>
        <w:pStyle w:val="Heading2"/>
      </w:pPr>
      <w:r>
        <w:t>TOWS: turning SWOT into strategy</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4876"/>
        <w:gridCol w:w="4876"/>
      </w:tblGrid>
      <w:tr>
        <w:trPr>
          <w:cantSplit/>
          <w:tblHeader/>
        </w:trPr>
        <w:tc>
          <w:tcPr>
            <w:tcW w:type="dxa" w:w="4876"/>
            <w:shd w:val="clear" w:color="auto" w:fill="1F4E79"/>
            <w:vAlign w:val="center"/>
          </w:tcPr>
          <w:p>
            <w:pPr>
              <w:spacing w:after="0" w:line="240" w:lineRule="auto"/>
            </w:pPr>
            <w:r>
              <w:rPr>
                <w:b/>
                <w:color w:val="FFFFFF"/>
                <w:sz w:val="16"/>
              </w:rPr>
              <w:t>S–O: use strengths to seize opportunities</w:t>
            </w:r>
          </w:p>
        </w:tc>
        <w:tc>
          <w:tcPr>
            <w:tcW w:type="dxa" w:w="4876"/>
            <w:shd w:val="clear" w:color="auto" w:fill="1F4E79"/>
            <w:vAlign w:val="center"/>
          </w:tcPr>
          <w:p>
            <w:pPr>
              <w:spacing w:after="0" w:line="240" w:lineRule="auto"/>
            </w:pPr>
            <w:r>
              <w:rPr>
                <w:b/>
                <w:color w:val="FFFFFF"/>
                <w:sz w:val="16"/>
              </w:rPr>
              <w:t>W–O: fix weaknesses using opportunities</w:t>
            </w:r>
          </w:p>
        </w:tc>
      </w:tr>
      <w:tr>
        <w:trPr>
          <w:cantSplit/>
        </w:trPr>
        <w:tc>
          <w:tcPr>
            <w:tcW w:type="dxa" w:w="4876"/>
            <w:vAlign w:val="top"/>
          </w:tcPr>
          <w:p>
            <w:pPr>
              <w:spacing w:after="0" w:line="240" w:lineRule="auto"/>
            </w:pPr>
            <w:r>
              <w:rPr>
                <w:color w:val="2B2F36"/>
                <w:sz w:val="16"/>
              </w:rPr>
              <w:t>• Become the certified supplier to specialised fire, marine and bearing makers</w:t>
              <w:br/>
              <w:t>• Serve Faridabad, Delhi-NCR and Prithla–Noida bush and valve buyers within 48 hours</w:t>
              <w:br/>
              <w:t>• Use lead-melt consent and EPR registration to sell traceable recycled ingot</w:t>
            </w:r>
          </w:p>
        </w:tc>
        <w:tc>
          <w:tcPr>
            <w:tcW w:type="dxa" w:w="4876"/>
            <w:vAlign w:val="top"/>
          </w:tcPr>
          <w:p>
            <w:pPr>
              <w:spacing w:after="0" w:line="240" w:lineRule="auto"/>
            </w:pPr>
            <w:r>
              <w:rPr>
                <w:color w:val="2B2F36"/>
                <w:sz w:val="16"/>
              </w:rPr>
              <w:t>• Overcome the missing track record with trial heats at 3–5 export and specialised foundries, with spectro certificates in EN, UNS and IS terms</w:t>
              <w:br/>
              <w:t>• Offset distance from Rajkot and the coast with freight-inclusive prices</w:t>
              <w:br/>
              <w:t>• Fund tin through back-to-back purchases on confirmed orders</w:t>
            </w:r>
          </w:p>
        </w:tc>
      </w:tr>
      <w:tr>
        <w:trPr>
          <w:cantSplit/>
        </w:trPr>
        <w:tc>
          <w:tcPr>
            <w:tcW w:type="dxa" w:w="4876"/>
            <w:shd w:val="clear" w:color="auto" w:fill="F1D9B8"/>
            <w:vAlign w:val="top"/>
          </w:tcPr>
          <w:p>
            <w:pPr>
              <w:spacing w:after="0" w:line="240" w:lineRule="auto"/>
            </w:pPr>
            <w:r>
              <w:rPr>
                <w:b/>
                <w:color w:val="2B2F36"/>
                <w:sz w:val="16"/>
              </w:rPr>
              <w:t>S–T: use strengths to blunt threats</w:t>
            </w:r>
          </w:p>
        </w:tc>
        <w:tc>
          <w:tcPr>
            <w:tcW w:type="dxa" w:w="4876"/>
            <w:shd w:val="clear" w:color="auto" w:fill="F1D9B8"/>
            <w:vAlign w:val="top"/>
          </w:tcPr>
          <w:p>
            <w:pPr>
              <w:spacing w:after="0" w:line="240" w:lineRule="auto"/>
            </w:pPr>
            <w:r>
              <w:rPr>
                <w:b/>
                <w:color w:val="2B2F36"/>
                <w:sz w:val="16"/>
              </w:rPr>
              <w:t>W–T: minimise weaknesses, avoid threats</w:t>
            </w:r>
          </w:p>
        </w:tc>
      </w:tr>
      <w:tr>
        <w:trPr>
          <w:cantSplit/>
        </w:trPr>
        <w:tc>
          <w:tcPr>
            <w:tcW w:type="dxa" w:w="4876"/>
            <w:vAlign w:val="top"/>
          </w:tcPr>
          <w:p>
            <w:pPr>
              <w:spacing w:after="0" w:line="240" w:lineRule="auto"/>
            </w:pPr>
            <w:r>
              <w:rPr>
                <w:color w:val="2B2F36"/>
                <w:sz w:val="16"/>
              </w:rPr>
              <w:t>• Defend against remelters with certificates and heat-to-heat consistency, not price cuts</w:t>
              <w:br/>
              <w:t>• Use LME × ₹/US$ formula pricing so metal and currency swings pass through</w:t>
              <w:br/>
              <w:t>• Spread customers across domestic infrastructure, bushes and exports to limit US-tariff exposure</w:t>
            </w:r>
          </w:p>
        </w:tc>
        <w:tc>
          <w:tcPr>
            <w:tcW w:type="dxa" w:w="4876"/>
            <w:vAlign w:val="top"/>
          </w:tcPr>
          <w:p>
            <w:pPr>
              <w:spacing w:after="0" w:line="240" w:lineRule="auto"/>
            </w:pPr>
            <w:r>
              <w:rPr>
                <w:color w:val="2B2F36"/>
                <w:sz w:val="16"/>
              </w:rPr>
              <w:t>• Make CC494K and CC495K to order to avoid holding high-tin stock</w:t>
              <w:br/>
              <w:t>• Develop a low-lead gunmetal before plumbing and meter customers are forced to switch</w:t>
              <w:br/>
              <w:t>• Register for EPR early to avoid penalties and scrap-supply disruption</w:t>
            </w:r>
          </w:p>
        </w:tc>
      </w:tr>
    </w:tbl>
    <w:p>
      <w:pPr>
        <w:spacing w:after="40"/>
      </w:pPr>
    </w:p>
    <w:p>
      <w:r>
        <w:br w:type="page"/>
      </w:r>
    </w:p>
    <w:p>
      <w:pPr>
        <w:pStyle w:val="Heading1"/>
      </w:pPr>
      <w:r>
        <w:t>15. Where to sell: GE–McKinsey and Ansoff</w:t>
      </w:r>
    </w:p>
    <w:p>
      <w:pPr>
        <w:pStyle w:val="Heading2"/>
      </w:pPr>
      <w:r>
        <w:t>15.1 GE–McKinsey nine-box, recomputed</w:t>
      </w:r>
    </w:p>
    <w:p>
      <w:r>
        <w:t xml:space="preserve">Both axes are computed from stated inputs, so the zone of each application follows from numbers shown earlier. </w:t>
      </w:r>
      <w:r>
        <w:rPr>
          <w:b/>
        </w:rPr>
        <w:t>Attractiveness</w:t>
      </w:r>
      <w:r>
        <w:t xml:space="preserve"> = 30 % size score + 30 % growth score + 25 % margin potential + 15 % low-substitute-threat score (Section 10.1 rules; for the three major uses, size is 5). </w:t>
      </w:r>
      <w:r>
        <w:rPr>
          <w:b/>
        </w:rPr>
        <w:t>Business strength</w:t>
      </w:r>
      <w:r>
        <w:t xml:space="preserve"> = 35 % proximity (share of buyers within 450 km) + 25 % ease of entry (approvals and vendor registration) + 25 % certification advantage + 15 % melt-practice ease (penalty for the CC494K/CC495K share of the application). High ≥ 3.5, medium 2.5–3.5, low &lt; 2.5 on both axes.</w:t>
      </w:r>
    </w:p>
    <w:p>
      <w:pPr>
        <w:keepNext/>
        <w:spacing w:after="40"/>
        <w:jc w:val="center"/>
      </w:pPr>
      <w:r>
        <w:drawing>
          <wp:inline xmlns:a="http://schemas.openxmlformats.org/drawingml/2006/main" xmlns:pic="http://schemas.openxmlformats.org/drawingml/2006/picture">
            <wp:extent cx="4860000" cy="3830542"/>
            <wp:docPr id="38" name="Picture 38"/>
            <wp:cNvGraphicFramePr>
              <a:graphicFrameLocks noChangeAspect="1"/>
            </wp:cNvGraphicFramePr>
            <a:graphic>
              <a:graphicData uri="http://schemas.openxmlformats.org/drawingml/2006/picture">
                <pic:pic>
                  <pic:nvPicPr>
                    <pic:cNvPr id="0" name="d18.png"/>
                    <pic:cNvPicPr/>
                  </pic:nvPicPr>
                  <pic:blipFill>
                    <a:blip r:embed="rId48"/>
                    <a:stretch>
                      <a:fillRect/>
                    </a:stretch>
                  </pic:blipFill>
                  <pic:spPr>
                    <a:xfrm>
                      <a:off x="0" y="0"/>
                      <a:ext cx="4860000" cy="3830542"/>
                    </a:xfrm>
                    <a:prstGeom prst="rect"/>
                  </pic:spPr>
                </pic:pic>
              </a:graphicData>
            </a:graphic>
          </wp:inline>
        </w:drawing>
      </w:r>
    </w:p>
    <w:p>
      <w:pPr>
        <w:spacing w:after="160"/>
      </w:pPr>
      <w:r>
        <w:rPr>
          <w:b/>
          <w:color w:val="5B6470"/>
          <w:sz w:val="17"/>
        </w:rPr>
        <w:t>Figure 38.</w:t>
      </w:r>
      <w:r>
        <w:rPr>
          <w:color w:val="5B6470"/>
          <w:sz w:val="17"/>
        </w:rPr>
        <w:t xml:space="preserve"> GE–McKinsey nine-box with bubble size = share of tonnes. Numbers are keyed in the table below. Zones: dark = Invest, mid = Build selectively, light = On enquiry, lightest = Harvest/avoid.</w:t>
      </w:r>
    </w:p>
    <w:p>
      <w:pPr>
        <w:keepNext/>
        <w:spacing w:after="40"/>
      </w:pPr>
      <w:r>
        <w:rPr>
          <w:b/>
          <w:color w:val="5B6470"/>
          <w:sz w:val="18"/>
        </w:rPr>
        <w:t>Table 36.</w:t>
      </w:r>
      <w:r>
        <w:rPr>
          <w:color w:val="5B6470"/>
          <w:sz w:val="18"/>
        </w:rPr>
        <w:t xml:space="preserve"> Nine-box scores and zones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470"/>
        <w:gridCol w:w="2937"/>
        <w:gridCol w:w="940"/>
        <w:gridCol w:w="940"/>
        <w:gridCol w:w="1057"/>
        <w:gridCol w:w="1057"/>
        <w:gridCol w:w="2350"/>
      </w:tblGrid>
      <w:tr>
        <w:trPr>
          <w:cantSplit/>
          <w:tblHeader/>
        </w:trPr>
        <w:tc>
          <w:tcPr>
            <w:tcW w:type="dxa" w:w="470"/>
            <w:shd w:val="clear" w:color="auto" w:fill="1F4E79"/>
            <w:vAlign w:val="center"/>
          </w:tcPr>
          <w:p>
            <w:pPr>
              <w:spacing w:after="0" w:line="240" w:lineRule="auto"/>
            </w:pPr>
            <w:r>
              <w:rPr>
                <w:b/>
                <w:color w:val="FFFFFF"/>
                <w:sz w:val="16"/>
              </w:rPr>
              <w:t>#</w:t>
            </w:r>
          </w:p>
        </w:tc>
        <w:tc>
          <w:tcPr>
            <w:tcW w:type="dxa" w:w="2937"/>
            <w:shd w:val="clear" w:color="auto" w:fill="1F4E79"/>
            <w:vAlign w:val="center"/>
          </w:tcPr>
          <w:p>
            <w:pPr>
              <w:spacing w:after="0" w:line="240" w:lineRule="auto"/>
            </w:pPr>
            <w:r>
              <w:rPr>
                <w:b/>
                <w:color w:val="FFFFFF"/>
                <w:sz w:val="16"/>
              </w:rPr>
              <w:t>Application</w:t>
            </w:r>
          </w:p>
        </w:tc>
        <w:tc>
          <w:tcPr>
            <w:tcW w:type="dxa" w:w="940"/>
            <w:shd w:val="clear" w:color="auto" w:fill="1F4E79"/>
            <w:vAlign w:val="center"/>
          </w:tcPr>
          <w:p>
            <w:pPr>
              <w:spacing w:after="0" w:line="240" w:lineRule="auto"/>
            </w:pPr>
            <w:r>
              <w:rPr>
                <w:b/>
                <w:color w:val="FFFFFF"/>
                <w:sz w:val="16"/>
              </w:rPr>
              <w:t>Share</w:t>
            </w:r>
          </w:p>
        </w:tc>
        <w:tc>
          <w:tcPr>
            <w:tcW w:type="dxa" w:w="940"/>
            <w:shd w:val="clear" w:color="auto" w:fill="1F4E79"/>
            <w:vAlign w:val="center"/>
          </w:tcPr>
          <w:p>
            <w:pPr>
              <w:spacing w:after="0" w:line="240" w:lineRule="auto"/>
            </w:pPr>
            <w:r>
              <w:rPr>
                <w:b/>
                <w:color w:val="FFFFFF"/>
                <w:sz w:val="16"/>
              </w:rPr>
              <w:t>Growth</w:t>
            </w:r>
          </w:p>
        </w:tc>
        <w:tc>
          <w:tcPr>
            <w:tcW w:type="dxa" w:w="1057"/>
            <w:shd w:val="clear" w:color="auto" w:fill="1F4E79"/>
            <w:vAlign w:val="center"/>
          </w:tcPr>
          <w:p>
            <w:pPr>
              <w:spacing w:after="0" w:line="240" w:lineRule="auto"/>
            </w:pPr>
            <w:r>
              <w:rPr>
                <w:b/>
                <w:color w:val="FFFFFF"/>
                <w:sz w:val="16"/>
              </w:rPr>
              <w:t>Attract.</w:t>
            </w:r>
          </w:p>
        </w:tc>
        <w:tc>
          <w:tcPr>
            <w:tcW w:type="dxa" w:w="1057"/>
            <w:shd w:val="clear" w:color="auto" w:fill="1F4E79"/>
            <w:vAlign w:val="center"/>
          </w:tcPr>
          <w:p>
            <w:pPr>
              <w:spacing w:after="0" w:line="240" w:lineRule="auto"/>
            </w:pPr>
            <w:r>
              <w:rPr>
                <w:b/>
                <w:color w:val="FFFFFF"/>
                <w:sz w:val="16"/>
              </w:rPr>
              <w:t>Strength</w:t>
            </w:r>
          </w:p>
        </w:tc>
        <w:tc>
          <w:tcPr>
            <w:tcW w:type="dxa" w:w="2350"/>
            <w:shd w:val="clear" w:color="auto" w:fill="1F4E79"/>
            <w:vAlign w:val="center"/>
          </w:tcPr>
          <w:p>
            <w:pPr>
              <w:spacing w:after="0" w:line="240" w:lineRule="auto"/>
            </w:pPr>
            <w:r>
              <w:rPr>
                <w:b/>
                <w:color w:val="FFFFFF"/>
                <w:sz w:val="16"/>
              </w:rPr>
              <w:t>Zone</w:t>
            </w:r>
          </w:p>
        </w:tc>
      </w:tr>
      <w:tr>
        <w:trPr>
          <w:cantSplit/>
        </w:trPr>
        <w:tc>
          <w:tcPr>
            <w:tcW w:type="dxa" w:w="470"/>
            <w:vAlign w:val="top"/>
          </w:tcPr>
          <w:p>
            <w:pPr>
              <w:spacing w:after="0" w:line="240" w:lineRule="auto"/>
              <w:jc w:val="center"/>
            </w:pPr>
            <w:r>
              <w:rPr>
                <w:color w:val="2B2F36"/>
                <w:sz w:val="16"/>
              </w:rPr>
              <w:t>1</w:t>
            </w:r>
          </w:p>
        </w:tc>
        <w:tc>
          <w:tcPr>
            <w:tcW w:type="dxa" w:w="2937"/>
            <w:vAlign w:val="top"/>
          </w:tcPr>
          <w:p>
            <w:pPr>
              <w:spacing w:after="0" w:line="240" w:lineRule="auto"/>
            </w:pPr>
            <w:r>
              <w:rPr>
                <w:color w:val="2B2F36"/>
                <w:sz w:val="16"/>
              </w:rPr>
              <w:t>Pumps</w:t>
            </w:r>
          </w:p>
        </w:tc>
        <w:tc>
          <w:tcPr>
            <w:tcW w:type="dxa" w:w="940"/>
            <w:vAlign w:val="top"/>
          </w:tcPr>
          <w:p>
            <w:pPr>
              <w:spacing w:after="0" w:line="240" w:lineRule="auto"/>
              <w:jc w:val="center"/>
            </w:pPr>
            <w:r>
              <w:rPr>
                <w:color w:val="2B2F36"/>
                <w:sz w:val="16"/>
              </w:rPr>
              <w:t>27 %</w:t>
            </w:r>
          </w:p>
        </w:tc>
        <w:tc>
          <w:tcPr>
            <w:tcW w:type="dxa" w:w="940"/>
            <w:vAlign w:val="top"/>
          </w:tcPr>
          <w:p>
            <w:pPr>
              <w:spacing w:after="0" w:line="240" w:lineRule="auto"/>
              <w:jc w:val="center"/>
            </w:pPr>
            <w:r>
              <w:rPr>
                <w:color w:val="2B2F36"/>
                <w:sz w:val="16"/>
              </w:rPr>
              <w:t>+3</w:t>
            </w:r>
          </w:p>
        </w:tc>
        <w:tc>
          <w:tcPr>
            <w:tcW w:type="dxa" w:w="1057"/>
            <w:vAlign w:val="top"/>
          </w:tcPr>
          <w:p>
            <w:pPr>
              <w:spacing w:after="0" w:line="240" w:lineRule="auto"/>
              <w:jc w:val="center"/>
            </w:pPr>
            <w:r>
              <w:rPr>
                <w:color w:val="2B2F36"/>
                <w:sz w:val="16"/>
              </w:rPr>
              <w:t>3.60</w:t>
            </w:r>
          </w:p>
        </w:tc>
        <w:tc>
          <w:tcPr>
            <w:tcW w:type="dxa" w:w="1057"/>
            <w:vAlign w:val="top"/>
          </w:tcPr>
          <w:p>
            <w:pPr>
              <w:spacing w:after="0" w:line="240" w:lineRule="auto"/>
              <w:jc w:val="center"/>
            </w:pPr>
            <w:r>
              <w:rPr>
                <w:color w:val="2B2F36"/>
                <w:sz w:val="16"/>
              </w:rPr>
              <w:t>3.52</w:t>
            </w:r>
          </w:p>
        </w:tc>
        <w:tc>
          <w:tcPr>
            <w:tcW w:type="dxa" w:w="2350"/>
            <w:shd w:val="clear" w:color="auto" w:fill="F1D9B8"/>
            <w:vAlign w:val="top"/>
          </w:tcPr>
          <w:p>
            <w:pPr>
              <w:spacing w:after="0" w:line="240" w:lineRule="auto"/>
            </w:pPr>
            <w:r>
              <w:rPr>
                <w:color w:val="2B2F36"/>
                <w:sz w:val="16"/>
              </w:rPr>
              <w:t>Invest</w:t>
            </w:r>
          </w:p>
        </w:tc>
      </w:tr>
      <w:tr>
        <w:trPr>
          <w:cantSplit/>
        </w:trPr>
        <w:tc>
          <w:tcPr>
            <w:tcW w:type="dxa" w:w="470"/>
            <w:shd w:val="clear" w:color="auto" w:fill="F7F4EE"/>
            <w:vAlign w:val="top"/>
          </w:tcPr>
          <w:p>
            <w:pPr>
              <w:spacing w:after="0" w:line="240" w:lineRule="auto"/>
              <w:jc w:val="center"/>
            </w:pPr>
            <w:r>
              <w:rPr>
                <w:color w:val="2B2F36"/>
                <w:sz w:val="16"/>
              </w:rPr>
              <w:t>2</w:t>
            </w:r>
          </w:p>
        </w:tc>
        <w:tc>
          <w:tcPr>
            <w:tcW w:type="dxa" w:w="2937"/>
            <w:shd w:val="clear" w:color="auto" w:fill="F7F4EE"/>
            <w:vAlign w:val="top"/>
          </w:tcPr>
          <w:p>
            <w:pPr>
              <w:spacing w:after="0" w:line="240" w:lineRule="auto"/>
            </w:pPr>
            <w:r>
              <w:rPr>
                <w:color w:val="2B2F36"/>
                <w:sz w:val="16"/>
              </w:rPr>
              <w:t>Valves</w:t>
            </w:r>
          </w:p>
        </w:tc>
        <w:tc>
          <w:tcPr>
            <w:tcW w:type="dxa" w:w="940"/>
            <w:shd w:val="clear" w:color="auto" w:fill="F7F4EE"/>
            <w:vAlign w:val="top"/>
          </w:tcPr>
          <w:p>
            <w:pPr>
              <w:spacing w:after="0" w:line="240" w:lineRule="auto"/>
              <w:jc w:val="center"/>
            </w:pPr>
            <w:r>
              <w:rPr>
                <w:color w:val="2B2F36"/>
                <w:sz w:val="16"/>
              </w:rPr>
              <w:t>21 %</w:t>
            </w:r>
          </w:p>
        </w:tc>
        <w:tc>
          <w:tcPr>
            <w:tcW w:type="dxa" w:w="940"/>
            <w:shd w:val="clear" w:color="auto" w:fill="F7F4EE"/>
            <w:vAlign w:val="top"/>
          </w:tcPr>
          <w:p>
            <w:pPr>
              <w:spacing w:after="0" w:line="240" w:lineRule="auto"/>
              <w:jc w:val="center"/>
            </w:pPr>
            <w:r>
              <w:rPr>
                <w:color w:val="2B2F36"/>
                <w:sz w:val="16"/>
              </w:rPr>
              <w:t>+6</w:t>
            </w:r>
          </w:p>
        </w:tc>
        <w:tc>
          <w:tcPr>
            <w:tcW w:type="dxa" w:w="1057"/>
            <w:shd w:val="clear" w:color="auto" w:fill="F7F4EE"/>
            <w:vAlign w:val="top"/>
          </w:tcPr>
          <w:p>
            <w:pPr>
              <w:spacing w:after="0" w:line="240" w:lineRule="auto"/>
              <w:jc w:val="center"/>
            </w:pPr>
            <w:r>
              <w:rPr>
                <w:color w:val="2B2F36"/>
                <w:sz w:val="16"/>
              </w:rPr>
              <w:t>3.90</w:t>
            </w:r>
          </w:p>
        </w:tc>
        <w:tc>
          <w:tcPr>
            <w:tcW w:type="dxa" w:w="1057"/>
            <w:shd w:val="clear" w:color="auto" w:fill="F7F4EE"/>
            <w:vAlign w:val="top"/>
          </w:tcPr>
          <w:p>
            <w:pPr>
              <w:spacing w:after="0" w:line="240" w:lineRule="auto"/>
              <w:jc w:val="center"/>
            </w:pPr>
            <w:r>
              <w:rPr>
                <w:color w:val="2B2F36"/>
                <w:sz w:val="16"/>
              </w:rPr>
              <w:t>3.29</w:t>
            </w:r>
          </w:p>
        </w:tc>
        <w:tc>
          <w:tcPr>
            <w:tcW w:type="dxa" w:w="2350"/>
            <w:shd w:val="clear" w:color="auto" w:fill="F3E7D0"/>
            <w:vAlign w:val="top"/>
          </w:tcPr>
          <w:p>
            <w:pPr>
              <w:spacing w:after="0" w:line="240" w:lineRule="auto"/>
            </w:pPr>
            <w:r>
              <w:rPr>
                <w:color w:val="2B2F36"/>
                <w:sz w:val="16"/>
              </w:rPr>
              <w:t>Build selectively</w:t>
            </w:r>
          </w:p>
        </w:tc>
      </w:tr>
      <w:tr>
        <w:trPr>
          <w:cantSplit/>
        </w:trPr>
        <w:tc>
          <w:tcPr>
            <w:tcW w:type="dxa" w:w="470"/>
            <w:vAlign w:val="top"/>
          </w:tcPr>
          <w:p>
            <w:pPr>
              <w:spacing w:after="0" w:line="240" w:lineRule="auto"/>
              <w:jc w:val="center"/>
            </w:pPr>
            <w:r>
              <w:rPr>
                <w:color w:val="2B2F36"/>
                <w:sz w:val="16"/>
              </w:rPr>
              <w:t>3</w:t>
            </w:r>
          </w:p>
        </w:tc>
        <w:tc>
          <w:tcPr>
            <w:tcW w:type="dxa" w:w="2937"/>
            <w:vAlign w:val="top"/>
          </w:tcPr>
          <w:p>
            <w:pPr>
              <w:spacing w:after="0" w:line="240" w:lineRule="auto"/>
            </w:pPr>
            <w:r>
              <w:rPr>
                <w:color w:val="2B2F36"/>
                <w:sz w:val="16"/>
              </w:rPr>
              <w:t>Bushes &amp; bearings</w:t>
            </w:r>
          </w:p>
        </w:tc>
        <w:tc>
          <w:tcPr>
            <w:tcW w:type="dxa" w:w="940"/>
            <w:vAlign w:val="top"/>
          </w:tcPr>
          <w:p>
            <w:pPr>
              <w:spacing w:after="0" w:line="240" w:lineRule="auto"/>
              <w:jc w:val="center"/>
            </w:pPr>
            <w:r>
              <w:rPr>
                <w:color w:val="2B2F36"/>
                <w:sz w:val="16"/>
              </w:rPr>
              <w:t>25 %</w:t>
            </w:r>
          </w:p>
        </w:tc>
        <w:tc>
          <w:tcPr>
            <w:tcW w:type="dxa" w:w="940"/>
            <w:vAlign w:val="top"/>
          </w:tcPr>
          <w:p>
            <w:pPr>
              <w:spacing w:after="0" w:line="240" w:lineRule="auto"/>
              <w:jc w:val="center"/>
            </w:pPr>
            <w:r>
              <w:rPr>
                <w:color w:val="2B2F36"/>
                <w:sz w:val="16"/>
              </w:rPr>
              <w:t>+5</w:t>
            </w:r>
          </w:p>
        </w:tc>
        <w:tc>
          <w:tcPr>
            <w:tcW w:type="dxa" w:w="1057"/>
            <w:vAlign w:val="top"/>
          </w:tcPr>
          <w:p>
            <w:pPr>
              <w:spacing w:after="0" w:line="240" w:lineRule="auto"/>
              <w:jc w:val="center"/>
            </w:pPr>
            <w:r>
              <w:rPr>
                <w:color w:val="2B2F36"/>
                <w:sz w:val="16"/>
              </w:rPr>
              <w:t>4.15</w:t>
            </w:r>
          </w:p>
        </w:tc>
        <w:tc>
          <w:tcPr>
            <w:tcW w:type="dxa" w:w="1057"/>
            <w:vAlign w:val="top"/>
          </w:tcPr>
          <w:p>
            <w:pPr>
              <w:spacing w:after="0" w:line="240" w:lineRule="auto"/>
              <w:jc w:val="center"/>
            </w:pPr>
            <w:r>
              <w:rPr>
                <w:color w:val="2B2F36"/>
                <w:sz w:val="16"/>
              </w:rPr>
              <w:t>3.91</w:t>
            </w:r>
          </w:p>
        </w:tc>
        <w:tc>
          <w:tcPr>
            <w:tcW w:type="dxa" w:w="2350"/>
            <w:shd w:val="clear" w:color="auto" w:fill="F1D9B8"/>
            <w:vAlign w:val="top"/>
          </w:tcPr>
          <w:p>
            <w:pPr>
              <w:spacing w:after="0" w:line="240" w:lineRule="auto"/>
            </w:pPr>
            <w:r>
              <w:rPr>
                <w:color w:val="2B2F36"/>
                <w:sz w:val="16"/>
              </w:rPr>
              <w:t>Invest</w:t>
            </w:r>
          </w:p>
        </w:tc>
      </w:tr>
      <w:tr>
        <w:trPr>
          <w:cantSplit/>
        </w:trPr>
        <w:tc>
          <w:tcPr>
            <w:tcW w:type="dxa" w:w="470"/>
            <w:shd w:val="clear" w:color="auto" w:fill="F7F4EE"/>
            <w:vAlign w:val="top"/>
          </w:tcPr>
          <w:p>
            <w:pPr>
              <w:spacing w:after="0" w:line="240" w:lineRule="auto"/>
              <w:jc w:val="center"/>
            </w:pPr>
            <w:r>
              <w:rPr>
                <w:color w:val="2B2F36"/>
                <w:sz w:val="16"/>
              </w:rPr>
              <w:t>4</w:t>
            </w:r>
          </w:p>
        </w:tc>
        <w:tc>
          <w:tcPr>
            <w:tcW w:type="dxa" w:w="2937"/>
            <w:shd w:val="clear" w:color="auto" w:fill="F7F4EE"/>
            <w:vAlign w:val="top"/>
          </w:tcPr>
          <w:p>
            <w:pPr>
              <w:spacing w:after="0" w:line="240" w:lineRule="auto"/>
            </w:pPr>
            <w:r>
              <w:rPr>
                <w:color w:val="2B2F36"/>
                <w:sz w:val="16"/>
              </w:rPr>
              <w:t>Plumbing hardware</w:t>
            </w:r>
          </w:p>
        </w:tc>
        <w:tc>
          <w:tcPr>
            <w:tcW w:type="dxa" w:w="940"/>
            <w:shd w:val="clear" w:color="auto" w:fill="F7F4EE"/>
            <w:vAlign w:val="top"/>
          </w:tcPr>
          <w:p>
            <w:pPr>
              <w:spacing w:after="0" w:line="240" w:lineRule="auto"/>
              <w:jc w:val="center"/>
            </w:pPr>
            <w:r>
              <w:rPr>
                <w:color w:val="2B2F36"/>
                <w:sz w:val="16"/>
              </w:rPr>
              <w:t>4.5 %</w:t>
            </w:r>
          </w:p>
        </w:tc>
        <w:tc>
          <w:tcPr>
            <w:tcW w:type="dxa" w:w="940"/>
            <w:shd w:val="clear" w:color="auto" w:fill="F7F4EE"/>
            <w:vAlign w:val="top"/>
          </w:tcPr>
          <w:p>
            <w:pPr>
              <w:spacing w:after="0" w:line="240" w:lineRule="auto"/>
              <w:jc w:val="center"/>
            </w:pPr>
            <w:r>
              <w:rPr>
                <w:color w:val="2B2F36"/>
                <w:sz w:val="16"/>
              </w:rPr>
              <w:t>-2</w:t>
            </w:r>
          </w:p>
        </w:tc>
        <w:tc>
          <w:tcPr>
            <w:tcW w:type="dxa" w:w="1057"/>
            <w:shd w:val="clear" w:color="auto" w:fill="F7F4EE"/>
            <w:vAlign w:val="top"/>
          </w:tcPr>
          <w:p>
            <w:pPr>
              <w:spacing w:after="0" w:line="240" w:lineRule="auto"/>
              <w:jc w:val="center"/>
            </w:pPr>
            <w:r>
              <w:rPr>
                <w:color w:val="2B2F36"/>
                <w:sz w:val="16"/>
              </w:rPr>
              <w:t>2.20</w:t>
            </w:r>
          </w:p>
        </w:tc>
        <w:tc>
          <w:tcPr>
            <w:tcW w:type="dxa" w:w="1057"/>
            <w:shd w:val="clear" w:color="auto" w:fill="F7F4EE"/>
            <w:vAlign w:val="top"/>
          </w:tcPr>
          <w:p>
            <w:pPr>
              <w:spacing w:after="0" w:line="240" w:lineRule="auto"/>
              <w:jc w:val="center"/>
            </w:pPr>
            <w:r>
              <w:rPr>
                <w:color w:val="2B2F36"/>
                <w:sz w:val="16"/>
              </w:rPr>
              <w:t>3.65</w:t>
            </w:r>
          </w:p>
        </w:tc>
        <w:tc>
          <w:tcPr>
            <w:tcW w:type="dxa" w:w="2350"/>
            <w:shd w:val="clear" w:color="auto" w:fill="EEF3F8"/>
            <w:vAlign w:val="top"/>
          </w:tcPr>
          <w:p>
            <w:pPr>
              <w:spacing w:after="0" w:line="240" w:lineRule="auto"/>
            </w:pPr>
            <w:r>
              <w:rPr>
                <w:color w:val="2B2F36"/>
                <w:sz w:val="16"/>
              </w:rPr>
              <w:t>On enquiry</w:t>
            </w:r>
          </w:p>
        </w:tc>
      </w:tr>
      <w:tr>
        <w:trPr>
          <w:cantSplit/>
        </w:trPr>
        <w:tc>
          <w:tcPr>
            <w:tcW w:type="dxa" w:w="470"/>
            <w:vAlign w:val="top"/>
          </w:tcPr>
          <w:p>
            <w:pPr>
              <w:spacing w:after="0" w:line="240" w:lineRule="auto"/>
              <w:jc w:val="center"/>
            </w:pPr>
            <w:r>
              <w:rPr>
                <w:color w:val="2B2F36"/>
                <w:sz w:val="16"/>
              </w:rPr>
              <w:t>5</w:t>
            </w:r>
          </w:p>
        </w:tc>
        <w:tc>
          <w:tcPr>
            <w:tcW w:type="dxa" w:w="2937"/>
            <w:vAlign w:val="top"/>
          </w:tcPr>
          <w:p>
            <w:pPr>
              <w:spacing w:after="0" w:line="240" w:lineRule="auto"/>
            </w:pPr>
            <w:r>
              <w:rPr>
                <w:color w:val="2B2F36"/>
                <w:sz w:val="16"/>
              </w:rPr>
              <w:t>Fire-fighting hardware</w:t>
            </w:r>
          </w:p>
        </w:tc>
        <w:tc>
          <w:tcPr>
            <w:tcW w:type="dxa" w:w="940"/>
            <w:vAlign w:val="top"/>
          </w:tcPr>
          <w:p>
            <w:pPr>
              <w:spacing w:after="0" w:line="240" w:lineRule="auto"/>
              <w:jc w:val="center"/>
            </w:pPr>
            <w:r>
              <w:rPr>
                <w:color w:val="2B2F36"/>
                <w:sz w:val="16"/>
              </w:rPr>
              <w:t>3.5 %</w:t>
            </w:r>
          </w:p>
        </w:tc>
        <w:tc>
          <w:tcPr>
            <w:tcW w:type="dxa" w:w="940"/>
            <w:vAlign w:val="top"/>
          </w:tcPr>
          <w:p>
            <w:pPr>
              <w:spacing w:after="0" w:line="240" w:lineRule="auto"/>
              <w:jc w:val="center"/>
            </w:pPr>
            <w:r>
              <w:rPr>
                <w:color w:val="2B2F36"/>
                <w:sz w:val="16"/>
              </w:rPr>
              <w:t>+7</w:t>
            </w:r>
          </w:p>
        </w:tc>
        <w:tc>
          <w:tcPr>
            <w:tcW w:type="dxa" w:w="1057"/>
            <w:vAlign w:val="top"/>
          </w:tcPr>
          <w:p>
            <w:pPr>
              <w:spacing w:after="0" w:line="240" w:lineRule="auto"/>
              <w:jc w:val="center"/>
            </w:pPr>
            <w:r>
              <w:rPr>
                <w:color w:val="2B2F36"/>
                <w:sz w:val="16"/>
              </w:rPr>
              <w:t>4.30</w:t>
            </w:r>
          </w:p>
        </w:tc>
        <w:tc>
          <w:tcPr>
            <w:tcW w:type="dxa" w:w="1057"/>
            <w:vAlign w:val="top"/>
          </w:tcPr>
          <w:p>
            <w:pPr>
              <w:spacing w:after="0" w:line="240" w:lineRule="auto"/>
              <w:jc w:val="center"/>
            </w:pPr>
            <w:r>
              <w:rPr>
                <w:color w:val="2B2F36"/>
                <w:sz w:val="16"/>
              </w:rPr>
              <w:t>3.80</w:t>
            </w:r>
          </w:p>
        </w:tc>
        <w:tc>
          <w:tcPr>
            <w:tcW w:type="dxa" w:w="2350"/>
            <w:shd w:val="clear" w:color="auto" w:fill="F1D9B8"/>
            <w:vAlign w:val="top"/>
          </w:tcPr>
          <w:p>
            <w:pPr>
              <w:spacing w:after="0" w:line="240" w:lineRule="auto"/>
            </w:pPr>
            <w:r>
              <w:rPr>
                <w:color w:val="2B2F36"/>
                <w:sz w:val="16"/>
              </w:rPr>
              <w:t>Invest</w:t>
            </w:r>
          </w:p>
        </w:tc>
      </w:tr>
      <w:tr>
        <w:trPr>
          <w:cantSplit/>
        </w:trPr>
        <w:tc>
          <w:tcPr>
            <w:tcW w:type="dxa" w:w="470"/>
            <w:shd w:val="clear" w:color="auto" w:fill="F7F4EE"/>
            <w:vAlign w:val="top"/>
          </w:tcPr>
          <w:p>
            <w:pPr>
              <w:spacing w:after="0" w:line="240" w:lineRule="auto"/>
              <w:jc w:val="center"/>
            </w:pPr>
            <w:r>
              <w:rPr>
                <w:color w:val="2B2F36"/>
                <w:sz w:val="16"/>
              </w:rPr>
              <w:t>6</w:t>
            </w:r>
          </w:p>
        </w:tc>
        <w:tc>
          <w:tcPr>
            <w:tcW w:type="dxa" w:w="2937"/>
            <w:shd w:val="clear" w:color="auto" w:fill="F7F4EE"/>
            <w:vAlign w:val="top"/>
          </w:tcPr>
          <w:p>
            <w:pPr>
              <w:spacing w:after="0" w:line="240" w:lineRule="auto"/>
            </w:pPr>
            <w:r>
              <w:rPr>
                <w:color w:val="2B2F36"/>
                <w:sz w:val="16"/>
              </w:rPr>
              <w:t>Marine fittings</w:t>
            </w:r>
          </w:p>
        </w:tc>
        <w:tc>
          <w:tcPr>
            <w:tcW w:type="dxa" w:w="940"/>
            <w:shd w:val="clear" w:color="auto" w:fill="F7F4EE"/>
            <w:vAlign w:val="top"/>
          </w:tcPr>
          <w:p>
            <w:pPr>
              <w:spacing w:after="0" w:line="240" w:lineRule="auto"/>
              <w:jc w:val="center"/>
            </w:pPr>
            <w:r>
              <w:rPr>
                <w:color w:val="2B2F36"/>
                <w:sz w:val="16"/>
              </w:rPr>
              <w:t>3 %</w:t>
            </w:r>
          </w:p>
        </w:tc>
        <w:tc>
          <w:tcPr>
            <w:tcW w:type="dxa" w:w="940"/>
            <w:shd w:val="clear" w:color="auto" w:fill="F7F4EE"/>
            <w:vAlign w:val="top"/>
          </w:tcPr>
          <w:p>
            <w:pPr>
              <w:spacing w:after="0" w:line="240" w:lineRule="auto"/>
              <w:jc w:val="center"/>
            </w:pPr>
            <w:r>
              <w:rPr>
                <w:color w:val="2B2F36"/>
                <w:sz w:val="16"/>
              </w:rPr>
              <w:t>+6</w:t>
            </w:r>
          </w:p>
        </w:tc>
        <w:tc>
          <w:tcPr>
            <w:tcW w:type="dxa" w:w="1057"/>
            <w:shd w:val="clear" w:color="auto" w:fill="F7F4EE"/>
            <w:vAlign w:val="top"/>
          </w:tcPr>
          <w:p>
            <w:pPr>
              <w:spacing w:after="0" w:line="240" w:lineRule="auto"/>
              <w:jc w:val="center"/>
            </w:pPr>
            <w:r>
              <w:rPr>
                <w:color w:val="2B2F36"/>
                <w:sz w:val="16"/>
              </w:rPr>
              <w:t>4.00</w:t>
            </w:r>
          </w:p>
        </w:tc>
        <w:tc>
          <w:tcPr>
            <w:tcW w:type="dxa" w:w="1057"/>
            <w:shd w:val="clear" w:color="auto" w:fill="F7F4EE"/>
            <w:vAlign w:val="top"/>
          </w:tcPr>
          <w:p>
            <w:pPr>
              <w:spacing w:after="0" w:line="240" w:lineRule="auto"/>
              <w:jc w:val="center"/>
            </w:pPr>
            <w:r>
              <w:rPr>
                <w:color w:val="2B2F36"/>
                <w:sz w:val="16"/>
              </w:rPr>
              <w:t>2.83</w:t>
            </w:r>
          </w:p>
        </w:tc>
        <w:tc>
          <w:tcPr>
            <w:tcW w:type="dxa" w:w="2350"/>
            <w:shd w:val="clear" w:color="auto" w:fill="F3E7D0"/>
            <w:vAlign w:val="top"/>
          </w:tcPr>
          <w:p>
            <w:pPr>
              <w:spacing w:after="0" w:line="240" w:lineRule="auto"/>
            </w:pPr>
            <w:r>
              <w:rPr>
                <w:color w:val="2B2F36"/>
                <w:sz w:val="16"/>
              </w:rPr>
              <w:t>Build selectively</w:t>
            </w:r>
          </w:p>
        </w:tc>
      </w:tr>
      <w:tr>
        <w:trPr>
          <w:cantSplit/>
        </w:trPr>
        <w:tc>
          <w:tcPr>
            <w:tcW w:type="dxa" w:w="470"/>
            <w:vAlign w:val="top"/>
          </w:tcPr>
          <w:p>
            <w:pPr>
              <w:spacing w:after="0" w:line="240" w:lineRule="auto"/>
              <w:jc w:val="center"/>
            </w:pPr>
            <w:r>
              <w:rPr>
                <w:color w:val="2B2F36"/>
                <w:sz w:val="16"/>
              </w:rPr>
              <w:t>7</w:t>
            </w:r>
          </w:p>
        </w:tc>
        <w:tc>
          <w:tcPr>
            <w:tcW w:type="dxa" w:w="2937"/>
            <w:vAlign w:val="top"/>
          </w:tcPr>
          <w:p>
            <w:pPr>
              <w:spacing w:after="0" w:line="240" w:lineRule="auto"/>
            </w:pPr>
            <w:r>
              <w:rPr>
                <w:color w:val="2B2F36"/>
                <w:sz w:val="16"/>
              </w:rPr>
              <w:t>Sugar-mill bearings</w:t>
            </w:r>
          </w:p>
        </w:tc>
        <w:tc>
          <w:tcPr>
            <w:tcW w:type="dxa" w:w="940"/>
            <w:vAlign w:val="top"/>
          </w:tcPr>
          <w:p>
            <w:pPr>
              <w:spacing w:after="0" w:line="240" w:lineRule="auto"/>
              <w:jc w:val="center"/>
            </w:pPr>
            <w:r>
              <w:rPr>
                <w:color w:val="2B2F36"/>
                <w:sz w:val="16"/>
              </w:rPr>
              <w:t>2.5 %</w:t>
            </w:r>
          </w:p>
        </w:tc>
        <w:tc>
          <w:tcPr>
            <w:tcW w:type="dxa" w:w="940"/>
            <w:vAlign w:val="top"/>
          </w:tcPr>
          <w:p>
            <w:pPr>
              <w:spacing w:after="0" w:line="240" w:lineRule="auto"/>
              <w:jc w:val="center"/>
            </w:pPr>
            <w:r>
              <w:rPr>
                <w:color w:val="2B2F36"/>
                <w:sz w:val="16"/>
              </w:rPr>
              <w:t>+2</w:t>
            </w:r>
          </w:p>
        </w:tc>
        <w:tc>
          <w:tcPr>
            <w:tcW w:type="dxa" w:w="1057"/>
            <w:vAlign w:val="top"/>
          </w:tcPr>
          <w:p>
            <w:pPr>
              <w:spacing w:after="0" w:line="240" w:lineRule="auto"/>
              <w:jc w:val="center"/>
            </w:pPr>
            <w:r>
              <w:rPr>
                <w:color w:val="2B2F36"/>
                <w:sz w:val="16"/>
              </w:rPr>
              <w:t>3.25</w:t>
            </w:r>
          </w:p>
        </w:tc>
        <w:tc>
          <w:tcPr>
            <w:tcW w:type="dxa" w:w="1057"/>
            <w:vAlign w:val="top"/>
          </w:tcPr>
          <w:p>
            <w:pPr>
              <w:spacing w:after="0" w:line="240" w:lineRule="auto"/>
              <w:jc w:val="center"/>
            </w:pPr>
            <w:r>
              <w:rPr>
                <w:color w:val="2B2F36"/>
                <w:sz w:val="16"/>
              </w:rPr>
              <w:t>4.14</w:t>
            </w:r>
          </w:p>
        </w:tc>
        <w:tc>
          <w:tcPr>
            <w:tcW w:type="dxa" w:w="2350"/>
            <w:shd w:val="clear" w:color="auto" w:fill="F3E7D0"/>
            <w:vAlign w:val="top"/>
          </w:tcPr>
          <w:p>
            <w:pPr>
              <w:spacing w:after="0" w:line="240" w:lineRule="auto"/>
            </w:pPr>
            <w:r>
              <w:rPr>
                <w:color w:val="2B2F36"/>
                <w:sz w:val="16"/>
              </w:rPr>
              <w:t>Build selectively</w:t>
            </w:r>
          </w:p>
        </w:tc>
      </w:tr>
      <w:tr>
        <w:trPr>
          <w:cantSplit/>
        </w:trPr>
        <w:tc>
          <w:tcPr>
            <w:tcW w:type="dxa" w:w="470"/>
            <w:shd w:val="clear" w:color="auto" w:fill="F7F4EE"/>
            <w:vAlign w:val="top"/>
          </w:tcPr>
          <w:p>
            <w:pPr>
              <w:spacing w:after="0" w:line="240" w:lineRule="auto"/>
              <w:jc w:val="center"/>
            </w:pPr>
            <w:r>
              <w:rPr>
                <w:color w:val="2B2F36"/>
                <w:sz w:val="16"/>
              </w:rPr>
              <w:t>8</w:t>
            </w:r>
          </w:p>
        </w:tc>
        <w:tc>
          <w:tcPr>
            <w:tcW w:type="dxa" w:w="2937"/>
            <w:shd w:val="clear" w:color="auto" w:fill="F7F4EE"/>
            <w:vAlign w:val="top"/>
          </w:tcPr>
          <w:p>
            <w:pPr>
              <w:spacing w:after="0" w:line="240" w:lineRule="auto"/>
            </w:pPr>
            <w:r>
              <w:rPr>
                <w:color w:val="2B2F36"/>
                <w:sz w:val="16"/>
              </w:rPr>
              <w:t>Water-meter bodies</w:t>
            </w:r>
          </w:p>
        </w:tc>
        <w:tc>
          <w:tcPr>
            <w:tcW w:type="dxa" w:w="940"/>
            <w:shd w:val="clear" w:color="auto" w:fill="F7F4EE"/>
            <w:vAlign w:val="top"/>
          </w:tcPr>
          <w:p>
            <w:pPr>
              <w:spacing w:after="0" w:line="240" w:lineRule="auto"/>
              <w:jc w:val="center"/>
            </w:pPr>
            <w:r>
              <w:rPr>
                <w:color w:val="2B2F36"/>
                <w:sz w:val="16"/>
              </w:rPr>
              <w:t>2 %</w:t>
            </w:r>
          </w:p>
        </w:tc>
        <w:tc>
          <w:tcPr>
            <w:tcW w:type="dxa" w:w="940"/>
            <w:shd w:val="clear" w:color="auto" w:fill="F7F4EE"/>
            <w:vAlign w:val="top"/>
          </w:tcPr>
          <w:p>
            <w:pPr>
              <w:spacing w:after="0" w:line="240" w:lineRule="auto"/>
              <w:jc w:val="center"/>
            </w:pPr>
            <w:r>
              <w:rPr>
                <w:color w:val="2B2F36"/>
                <w:sz w:val="16"/>
              </w:rPr>
              <w:t>+3</w:t>
            </w:r>
          </w:p>
        </w:tc>
        <w:tc>
          <w:tcPr>
            <w:tcW w:type="dxa" w:w="1057"/>
            <w:shd w:val="clear" w:color="auto" w:fill="F7F4EE"/>
            <w:vAlign w:val="top"/>
          </w:tcPr>
          <w:p>
            <w:pPr>
              <w:spacing w:after="0" w:line="240" w:lineRule="auto"/>
              <w:jc w:val="center"/>
            </w:pPr>
            <w:r>
              <w:rPr>
                <w:color w:val="2B2F36"/>
                <w:sz w:val="16"/>
              </w:rPr>
              <w:t>2.45</w:t>
            </w:r>
          </w:p>
        </w:tc>
        <w:tc>
          <w:tcPr>
            <w:tcW w:type="dxa" w:w="1057"/>
            <w:shd w:val="clear" w:color="auto" w:fill="F7F4EE"/>
            <w:vAlign w:val="top"/>
          </w:tcPr>
          <w:p>
            <w:pPr>
              <w:spacing w:after="0" w:line="240" w:lineRule="auto"/>
              <w:jc w:val="center"/>
            </w:pPr>
            <w:r>
              <w:rPr>
                <w:color w:val="2B2F36"/>
                <w:sz w:val="16"/>
              </w:rPr>
              <w:t>4.25</w:t>
            </w:r>
          </w:p>
        </w:tc>
        <w:tc>
          <w:tcPr>
            <w:tcW w:type="dxa" w:w="2350"/>
            <w:shd w:val="clear" w:color="auto" w:fill="EEF3F8"/>
            <w:vAlign w:val="top"/>
          </w:tcPr>
          <w:p>
            <w:pPr>
              <w:spacing w:after="0" w:line="240" w:lineRule="auto"/>
            </w:pPr>
            <w:r>
              <w:rPr>
                <w:color w:val="2B2F36"/>
                <w:sz w:val="16"/>
              </w:rPr>
              <w:t>On enquiry</w:t>
            </w:r>
          </w:p>
        </w:tc>
      </w:tr>
      <w:tr>
        <w:trPr>
          <w:cantSplit/>
        </w:trPr>
        <w:tc>
          <w:tcPr>
            <w:tcW w:type="dxa" w:w="470"/>
            <w:vAlign w:val="top"/>
          </w:tcPr>
          <w:p>
            <w:pPr>
              <w:spacing w:after="0" w:line="240" w:lineRule="auto"/>
              <w:jc w:val="center"/>
            </w:pPr>
            <w:r>
              <w:rPr>
                <w:color w:val="2B2F36"/>
                <w:sz w:val="16"/>
              </w:rPr>
              <w:t>9</w:t>
            </w:r>
          </w:p>
        </w:tc>
        <w:tc>
          <w:tcPr>
            <w:tcW w:type="dxa" w:w="2937"/>
            <w:vAlign w:val="top"/>
          </w:tcPr>
          <w:p>
            <w:pPr>
              <w:spacing w:after="0" w:line="240" w:lineRule="auto"/>
            </w:pPr>
            <w:r>
              <w:rPr>
                <w:color w:val="2B2F36"/>
                <w:sz w:val="16"/>
              </w:rPr>
              <w:t>Hydraulics</w:t>
            </w:r>
          </w:p>
        </w:tc>
        <w:tc>
          <w:tcPr>
            <w:tcW w:type="dxa" w:w="940"/>
            <w:vAlign w:val="top"/>
          </w:tcPr>
          <w:p>
            <w:pPr>
              <w:spacing w:after="0" w:line="240" w:lineRule="auto"/>
              <w:jc w:val="center"/>
            </w:pPr>
            <w:r>
              <w:rPr>
                <w:color w:val="2B2F36"/>
                <w:sz w:val="16"/>
              </w:rPr>
              <w:t>2 %</w:t>
            </w:r>
          </w:p>
        </w:tc>
        <w:tc>
          <w:tcPr>
            <w:tcW w:type="dxa" w:w="940"/>
            <w:vAlign w:val="top"/>
          </w:tcPr>
          <w:p>
            <w:pPr>
              <w:spacing w:after="0" w:line="240" w:lineRule="auto"/>
              <w:jc w:val="center"/>
            </w:pPr>
            <w:r>
              <w:rPr>
                <w:color w:val="2B2F36"/>
                <w:sz w:val="16"/>
              </w:rPr>
              <w:t>+5</w:t>
            </w:r>
          </w:p>
        </w:tc>
        <w:tc>
          <w:tcPr>
            <w:tcW w:type="dxa" w:w="1057"/>
            <w:vAlign w:val="top"/>
          </w:tcPr>
          <w:p>
            <w:pPr>
              <w:spacing w:after="0" w:line="240" w:lineRule="auto"/>
              <w:jc w:val="center"/>
            </w:pPr>
            <w:r>
              <w:rPr>
                <w:color w:val="2B2F36"/>
                <w:sz w:val="16"/>
              </w:rPr>
              <w:t>3.30</w:t>
            </w:r>
          </w:p>
        </w:tc>
        <w:tc>
          <w:tcPr>
            <w:tcW w:type="dxa" w:w="1057"/>
            <w:vAlign w:val="top"/>
          </w:tcPr>
          <w:p>
            <w:pPr>
              <w:spacing w:after="0" w:line="240" w:lineRule="auto"/>
              <w:jc w:val="center"/>
            </w:pPr>
            <w:r>
              <w:rPr>
                <w:color w:val="2B2F36"/>
                <w:sz w:val="16"/>
              </w:rPr>
              <w:t>3.81</w:t>
            </w:r>
          </w:p>
        </w:tc>
        <w:tc>
          <w:tcPr>
            <w:tcW w:type="dxa" w:w="2350"/>
            <w:shd w:val="clear" w:color="auto" w:fill="F3E7D0"/>
            <w:vAlign w:val="top"/>
          </w:tcPr>
          <w:p>
            <w:pPr>
              <w:spacing w:after="0" w:line="240" w:lineRule="auto"/>
            </w:pPr>
            <w:r>
              <w:rPr>
                <w:color w:val="2B2F36"/>
                <w:sz w:val="16"/>
              </w:rPr>
              <w:t>Build selectively</w:t>
            </w:r>
          </w:p>
        </w:tc>
      </w:tr>
      <w:tr>
        <w:trPr>
          <w:cantSplit/>
        </w:trPr>
        <w:tc>
          <w:tcPr>
            <w:tcW w:type="dxa" w:w="470"/>
            <w:shd w:val="clear" w:color="auto" w:fill="F7F4EE"/>
            <w:vAlign w:val="top"/>
          </w:tcPr>
          <w:p>
            <w:pPr>
              <w:spacing w:after="0" w:line="240" w:lineRule="auto"/>
              <w:jc w:val="center"/>
            </w:pPr>
            <w:r>
              <w:rPr>
                <w:color w:val="2B2F36"/>
                <w:sz w:val="16"/>
              </w:rPr>
              <w:t>10</w:t>
            </w:r>
          </w:p>
        </w:tc>
        <w:tc>
          <w:tcPr>
            <w:tcW w:type="dxa" w:w="2937"/>
            <w:shd w:val="clear" w:color="auto" w:fill="F7F4EE"/>
            <w:vAlign w:val="top"/>
          </w:tcPr>
          <w:p>
            <w:pPr>
              <w:spacing w:after="0" w:line="240" w:lineRule="auto"/>
            </w:pPr>
            <w:r>
              <w:rPr>
                <w:color w:val="2B2F36"/>
                <w:sz w:val="16"/>
              </w:rPr>
              <w:t>Gears &amp; worm wheels</w:t>
            </w:r>
          </w:p>
        </w:tc>
        <w:tc>
          <w:tcPr>
            <w:tcW w:type="dxa" w:w="940"/>
            <w:shd w:val="clear" w:color="auto" w:fill="F7F4EE"/>
            <w:vAlign w:val="top"/>
          </w:tcPr>
          <w:p>
            <w:pPr>
              <w:spacing w:after="0" w:line="240" w:lineRule="auto"/>
              <w:jc w:val="center"/>
            </w:pPr>
            <w:r>
              <w:rPr>
                <w:color w:val="2B2F36"/>
                <w:sz w:val="16"/>
              </w:rPr>
              <w:t>1.5 %</w:t>
            </w:r>
          </w:p>
        </w:tc>
        <w:tc>
          <w:tcPr>
            <w:tcW w:type="dxa" w:w="940"/>
            <w:shd w:val="clear" w:color="auto" w:fill="F7F4EE"/>
            <w:vAlign w:val="top"/>
          </w:tcPr>
          <w:p>
            <w:pPr>
              <w:spacing w:after="0" w:line="240" w:lineRule="auto"/>
              <w:jc w:val="center"/>
            </w:pPr>
            <w:r>
              <w:rPr>
                <w:color w:val="2B2F36"/>
                <w:sz w:val="16"/>
              </w:rPr>
              <w:t>+3</w:t>
            </w:r>
          </w:p>
        </w:tc>
        <w:tc>
          <w:tcPr>
            <w:tcW w:type="dxa" w:w="1057"/>
            <w:shd w:val="clear" w:color="auto" w:fill="F7F4EE"/>
            <w:vAlign w:val="top"/>
          </w:tcPr>
          <w:p>
            <w:pPr>
              <w:spacing w:after="0" w:line="240" w:lineRule="auto"/>
              <w:jc w:val="center"/>
            </w:pPr>
            <w:r>
              <w:rPr>
                <w:color w:val="2B2F36"/>
                <w:sz w:val="16"/>
              </w:rPr>
              <w:t>2.70</w:t>
            </w:r>
          </w:p>
        </w:tc>
        <w:tc>
          <w:tcPr>
            <w:tcW w:type="dxa" w:w="1057"/>
            <w:shd w:val="clear" w:color="auto" w:fill="F7F4EE"/>
            <w:vAlign w:val="top"/>
          </w:tcPr>
          <w:p>
            <w:pPr>
              <w:spacing w:after="0" w:line="240" w:lineRule="auto"/>
              <w:jc w:val="center"/>
            </w:pPr>
            <w:r>
              <w:rPr>
                <w:color w:val="2B2F36"/>
                <w:sz w:val="16"/>
              </w:rPr>
              <w:t>3.16</w:t>
            </w:r>
          </w:p>
        </w:tc>
        <w:tc>
          <w:tcPr>
            <w:tcW w:type="dxa" w:w="2350"/>
            <w:shd w:val="clear" w:color="auto" w:fill="EEF3F8"/>
            <w:vAlign w:val="top"/>
          </w:tcPr>
          <w:p>
            <w:pPr>
              <w:spacing w:after="0" w:line="240" w:lineRule="auto"/>
            </w:pPr>
            <w:r>
              <w:rPr>
                <w:color w:val="2B2F36"/>
                <w:sz w:val="16"/>
              </w:rPr>
              <w:t>On enquiry</w:t>
            </w:r>
          </w:p>
        </w:tc>
      </w:tr>
      <w:tr>
        <w:trPr>
          <w:cantSplit/>
        </w:trPr>
        <w:tc>
          <w:tcPr>
            <w:tcW w:type="dxa" w:w="470"/>
            <w:vAlign w:val="top"/>
          </w:tcPr>
          <w:p>
            <w:pPr>
              <w:spacing w:after="0" w:line="240" w:lineRule="auto"/>
              <w:jc w:val="center"/>
            </w:pPr>
            <w:r>
              <w:rPr>
                <w:color w:val="2B2F36"/>
                <w:sz w:val="16"/>
              </w:rPr>
              <w:t>11</w:t>
            </w:r>
          </w:p>
        </w:tc>
        <w:tc>
          <w:tcPr>
            <w:tcW w:type="dxa" w:w="2937"/>
            <w:vAlign w:val="top"/>
          </w:tcPr>
          <w:p>
            <w:pPr>
              <w:spacing w:after="0" w:line="240" w:lineRule="auto"/>
            </w:pPr>
            <w:r>
              <w:rPr>
                <w:color w:val="2B2F36"/>
                <w:sz w:val="16"/>
              </w:rPr>
              <w:t>Boiler mountings</w:t>
            </w:r>
          </w:p>
        </w:tc>
        <w:tc>
          <w:tcPr>
            <w:tcW w:type="dxa" w:w="940"/>
            <w:vAlign w:val="top"/>
          </w:tcPr>
          <w:p>
            <w:pPr>
              <w:spacing w:after="0" w:line="240" w:lineRule="auto"/>
              <w:jc w:val="center"/>
            </w:pPr>
            <w:r>
              <w:rPr>
                <w:color w:val="2B2F36"/>
                <w:sz w:val="16"/>
              </w:rPr>
              <w:t>1.5 %</w:t>
            </w:r>
          </w:p>
        </w:tc>
        <w:tc>
          <w:tcPr>
            <w:tcW w:type="dxa" w:w="940"/>
            <w:vAlign w:val="top"/>
          </w:tcPr>
          <w:p>
            <w:pPr>
              <w:spacing w:after="0" w:line="240" w:lineRule="auto"/>
              <w:jc w:val="center"/>
            </w:pPr>
            <w:r>
              <w:rPr>
                <w:color w:val="2B2F36"/>
                <w:sz w:val="16"/>
              </w:rPr>
              <w:t>+3</w:t>
            </w:r>
          </w:p>
        </w:tc>
        <w:tc>
          <w:tcPr>
            <w:tcW w:type="dxa" w:w="1057"/>
            <w:vAlign w:val="top"/>
          </w:tcPr>
          <w:p>
            <w:pPr>
              <w:spacing w:after="0" w:line="240" w:lineRule="auto"/>
              <w:jc w:val="center"/>
            </w:pPr>
            <w:r>
              <w:rPr>
                <w:color w:val="2B2F36"/>
                <w:sz w:val="16"/>
              </w:rPr>
              <w:t>3.00</w:t>
            </w:r>
          </w:p>
        </w:tc>
        <w:tc>
          <w:tcPr>
            <w:tcW w:type="dxa" w:w="1057"/>
            <w:vAlign w:val="top"/>
          </w:tcPr>
          <w:p>
            <w:pPr>
              <w:spacing w:after="0" w:line="240" w:lineRule="auto"/>
              <w:jc w:val="center"/>
            </w:pPr>
            <w:r>
              <w:rPr>
                <w:color w:val="2B2F36"/>
                <w:sz w:val="16"/>
              </w:rPr>
              <w:t>3.45</w:t>
            </w:r>
          </w:p>
        </w:tc>
        <w:tc>
          <w:tcPr>
            <w:tcW w:type="dxa" w:w="2350"/>
            <w:shd w:val="clear" w:color="auto" w:fill="EEF3F8"/>
            <w:vAlign w:val="top"/>
          </w:tcPr>
          <w:p>
            <w:pPr>
              <w:spacing w:after="0" w:line="240" w:lineRule="auto"/>
            </w:pPr>
            <w:r>
              <w:rPr>
                <w:color w:val="2B2F36"/>
                <w:sz w:val="16"/>
              </w:rPr>
              <w:t>On enquiry</w:t>
            </w:r>
          </w:p>
        </w:tc>
      </w:tr>
      <w:tr>
        <w:trPr>
          <w:cantSplit/>
        </w:trPr>
        <w:tc>
          <w:tcPr>
            <w:tcW w:type="dxa" w:w="470"/>
            <w:shd w:val="clear" w:color="auto" w:fill="F7F4EE"/>
            <w:vAlign w:val="top"/>
          </w:tcPr>
          <w:p>
            <w:pPr>
              <w:spacing w:after="0" w:line="240" w:lineRule="auto"/>
              <w:jc w:val="center"/>
            </w:pPr>
            <w:r>
              <w:rPr>
                <w:color w:val="2B2F36"/>
                <w:sz w:val="16"/>
              </w:rPr>
              <w:t>12</w:t>
            </w:r>
          </w:p>
        </w:tc>
        <w:tc>
          <w:tcPr>
            <w:tcW w:type="dxa" w:w="2937"/>
            <w:shd w:val="clear" w:color="auto" w:fill="F7F4EE"/>
            <w:vAlign w:val="top"/>
          </w:tcPr>
          <w:p>
            <w:pPr>
              <w:spacing w:after="0" w:line="240" w:lineRule="auto"/>
            </w:pPr>
            <w:r>
              <w:rPr>
                <w:color w:val="2B2F36"/>
                <w:sz w:val="16"/>
              </w:rPr>
              <w:t>Engine &amp; compressor</w:t>
            </w:r>
          </w:p>
        </w:tc>
        <w:tc>
          <w:tcPr>
            <w:tcW w:type="dxa" w:w="940"/>
            <w:shd w:val="clear" w:color="auto" w:fill="F7F4EE"/>
            <w:vAlign w:val="top"/>
          </w:tcPr>
          <w:p>
            <w:pPr>
              <w:spacing w:after="0" w:line="240" w:lineRule="auto"/>
              <w:jc w:val="center"/>
            </w:pPr>
            <w:r>
              <w:rPr>
                <w:color w:val="2B2F36"/>
                <w:sz w:val="16"/>
              </w:rPr>
              <w:t>1.5 %</w:t>
            </w:r>
          </w:p>
        </w:tc>
        <w:tc>
          <w:tcPr>
            <w:tcW w:type="dxa" w:w="940"/>
            <w:shd w:val="clear" w:color="auto" w:fill="F7F4EE"/>
            <w:vAlign w:val="top"/>
          </w:tcPr>
          <w:p>
            <w:pPr>
              <w:spacing w:after="0" w:line="240" w:lineRule="auto"/>
              <w:jc w:val="center"/>
            </w:pPr>
            <w:r>
              <w:rPr>
                <w:color w:val="2B2F36"/>
                <w:sz w:val="16"/>
              </w:rPr>
              <w:t>+3</w:t>
            </w:r>
          </w:p>
        </w:tc>
        <w:tc>
          <w:tcPr>
            <w:tcW w:type="dxa" w:w="1057"/>
            <w:shd w:val="clear" w:color="auto" w:fill="F7F4EE"/>
            <w:vAlign w:val="top"/>
          </w:tcPr>
          <w:p>
            <w:pPr>
              <w:spacing w:after="0" w:line="240" w:lineRule="auto"/>
              <w:jc w:val="center"/>
            </w:pPr>
            <w:r>
              <w:rPr>
                <w:color w:val="2B2F36"/>
                <w:sz w:val="16"/>
              </w:rPr>
              <w:t>2.15</w:t>
            </w:r>
          </w:p>
        </w:tc>
        <w:tc>
          <w:tcPr>
            <w:tcW w:type="dxa" w:w="1057"/>
            <w:shd w:val="clear" w:color="auto" w:fill="F7F4EE"/>
            <w:vAlign w:val="top"/>
          </w:tcPr>
          <w:p>
            <w:pPr>
              <w:spacing w:after="0" w:line="240" w:lineRule="auto"/>
              <w:jc w:val="center"/>
            </w:pPr>
            <w:r>
              <w:rPr>
                <w:color w:val="2B2F36"/>
                <w:sz w:val="16"/>
              </w:rPr>
              <w:t>3.37</w:t>
            </w:r>
          </w:p>
        </w:tc>
        <w:tc>
          <w:tcPr>
            <w:tcW w:type="dxa" w:w="2350"/>
            <w:shd w:val="clear" w:color="auto" w:fill="F4F1EC"/>
            <w:vAlign w:val="top"/>
          </w:tcPr>
          <w:p>
            <w:pPr>
              <w:spacing w:after="0" w:line="240" w:lineRule="auto"/>
            </w:pPr>
            <w:r>
              <w:rPr>
                <w:color w:val="2B2F36"/>
                <w:sz w:val="16"/>
              </w:rPr>
              <w:t>Harvest / avoid</w:t>
            </w:r>
          </w:p>
        </w:tc>
      </w:tr>
      <w:tr>
        <w:trPr>
          <w:cantSplit/>
        </w:trPr>
        <w:tc>
          <w:tcPr>
            <w:tcW w:type="dxa" w:w="470"/>
            <w:vAlign w:val="top"/>
          </w:tcPr>
          <w:p>
            <w:pPr>
              <w:spacing w:after="0" w:line="240" w:lineRule="auto"/>
              <w:jc w:val="center"/>
            </w:pPr>
            <w:r>
              <w:rPr>
                <w:color w:val="2B2F36"/>
                <w:sz w:val="16"/>
              </w:rPr>
              <w:t>13</w:t>
            </w:r>
          </w:p>
        </w:tc>
        <w:tc>
          <w:tcPr>
            <w:tcW w:type="dxa" w:w="2937"/>
            <w:vAlign w:val="top"/>
          </w:tcPr>
          <w:p>
            <w:pPr>
              <w:spacing w:after="0" w:line="240" w:lineRule="auto"/>
            </w:pPr>
            <w:r>
              <w:rPr>
                <w:color w:val="2B2F36"/>
                <w:sz w:val="16"/>
              </w:rPr>
              <w:t>Decorative castings</w:t>
            </w:r>
          </w:p>
        </w:tc>
        <w:tc>
          <w:tcPr>
            <w:tcW w:type="dxa" w:w="940"/>
            <w:vAlign w:val="top"/>
          </w:tcPr>
          <w:p>
            <w:pPr>
              <w:spacing w:after="0" w:line="240" w:lineRule="auto"/>
              <w:jc w:val="center"/>
            </w:pPr>
            <w:r>
              <w:rPr>
                <w:color w:val="2B2F36"/>
                <w:sz w:val="16"/>
              </w:rPr>
              <w:t>1 %</w:t>
            </w:r>
          </w:p>
        </w:tc>
        <w:tc>
          <w:tcPr>
            <w:tcW w:type="dxa" w:w="940"/>
            <w:vAlign w:val="top"/>
          </w:tcPr>
          <w:p>
            <w:pPr>
              <w:spacing w:after="0" w:line="240" w:lineRule="auto"/>
              <w:jc w:val="center"/>
            </w:pPr>
            <w:r>
              <w:rPr>
                <w:color w:val="2B2F36"/>
                <w:sz w:val="16"/>
              </w:rPr>
              <w:t>+2</w:t>
            </w:r>
          </w:p>
        </w:tc>
        <w:tc>
          <w:tcPr>
            <w:tcW w:type="dxa" w:w="1057"/>
            <w:vAlign w:val="top"/>
          </w:tcPr>
          <w:p>
            <w:pPr>
              <w:spacing w:after="0" w:line="240" w:lineRule="auto"/>
              <w:jc w:val="center"/>
            </w:pPr>
            <w:r>
              <w:rPr>
                <w:color w:val="2B2F36"/>
                <w:sz w:val="16"/>
              </w:rPr>
              <w:t>1.30</w:t>
            </w:r>
          </w:p>
        </w:tc>
        <w:tc>
          <w:tcPr>
            <w:tcW w:type="dxa" w:w="1057"/>
            <w:vAlign w:val="top"/>
          </w:tcPr>
          <w:p>
            <w:pPr>
              <w:spacing w:after="0" w:line="240" w:lineRule="auto"/>
              <w:jc w:val="center"/>
            </w:pPr>
            <w:r>
              <w:rPr>
                <w:color w:val="2B2F36"/>
                <w:sz w:val="16"/>
              </w:rPr>
              <w:t>4.00</w:t>
            </w:r>
          </w:p>
        </w:tc>
        <w:tc>
          <w:tcPr>
            <w:tcW w:type="dxa" w:w="2350"/>
            <w:shd w:val="clear" w:color="auto" w:fill="EEF3F8"/>
            <w:vAlign w:val="top"/>
          </w:tcPr>
          <w:p>
            <w:pPr>
              <w:spacing w:after="0" w:line="240" w:lineRule="auto"/>
            </w:pPr>
            <w:r>
              <w:rPr>
                <w:color w:val="2B2F36"/>
                <w:sz w:val="16"/>
              </w:rPr>
              <w:t>On enquiry</w:t>
            </w:r>
          </w:p>
        </w:tc>
      </w:tr>
      <w:tr>
        <w:trPr>
          <w:cantSplit/>
        </w:trPr>
        <w:tc>
          <w:tcPr>
            <w:tcW w:type="dxa" w:w="470"/>
            <w:shd w:val="clear" w:color="auto" w:fill="F7F4EE"/>
            <w:vAlign w:val="top"/>
          </w:tcPr>
          <w:p>
            <w:pPr>
              <w:spacing w:after="0" w:line="240" w:lineRule="auto"/>
              <w:jc w:val="center"/>
            </w:pPr>
            <w:r>
              <w:rPr>
                <w:color w:val="2B2F36"/>
                <w:sz w:val="16"/>
              </w:rPr>
              <w:t>14</w:t>
            </w:r>
          </w:p>
        </w:tc>
        <w:tc>
          <w:tcPr>
            <w:tcW w:type="dxa" w:w="2937"/>
            <w:shd w:val="clear" w:color="auto" w:fill="F7F4EE"/>
            <w:vAlign w:val="top"/>
          </w:tcPr>
          <w:p>
            <w:pPr>
              <w:spacing w:after="0" w:line="240" w:lineRule="auto"/>
            </w:pPr>
            <w:r>
              <w:rPr>
                <w:color w:val="2B2F36"/>
                <w:sz w:val="16"/>
              </w:rPr>
              <w:t>Earthing &amp; electrical</w:t>
            </w:r>
          </w:p>
        </w:tc>
        <w:tc>
          <w:tcPr>
            <w:tcW w:type="dxa" w:w="940"/>
            <w:shd w:val="clear" w:color="auto" w:fill="F7F4EE"/>
            <w:vAlign w:val="top"/>
          </w:tcPr>
          <w:p>
            <w:pPr>
              <w:spacing w:after="0" w:line="240" w:lineRule="auto"/>
              <w:jc w:val="center"/>
            </w:pPr>
            <w:r>
              <w:rPr>
                <w:color w:val="2B2F36"/>
                <w:sz w:val="16"/>
              </w:rPr>
              <w:t>1 %</w:t>
            </w:r>
          </w:p>
        </w:tc>
        <w:tc>
          <w:tcPr>
            <w:tcW w:type="dxa" w:w="940"/>
            <w:shd w:val="clear" w:color="auto" w:fill="F7F4EE"/>
            <w:vAlign w:val="top"/>
          </w:tcPr>
          <w:p>
            <w:pPr>
              <w:spacing w:after="0" w:line="240" w:lineRule="auto"/>
              <w:jc w:val="center"/>
            </w:pPr>
            <w:r>
              <w:rPr>
                <w:color w:val="2B2F36"/>
                <w:sz w:val="16"/>
              </w:rPr>
              <w:t>+5</w:t>
            </w:r>
          </w:p>
        </w:tc>
        <w:tc>
          <w:tcPr>
            <w:tcW w:type="dxa" w:w="1057"/>
            <w:shd w:val="clear" w:color="auto" w:fill="F7F4EE"/>
            <w:vAlign w:val="top"/>
          </w:tcPr>
          <w:p>
            <w:pPr>
              <w:spacing w:after="0" w:line="240" w:lineRule="auto"/>
              <w:jc w:val="center"/>
            </w:pPr>
            <w:r>
              <w:rPr>
                <w:color w:val="2B2F36"/>
                <w:sz w:val="16"/>
              </w:rPr>
              <w:t>2.45</w:t>
            </w:r>
          </w:p>
        </w:tc>
        <w:tc>
          <w:tcPr>
            <w:tcW w:type="dxa" w:w="1057"/>
            <w:shd w:val="clear" w:color="auto" w:fill="F7F4EE"/>
            <w:vAlign w:val="top"/>
          </w:tcPr>
          <w:p>
            <w:pPr>
              <w:spacing w:after="0" w:line="240" w:lineRule="auto"/>
              <w:jc w:val="center"/>
            </w:pPr>
            <w:r>
              <w:rPr>
                <w:color w:val="2B2F36"/>
                <w:sz w:val="16"/>
              </w:rPr>
              <w:t>4.00</w:t>
            </w:r>
          </w:p>
        </w:tc>
        <w:tc>
          <w:tcPr>
            <w:tcW w:type="dxa" w:w="2350"/>
            <w:shd w:val="clear" w:color="auto" w:fill="EEF3F8"/>
            <w:vAlign w:val="top"/>
          </w:tcPr>
          <w:p>
            <w:pPr>
              <w:spacing w:after="0" w:line="240" w:lineRule="auto"/>
            </w:pPr>
            <w:r>
              <w:rPr>
                <w:color w:val="2B2F36"/>
                <w:sz w:val="16"/>
              </w:rPr>
              <w:t>On enquiry</w:t>
            </w:r>
          </w:p>
        </w:tc>
      </w:tr>
      <w:tr>
        <w:trPr>
          <w:cantSplit/>
        </w:trPr>
        <w:tc>
          <w:tcPr>
            <w:tcW w:type="dxa" w:w="470"/>
            <w:vAlign w:val="top"/>
          </w:tcPr>
          <w:p>
            <w:pPr>
              <w:spacing w:after="0" w:line="240" w:lineRule="auto"/>
              <w:jc w:val="center"/>
            </w:pPr>
            <w:r>
              <w:rPr>
                <w:color w:val="2B2F36"/>
                <w:sz w:val="16"/>
              </w:rPr>
              <w:t>15</w:t>
            </w:r>
          </w:p>
        </w:tc>
        <w:tc>
          <w:tcPr>
            <w:tcW w:type="dxa" w:w="2937"/>
            <w:vAlign w:val="top"/>
          </w:tcPr>
          <w:p>
            <w:pPr>
              <w:spacing w:after="0" w:line="240" w:lineRule="auto"/>
            </w:pPr>
            <w:r>
              <w:rPr>
                <w:color w:val="2B2F36"/>
                <w:sz w:val="16"/>
              </w:rPr>
              <w:t>Hydro &amp; irrigation</w:t>
            </w:r>
          </w:p>
        </w:tc>
        <w:tc>
          <w:tcPr>
            <w:tcW w:type="dxa" w:w="940"/>
            <w:vAlign w:val="top"/>
          </w:tcPr>
          <w:p>
            <w:pPr>
              <w:spacing w:after="0" w:line="240" w:lineRule="auto"/>
              <w:jc w:val="center"/>
            </w:pPr>
            <w:r>
              <w:rPr>
                <w:color w:val="2B2F36"/>
                <w:sz w:val="16"/>
              </w:rPr>
              <w:t>1 %</w:t>
            </w:r>
          </w:p>
        </w:tc>
        <w:tc>
          <w:tcPr>
            <w:tcW w:type="dxa" w:w="940"/>
            <w:vAlign w:val="top"/>
          </w:tcPr>
          <w:p>
            <w:pPr>
              <w:spacing w:after="0" w:line="240" w:lineRule="auto"/>
              <w:jc w:val="center"/>
            </w:pPr>
            <w:r>
              <w:rPr>
                <w:color w:val="2B2F36"/>
                <w:sz w:val="16"/>
              </w:rPr>
              <w:t>+6</w:t>
            </w:r>
          </w:p>
        </w:tc>
        <w:tc>
          <w:tcPr>
            <w:tcW w:type="dxa" w:w="1057"/>
            <w:vAlign w:val="top"/>
          </w:tcPr>
          <w:p>
            <w:pPr>
              <w:spacing w:after="0" w:line="240" w:lineRule="auto"/>
              <w:jc w:val="center"/>
            </w:pPr>
            <w:r>
              <w:rPr>
                <w:color w:val="2B2F36"/>
                <w:sz w:val="16"/>
              </w:rPr>
              <w:t>3.10</w:t>
            </w:r>
          </w:p>
        </w:tc>
        <w:tc>
          <w:tcPr>
            <w:tcW w:type="dxa" w:w="1057"/>
            <w:vAlign w:val="top"/>
          </w:tcPr>
          <w:p>
            <w:pPr>
              <w:spacing w:after="0" w:line="240" w:lineRule="auto"/>
              <w:jc w:val="center"/>
            </w:pPr>
            <w:r>
              <w:rPr>
                <w:color w:val="2B2F36"/>
                <w:sz w:val="16"/>
              </w:rPr>
              <w:t>4.12</w:t>
            </w:r>
          </w:p>
        </w:tc>
        <w:tc>
          <w:tcPr>
            <w:tcW w:type="dxa" w:w="2350"/>
            <w:shd w:val="clear" w:color="auto" w:fill="F3E7D0"/>
            <w:vAlign w:val="top"/>
          </w:tcPr>
          <w:p>
            <w:pPr>
              <w:spacing w:after="0" w:line="240" w:lineRule="auto"/>
            </w:pPr>
            <w:r>
              <w:rPr>
                <w:color w:val="2B2F36"/>
                <w:sz w:val="16"/>
              </w:rPr>
              <w:t>Build selectively</w:t>
            </w:r>
          </w:p>
        </w:tc>
      </w:tr>
      <w:tr>
        <w:trPr>
          <w:cantSplit/>
        </w:trPr>
        <w:tc>
          <w:tcPr>
            <w:tcW w:type="dxa" w:w="470"/>
            <w:shd w:val="clear" w:color="auto" w:fill="F7F4EE"/>
            <w:vAlign w:val="top"/>
          </w:tcPr>
          <w:p>
            <w:pPr>
              <w:spacing w:after="0" w:line="240" w:lineRule="auto"/>
              <w:jc w:val="center"/>
            </w:pPr>
            <w:r>
              <w:rPr>
                <w:color w:val="2B2F36"/>
                <w:sz w:val="16"/>
              </w:rPr>
              <w:t>16</w:t>
            </w:r>
          </w:p>
        </w:tc>
        <w:tc>
          <w:tcPr>
            <w:tcW w:type="dxa" w:w="2937"/>
            <w:shd w:val="clear" w:color="auto" w:fill="F7F4EE"/>
            <w:vAlign w:val="top"/>
          </w:tcPr>
          <w:p>
            <w:pPr>
              <w:spacing w:after="0" w:line="240" w:lineRule="auto"/>
            </w:pPr>
            <w:r>
              <w:rPr>
                <w:color w:val="2B2F36"/>
                <w:sz w:val="16"/>
              </w:rPr>
              <w:t>Defence &amp; naval</w:t>
            </w:r>
          </w:p>
        </w:tc>
        <w:tc>
          <w:tcPr>
            <w:tcW w:type="dxa" w:w="940"/>
            <w:shd w:val="clear" w:color="auto" w:fill="F7F4EE"/>
            <w:vAlign w:val="top"/>
          </w:tcPr>
          <w:p>
            <w:pPr>
              <w:spacing w:after="0" w:line="240" w:lineRule="auto"/>
              <w:jc w:val="center"/>
            </w:pPr>
            <w:r>
              <w:rPr>
                <w:color w:val="2B2F36"/>
                <w:sz w:val="16"/>
              </w:rPr>
              <w:t>0.5 %</w:t>
            </w:r>
          </w:p>
        </w:tc>
        <w:tc>
          <w:tcPr>
            <w:tcW w:type="dxa" w:w="940"/>
            <w:shd w:val="clear" w:color="auto" w:fill="F7F4EE"/>
            <w:vAlign w:val="top"/>
          </w:tcPr>
          <w:p>
            <w:pPr>
              <w:spacing w:after="0" w:line="240" w:lineRule="auto"/>
              <w:jc w:val="center"/>
            </w:pPr>
            <w:r>
              <w:rPr>
                <w:color w:val="2B2F36"/>
                <w:sz w:val="16"/>
              </w:rPr>
              <w:t>+8</w:t>
            </w:r>
          </w:p>
        </w:tc>
        <w:tc>
          <w:tcPr>
            <w:tcW w:type="dxa" w:w="1057"/>
            <w:shd w:val="clear" w:color="auto" w:fill="F7F4EE"/>
            <w:vAlign w:val="top"/>
          </w:tcPr>
          <w:p>
            <w:pPr>
              <w:spacing w:after="0" w:line="240" w:lineRule="auto"/>
              <w:jc w:val="center"/>
            </w:pPr>
            <w:r>
              <w:rPr>
                <w:color w:val="2B2F36"/>
                <w:sz w:val="16"/>
              </w:rPr>
              <w:t>3.80</w:t>
            </w:r>
          </w:p>
        </w:tc>
        <w:tc>
          <w:tcPr>
            <w:tcW w:type="dxa" w:w="1057"/>
            <w:shd w:val="clear" w:color="auto" w:fill="F7F4EE"/>
            <w:vAlign w:val="top"/>
          </w:tcPr>
          <w:p>
            <w:pPr>
              <w:spacing w:after="0" w:line="240" w:lineRule="auto"/>
              <w:jc w:val="center"/>
            </w:pPr>
            <w:r>
              <w:rPr>
                <w:color w:val="2B2F36"/>
                <w:sz w:val="16"/>
              </w:rPr>
              <w:t>2.86</w:t>
            </w:r>
          </w:p>
        </w:tc>
        <w:tc>
          <w:tcPr>
            <w:tcW w:type="dxa" w:w="2350"/>
            <w:shd w:val="clear" w:color="auto" w:fill="F3E7D0"/>
            <w:vAlign w:val="top"/>
          </w:tcPr>
          <w:p>
            <w:pPr>
              <w:spacing w:after="0" w:line="240" w:lineRule="auto"/>
            </w:pPr>
            <w:r>
              <w:rPr>
                <w:color w:val="2B2F36"/>
                <w:sz w:val="16"/>
              </w:rPr>
              <w:t>Build selectively</w:t>
            </w:r>
          </w:p>
        </w:tc>
      </w:tr>
      <w:tr>
        <w:trPr>
          <w:cantSplit/>
        </w:trPr>
        <w:tc>
          <w:tcPr>
            <w:tcW w:type="dxa" w:w="470"/>
            <w:vAlign w:val="top"/>
          </w:tcPr>
          <w:p>
            <w:pPr>
              <w:spacing w:after="0" w:line="240" w:lineRule="auto"/>
              <w:jc w:val="center"/>
            </w:pPr>
            <w:r>
              <w:rPr>
                <w:color w:val="2B2F36"/>
                <w:sz w:val="16"/>
              </w:rPr>
              <w:t>17</w:t>
            </w:r>
          </w:p>
        </w:tc>
        <w:tc>
          <w:tcPr>
            <w:tcW w:type="dxa" w:w="2937"/>
            <w:vAlign w:val="top"/>
          </w:tcPr>
          <w:p>
            <w:pPr>
              <w:spacing w:after="0" w:line="240" w:lineRule="auto"/>
            </w:pPr>
            <w:r>
              <w:rPr>
                <w:color w:val="2B2F36"/>
                <w:sz w:val="16"/>
              </w:rPr>
              <w:t>Instruments &amp; gauges</w:t>
            </w:r>
          </w:p>
        </w:tc>
        <w:tc>
          <w:tcPr>
            <w:tcW w:type="dxa" w:w="940"/>
            <w:vAlign w:val="top"/>
          </w:tcPr>
          <w:p>
            <w:pPr>
              <w:spacing w:after="0" w:line="240" w:lineRule="auto"/>
              <w:jc w:val="center"/>
            </w:pPr>
            <w:r>
              <w:rPr>
                <w:color w:val="2B2F36"/>
                <w:sz w:val="16"/>
              </w:rPr>
              <w:t>0.5 %</w:t>
            </w:r>
          </w:p>
        </w:tc>
        <w:tc>
          <w:tcPr>
            <w:tcW w:type="dxa" w:w="940"/>
            <w:vAlign w:val="top"/>
          </w:tcPr>
          <w:p>
            <w:pPr>
              <w:spacing w:after="0" w:line="240" w:lineRule="auto"/>
              <w:jc w:val="center"/>
            </w:pPr>
            <w:r>
              <w:rPr>
                <w:color w:val="2B2F36"/>
                <w:sz w:val="16"/>
              </w:rPr>
              <w:t>+3</w:t>
            </w:r>
          </w:p>
        </w:tc>
        <w:tc>
          <w:tcPr>
            <w:tcW w:type="dxa" w:w="1057"/>
            <w:vAlign w:val="top"/>
          </w:tcPr>
          <w:p>
            <w:pPr>
              <w:spacing w:after="0" w:line="240" w:lineRule="auto"/>
              <w:jc w:val="center"/>
            </w:pPr>
            <w:r>
              <w:rPr>
                <w:color w:val="2B2F36"/>
                <w:sz w:val="16"/>
              </w:rPr>
              <w:t>2.10</w:t>
            </w:r>
          </w:p>
        </w:tc>
        <w:tc>
          <w:tcPr>
            <w:tcW w:type="dxa" w:w="1057"/>
            <w:vAlign w:val="top"/>
          </w:tcPr>
          <w:p>
            <w:pPr>
              <w:spacing w:after="0" w:line="240" w:lineRule="auto"/>
              <w:jc w:val="center"/>
            </w:pPr>
            <w:r>
              <w:rPr>
                <w:color w:val="2B2F36"/>
                <w:sz w:val="16"/>
              </w:rPr>
              <w:t>3.55</w:t>
            </w:r>
          </w:p>
        </w:tc>
        <w:tc>
          <w:tcPr>
            <w:tcW w:type="dxa" w:w="2350"/>
            <w:shd w:val="clear" w:color="auto" w:fill="EEF3F8"/>
            <w:vAlign w:val="top"/>
          </w:tcPr>
          <w:p>
            <w:pPr>
              <w:spacing w:after="0" w:line="240" w:lineRule="auto"/>
            </w:pPr>
            <w:r>
              <w:rPr>
                <w:color w:val="2B2F36"/>
                <w:sz w:val="16"/>
              </w:rPr>
              <w:t>On enquiry</w:t>
            </w:r>
          </w:p>
        </w:tc>
      </w:tr>
    </w:tbl>
    <w:p>
      <w:pPr>
        <w:spacing w:after="40"/>
      </w:pPr>
    </w:p>
    <w:p>
      <w:pPr>
        <w:keepNext/>
        <w:spacing w:after="40"/>
      </w:pPr>
      <w:r>
        <w:rPr>
          <w:b/>
          <w:color w:val="5B6470"/>
          <w:sz w:val="18"/>
        </w:rPr>
        <w:t>Table 37.</w:t>
      </w:r>
      <w:r>
        <w:rPr>
          <w:color w:val="5B6470"/>
          <w:sz w:val="18"/>
        </w:rPr>
        <w:t xml:space="preserve"> Actions by zone</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701"/>
        <w:gridCol w:w="4649"/>
        <w:gridCol w:w="3402"/>
      </w:tblGrid>
      <w:tr>
        <w:trPr>
          <w:cantSplit/>
          <w:tblHeader/>
        </w:trPr>
        <w:tc>
          <w:tcPr>
            <w:tcW w:type="dxa" w:w="1701"/>
            <w:shd w:val="clear" w:color="auto" w:fill="1F4E79"/>
            <w:vAlign w:val="center"/>
          </w:tcPr>
          <w:p>
            <w:pPr>
              <w:spacing w:after="0" w:line="240" w:lineRule="auto"/>
            </w:pPr>
            <w:r>
              <w:rPr>
                <w:b/>
                <w:color w:val="FFFFFF"/>
                <w:sz w:val="16"/>
              </w:rPr>
              <w:t>Zone</w:t>
            </w:r>
          </w:p>
        </w:tc>
        <w:tc>
          <w:tcPr>
            <w:tcW w:type="dxa" w:w="4649"/>
            <w:shd w:val="clear" w:color="auto" w:fill="1F4E79"/>
            <w:vAlign w:val="center"/>
          </w:tcPr>
          <w:p>
            <w:pPr>
              <w:spacing w:after="0" w:line="240" w:lineRule="auto"/>
            </w:pPr>
            <w:r>
              <w:rPr>
                <w:b/>
                <w:color w:val="FFFFFF"/>
                <w:sz w:val="16"/>
              </w:rPr>
              <w:t>Applications</w:t>
            </w:r>
          </w:p>
        </w:tc>
        <w:tc>
          <w:tcPr>
            <w:tcW w:type="dxa" w:w="3402"/>
            <w:shd w:val="clear" w:color="auto" w:fill="1F4E79"/>
            <w:vAlign w:val="center"/>
          </w:tcPr>
          <w:p>
            <w:pPr>
              <w:spacing w:after="0" w:line="240" w:lineRule="auto"/>
            </w:pPr>
            <w:r>
              <w:rPr>
                <w:b/>
                <w:color w:val="FFFFFF"/>
                <w:sz w:val="16"/>
              </w:rPr>
              <w:t>Action</w:t>
            </w:r>
          </w:p>
        </w:tc>
      </w:tr>
      <w:tr>
        <w:trPr>
          <w:cantSplit/>
        </w:trPr>
        <w:tc>
          <w:tcPr>
            <w:tcW w:type="dxa" w:w="1701"/>
            <w:vAlign w:val="top"/>
          </w:tcPr>
          <w:p>
            <w:pPr>
              <w:spacing w:after="0" w:line="240" w:lineRule="auto"/>
            </w:pPr>
            <w:r>
              <w:rPr>
                <w:b/>
                <w:color w:val="2B2F36"/>
                <w:sz w:val="16"/>
              </w:rPr>
              <w:t>Invest</w:t>
            </w:r>
          </w:p>
        </w:tc>
        <w:tc>
          <w:tcPr>
            <w:tcW w:type="dxa" w:w="4649"/>
            <w:vAlign w:val="top"/>
          </w:tcPr>
          <w:p>
            <w:pPr>
              <w:spacing w:after="0" w:line="240" w:lineRule="auto"/>
            </w:pPr>
            <w:r>
              <w:rPr>
                <w:color w:val="2B2F36"/>
                <w:sz w:val="16"/>
              </w:rPr>
              <w:t>Pumps, Bushes &amp; bearings, Fire-fighting hardware</w:t>
            </w:r>
          </w:p>
        </w:tc>
        <w:tc>
          <w:tcPr>
            <w:tcW w:type="dxa" w:w="3402"/>
            <w:vAlign w:val="top"/>
          </w:tcPr>
          <w:p>
            <w:pPr>
              <w:spacing w:after="0" w:line="240" w:lineRule="auto"/>
            </w:pPr>
            <w:r>
              <w:rPr>
                <w:color w:val="2B2F36"/>
                <w:sz w:val="16"/>
              </w:rPr>
              <w:t>Dedicated sales effort; stock CC491K and CC493K; technical support</w:t>
            </w:r>
          </w:p>
        </w:tc>
      </w:tr>
      <w:tr>
        <w:trPr>
          <w:cantSplit/>
        </w:trPr>
        <w:tc>
          <w:tcPr>
            <w:tcW w:type="dxa" w:w="1701"/>
            <w:shd w:val="clear" w:color="auto" w:fill="F7F4EE"/>
            <w:vAlign w:val="top"/>
          </w:tcPr>
          <w:p>
            <w:pPr>
              <w:spacing w:after="0" w:line="240" w:lineRule="auto"/>
            </w:pPr>
            <w:r>
              <w:rPr>
                <w:b/>
                <w:color w:val="2B2F36"/>
                <w:sz w:val="16"/>
              </w:rPr>
              <w:t>Build selectively</w:t>
            </w:r>
          </w:p>
        </w:tc>
        <w:tc>
          <w:tcPr>
            <w:tcW w:type="dxa" w:w="4649"/>
            <w:shd w:val="clear" w:color="auto" w:fill="F7F4EE"/>
            <w:vAlign w:val="top"/>
          </w:tcPr>
          <w:p>
            <w:pPr>
              <w:spacing w:after="0" w:line="240" w:lineRule="auto"/>
            </w:pPr>
            <w:r>
              <w:rPr>
                <w:color w:val="2B2F36"/>
                <w:sz w:val="16"/>
              </w:rPr>
              <w:t>Valves, Marine fittings, Sugar-mill bearings, Hydraulics, Hydro &amp; irrigation, Defence &amp; naval</w:t>
            </w:r>
          </w:p>
        </w:tc>
        <w:tc>
          <w:tcPr>
            <w:tcW w:type="dxa" w:w="3402"/>
            <w:shd w:val="clear" w:color="auto" w:fill="F7F4EE"/>
            <w:vAlign w:val="top"/>
          </w:tcPr>
          <w:p>
            <w:pPr>
              <w:spacing w:after="0" w:line="240" w:lineRule="auto"/>
            </w:pPr>
            <w:r>
              <w:rPr>
                <w:color w:val="2B2F36"/>
                <w:sz w:val="16"/>
              </w:rPr>
              <w:t>Named accounts or approval plays; invest where a customer or approval exists</w:t>
            </w:r>
          </w:p>
        </w:tc>
      </w:tr>
      <w:tr>
        <w:trPr>
          <w:cantSplit/>
        </w:trPr>
        <w:tc>
          <w:tcPr>
            <w:tcW w:type="dxa" w:w="1701"/>
            <w:vAlign w:val="top"/>
          </w:tcPr>
          <w:p>
            <w:pPr>
              <w:spacing w:after="0" w:line="240" w:lineRule="auto"/>
            </w:pPr>
            <w:r>
              <w:rPr>
                <w:b/>
                <w:color w:val="2B2F36"/>
                <w:sz w:val="16"/>
              </w:rPr>
              <w:t>On enquiry</w:t>
            </w:r>
          </w:p>
        </w:tc>
        <w:tc>
          <w:tcPr>
            <w:tcW w:type="dxa" w:w="4649"/>
            <w:vAlign w:val="top"/>
          </w:tcPr>
          <w:p>
            <w:pPr>
              <w:spacing w:after="0" w:line="240" w:lineRule="auto"/>
            </w:pPr>
            <w:r>
              <w:rPr>
                <w:color w:val="2B2F36"/>
                <w:sz w:val="16"/>
              </w:rPr>
              <w:t>Plumbing hardware, Water-meter bodies, Gears &amp; worm wheels, Boiler mountings, Decorative castings, Earthing &amp; electrical, Instruments &amp; gauges</w:t>
            </w:r>
          </w:p>
        </w:tc>
        <w:tc>
          <w:tcPr>
            <w:tcW w:type="dxa" w:w="3402"/>
            <w:vAlign w:val="top"/>
          </w:tcPr>
          <w:p>
            <w:pPr>
              <w:spacing w:after="0" w:line="240" w:lineRule="auto"/>
            </w:pPr>
            <w:r>
              <w:rPr>
                <w:color w:val="2B2F36"/>
                <w:sz w:val="16"/>
              </w:rPr>
              <w:t>Serve at formula price when asked; no dedicated effort</w:t>
            </w:r>
          </w:p>
        </w:tc>
      </w:tr>
      <w:tr>
        <w:trPr>
          <w:cantSplit/>
        </w:trPr>
        <w:tc>
          <w:tcPr>
            <w:tcW w:type="dxa" w:w="1701"/>
            <w:shd w:val="clear" w:color="auto" w:fill="F7F4EE"/>
            <w:vAlign w:val="top"/>
          </w:tcPr>
          <w:p>
            <w:pPr>
              <w:spacing w:after="0" w:line="240" w:lineRule="auto"/>
            </w:pPr>
            <w:r>
              <w:rPr>
                <w:b/>
                <w:color w:val="2B2F36"/>
                <w:sz w:val="16"/>
              </w:rPr>
              <w:t>Harvest / avoid</w:t>
            </w:r>
          </w:p>
        </w:tc>
        <w:tc>
          <w:tcPr>
            <w:tcW w:type="dxa" w:w="4649"/>
            <w:shd w:val="clear" w:color="auto" w:fill="F7F4EE"/>
            <w:vAlign w:val="top"/>
          </w:tcPr>
          <w:p>
            <w:pPr>
              <w:spacing w:after="0" w:line="240" w:lineRule="auto"/>
            </w:pPr>
            <w:r>
              <w:rPr>
                <w:color w:val="2B2F36"/>
                <w:sz w:val="16"/>
              </w:rPr>
              <w:t>Engine &amp; compressor</w:t>
            </w:r>
          </w:p>
        </w:tc>
        <w:tc>
          <w:tcPr>
            <w:tcW w:type="dxa" w:w="3402"/>
            <w:shd w:val="clear" w:color="auto" w:fill="F7F4EE"/>
            <w:vAlign w:val="top"/>
          </w:tcPr>
          <w:p>
            <w:pPr>
              <w:spacing w:after="0" w:line="240" w:lineRule="auto"/>
            </w:pPr>
            <w:r>
              <w:rPr>
                <w:color w:val="2B2F36"/>
                <w:sz w:val="16"/>
              </w:rPr>
              <w:t>Do not chase</w:t>
            </w:r>
          </w:p>
        </w:tc>
      </w:tr>
    </w:tbl>
    <w:p>
      <w:pPr>
        <w:spacing w:after="40"/>
      </w:pPr>
    </w:p>
    <w:tbl>
      <w:tblPr>
        <w:tblW w:type="auto" w:w="0"/>
        <w:jc w:val="center"/>
        <w:tblLayout w:type="fixed"/>
        <w:tblCellMar>
          <w:top w:w="90" w:type="dxa"/>
          <w:left w:w="140" w:type="dxa"/>
          <w:bottom w:w="90" w:type="dxa"/>
          <w:right w:w="120" w:type="dxa"/>
        </w:tblCellMar>
        <w:tblLook w:firstColumn="1" w:firstRow="1" w:lastColumn="0" w:lastRow="0" w:noHBand="0" w:noVBand="1" w:val="04A0"/>
      </w:tblPr>
      <w:tblGrid>
        <w:gridCol w:w="9751"/>
      </w:tblGrid>
      <w:tr>
        <w:tc>
          <w:tcPr>
            <w:tcW w:type="dxa" w:w="9751"/>
            <w:tcBorders>
              <w:left w:val="single" w:sz="24" w:color="B26A00"/>
            </w:tcBorders>
            <w:shd w:val="clear" w:color="auto" w:fill="FBF5EA"/>
          </w:tcPr>
          <w:p>
            <w:pPr>
              <w:spacing w:after="60"/>
            </w:pPr>
            <w:r>
              <w:rPr>
                <w:b/>
                <w:color w:val="B26A00"/>
                <w:sz w:val="20"/>
              </w:rPr>
              <w:t>What changed against Rev 5 (and why the text now agrees with the chart)</w:t>
            </w:r>
          </w:p>
          <w:p>
            <w:pPr>
              <w:spacing w:after="40" w:line="252" w:lineRule="auto"/>
              <w:ind w:left="255" w:hanging="255"/>
            </w:pPr>
            <w:r>
              <w:rPr>
                <w:color w:val="2B2F36"/>
                <w:sz w:val="19"/>
              </w:rPr>
              <w:t xml:space="preserve">• </w:t>
            </w:r>
            <w:r>
              <w:rPr>
                <w:b/>
                <w:color w:val="2B2F36"/>
                <w:sz w:val="19"/>
              </w:rPr>
              <w:t>Hydro and defence</w:t>
            </w:r>
            <w:r>
              <w:rPr>
                <w:color w:val="2B2F36"/>
                <w:sz w:val="19"/>
              </w:rPr>
              <w:t xml:space="preserve"> were “Harvest/avoid” in the Rev 5 table but were recommended as approval plays in the same report. Computed, both are </w:t>
            </w:r>
            <w:r>
              <w:rPr>
                <w:b/>
                <w:color w:val="2B2F36"/>
                <w:sz w:val="19"/>
              </w:rPr>
              <w:t>Build selectively</w:t>
            </w:r>
            <w:r>
              <w:rPr>
                <w:color w:val="2B2F36"/>
                <w:sz w:val="19"/>
              </w:rPr>
              <w:t>.</w:t>
            </w:r>
          </w:p>
          <w:p>
            <w:pPr>
              <w:spacing w:after="40" w:line="252" w:lineRule="auto"/>
              <w:ind w:left="255" w:hanging="255"/>
            </w:pPr>
            <w:r>
              <w:rPr>
                <w:color w:val="2B2F36"/>
                <w:sz w:val="19"/>
              </w:rPr>
              <w:t xml:space="preserve">• </w:t>
            </w:r>
            <w:r>
              <w:rPr>
                <w:b/>
                <w:color w:val="2B2F36"/>
                <w:sz w:val="19"/>
              </w:rPr>
              <w:t>Pumps</w:t>
            </w:r>
            <w:r>
              <w:rPr>
                <w:color w:val="2B2F36"/>
                <w:sz w:val="19"/>
              </w:rPr>
              <w:t xml:space="preserve"> had business strength 4.0 in Rev 5 although the main pump clusters are 900–2,300 km away; the recomputed strength is 3.52, borderline Invest. Pumps remain a volume base but are not where Bajaj has the edge.</w:t>
            </w:r>
          </w:p>
          <w:p>
            <w:pPr>
              <w:spacing w:after="40" w:line="252" w:lineRule="auto"/>
              <w:ind w:left="255" w:hanging="255"/>
            </w:pPr>
            <w:r>
              <w:rPr>
                <w:color w:val="2B2F36"/>
                <w:sz w:val="19"/>
              </w:rPr>
              <w:t xml:space="preserve">• </w:t>
            </w:r>
            <w:r>
              <w:rPr>
                <w:b/>
                <w:color w:val="2B2F36"/>
                <w:sz w:val="19"/>
              </w:rPr>
              <w:t>Valves</w:t>
            </w:r>
            <w:r>
              <w:rPr>
                <w:color w:val="2B2F36"/>
                <w:sz w:val="19"/>
              </w:rPr>
              <w:t xml:space="preserve"> move from Invest to Build selectively (strength 3.29): the biggest valve clusters (Gujarat, Coimbatore) are far, so Bajaj should start with NCR, Haryana and Punjab valve makers.</w:t>
            </w:r>
          </w:p>
          <w:p>
            <w:pPr>
              <w:spacing w:after="40" w:line="252" w:lineRule="auto"/>
              <w:ind w:left="255" w:hanging="255"/>
            </w:pPr>
            <w:r>
              <w:rPr>
                <w:color w:val="2B2F36"/>
                <w:sz w:val="19"/>
              </w:rPr>
              <w:t xml:space="preserve">• </w:t>
            </w:r>
            <w:r>
              <w:rPr>
                <w:b/>
                <w:color w:val="2B2F36"/>
                <w:sz w:val="19"/>
              </w:rPr>
              <w:t>Marine</w:t>
            </w:r>
            <w:r>
              <w:rPr>
                <w:color w:val="2B2F36"/>
                <w:sz w:val="19"/>
              </w:rPr>
              <w:t xml:space="preserve"> is Build selectively, not On enquiry: attractive but distant; it needs approvals and freight-inclusive pricing.</w:t>
            </w:r>
          </w:p>
        </w:tc>
      </w:tr>
    </w:tbl>
    <w:p>
      <w:pPr>
        <w:spacing w:after="40"/>
      </w:pPr>
    </w:p>
    <w:p>
      <w:pPr>
        <w:pStyle w:val="Heading2"/>
      </w:pPr>
      <w:r>
        <w:t>15.2 Ansoff growth matrix</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4876"/>
        <w:gridCol w:w="4876"/>
      </w:tblGrid>
      <w:tr>
        <w:trPr>
          <w:cantSplit/>
          <w:tblHeader/>
        </w:trPr>
        <w:tc>
          <w:tcPr>
            <w:tcW w:type="dxa" w:w="4876"/>
            <w:shd w:val="clear" w:color="auto" w:fill="1F4E79"/>
            <w:vAlign w:val="center"/>
          </w:tcPr>
          <w:p>
            <w:pPr>
              <w:spacing w:after="0" w:line="240" w:lineRule="auto"/>
            </w:pPr>
            <w:r>
              <w:rPr>
                <w:b/>
                <w:color w:val="FFFFFF"/>
                <w:sz w:val="16"/>
              </w:rPr>
              <w:t>Market penetration</w:t>
            </w:r>
            <w:r>
              <w:rPr>
                <w:b/>
                <w:color w:val="FFFFFF"/>
                <w:sz w:val="16"/>
              </w:rPr>
              <w:t xml:space="preserve"> (existing products, existing markets)</w:t>
            </w:r>
          </w:p>
        </w:tc>
        <w:tc>
          <w:tcPr>
            <w:tcW w:type="dxa" w:w="4876"/>
            <w:shd w:val="clear" w:color="auto" w:fill="1F4E79"/>
            <w:vAlign w:val="center"/>
          </w:tcPr>
          <w:p>
            <w:pPr>
              <w:spacing w:after="0" w:line="240" w:lineRule="auto"/>
            </w:pPr>
            <w:r>
              <w:rPr>
                <w:b/>
                <w:color w:val="FFFFFF"/>
                <w:sz w:val="16"/>
              </w:rPr>
              <w:t>Product development</w:t>
            </w:r>
            <w:r>
              <w:rPr>
                <w:b/>
                <w:color w:val="FFFFFF"/>
                <w:sz w:val="16"/>
              </w:rPr>
              <w:t xml:space="preserve"> (new products, existing markets)</w:t>
            </w:r>
          </w:p>
        </w:tc>
      </w:tr>
      <w:tr>
        <w:trPr>
          <w:cantSplit/>
        </w:trPr>
        <w:tc>
          <w:tcPr>
            <w:tcW w:type="dxa" w:w="4876"/>
            <w:vAlign w:val="top"/>
          </w:tcPr>
          <w:p>
            <w:pPr>
              <w:spacing w:after="0" w:line="240" w:lineRule="auto"/>
            </w:pPr>
            <w:r>
              <w:rPr>
                <w:color w:val="2B2F36"/>
                <w:sz w:val="16"/>
              </w:rPr>
              <w:t>• CC491K and CC493K ingot to existing brass and bronze foundry customers in NCR, Haryana, Punjab and Rajasthan</w:t>
              <w:br/>
              <w:t>• Win share from remelters with certificates and LME-formula pricing</w:t>
              <w:br/>
              <w:t>• Lowest risk; start now</w:t>
            </w:r>
          </w:p>
        </w:tc>
        <w:tc>
          <w:tcPr>
            <w:tcW w:type="dxa" w:w="4876"/>
            <w:vAlign w:val="top"/>
          </w:tcPr>
          <w:p>
            <w:pPr>
              <w:spacing w:after="0" w:line="240" w:lineRule="auto"/>
            </w:pPr>
            <w:r>
              <w:rPr>
                <w:color w:val="2B2F36"/>
                <w:sz w:val="16"/>
              </w:rPr>
              <w:t>• Low-lead gunmetal (Pb ≤ 3 %, CC499K type) for potable-water valves and meter bodies</w:t>
              <w:br/>
              <w:t>• CC492K for higher-duty castings; CC495K for sugar-mill, steel-plant and crusher bushes</w:t>
              <w:br/>
              <w:t>• Medium risk; needs trials and certification</w:t>
            </w:r>
          </w:p>
        </w:tc>
      </w:tr>
      <w:tr>
        <w:trPr>
          <w:cantSplit/>
        </w:trPr>
        <w:tc>
          <w:tcPr>
            <w:tcW w:type="dxa" w:w="4876"/>
            <w:shd w:val="clear" w:color="auto" w:fill="F1D9B8"/>
            <w:vAlign w:val="top"/>
          </w:tcPr>
          <w:p>
            <w:pPr>
              <w:spacing w:after="0" w:line="240" w:lineRule="auto"/>
            </w:pPr>
            <w:r>
              <w:rPr>
                <w:b/>
                <w:color w:val="2B2F36"/>
                <w:sz w:val="16"/>
              </w:rPr>
              <w:t>Market development</w:t>
            </w:r>
            <w:r>
              <w:rPr>
                <w:color w:val="2B2F36"/>
                <w:sz w:val="16"/>
              </w:rPr>
              <w:t xml:space="preserve"> (existing products, new markets)</w:t>
            </w:r>
          </w:p>
        </w:tc>
        <w:tc>
          <w:tcPr>
            <w:tcW w:type="dxa" w:w="4876"/>
            <w:shd w:val="clear" w:color="auto" w:fill="F1D9B8"/>
            <w:vAlign w:val="top"/>
          </w:tcPr>
          <w:p>
            <w:pPr>
              <w:spacing w:after="0" w:line="240" w:lineRule="auto"/>
            </w:pPr>
            <w:r>
              <w:rPr>
                <w:b/>
                <w:color w:val="2B2F36"/>
                <w:sz w:val="16"/>
              </w:rPr>
              <w:t>Diversification</w:t>
            </w:r>
            <w:r>
              <w:rPr>
                <w:color w:val="2B2F36"/>
                <w:sz w:val="16"/>
              </w:rPr>
              <w:t xml:space="preserve"> (new products, new markets)</w:t>
            </w:r>
          </w:p>
        </w:tc>
      </w:tr>
      <w:tr>
        <w:trPr>
          <w:cantSplit/>
        </w:trPr>
        <w:tc>
          <w:tcPr>
            <w:tcW w:type="dxa" w:w="4876"/>
            <w:vAlign w:val="top"/>
          </w:tcPr>
          <w:p>
            <w:pPr>
              <w:spacing w:after="0" w:line="240" w:lineRule="auto"/>
            </w:pPr>
            <w:r>
              <w:rPr>
                <w:color w:val="2B2F36"/>
                <w:sz w:val="16"/>
              </w:rPr>
              <w:t>• Same six grades to export-oriented clusters (Rajkot, Ahmedabad, Kolhapur, Coimbatore) and to bush buyers in the Rajasthan cement belt and Ludhiana–Mohali</w:t>
              <w:br/>
              <w:t>• Fire-equipment, marine and hydraulic makers</w:t>
              <w:br/>
              <w:t>• Medium risk; needs sales travel, samples, freight-inclusive pricing</w:t>
            </w:r>
          </w:p>
        </w:tc>
        <w:tc>
          <w:tcPr>
            <w:tcW w:type="dxa" w:w="4876"/>
            <w:vAlign w:val="top"/>
          </w:tcPr>
          <w:p>
            <w:pPr>
              <w:spacing w:after="0" w:line="240" w:lineRule="auto"/>
            </w:pPr>
            <w:r>
              <w:rPr>
                <w:color w:val="2B2F36"/>
                <w:sz w:val="16"/>
              </w:rPr>
              <w:t>• Continuous-cast bar and bush blanks for bush makers</w:t>
              <w:br/>
              <w:t>• Turnings buy-back and EPR recycled-content service</w:t>
              <w:br/>
              <w:t>• Highest risk and capex; feasibility study only in year 2</w:t>
            </w:r>
          </w:p>
        </w:tc>
      </w:tr>
    </w:tbl>
    <w:p>
      <w:pPr>
        <w:spacing w:after="40"/>
      </w:pPr>
    </w:p>
    <w:p>
      <w:pPr>
        <w:keepNext/>
        <w:spacing w:after="40"/>
      </w:pPr>
      <w:r>
        <w:rPr>
          <w:b/>
          <w:color w:val="5B6470"/>
          <w:sz w:val="18"/>
        </w:rPr>
        <w:t>Table 38.</w:t>
      </w:r>
      <w:r>
        <w:rPr>
          <w:color w:val="5B6470"/>
          <w:sz w:val="18"/>
        </w:rPr>
        <w:t xml:space="preserve"> Order of moves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2041"/>
        <w:gridCol w:w="1134"/>
        <w:gridCol w:w="3061"/>
        <w:gridCol w:w="2268"/>
        <w:gridCol w:w="1247"/>
      </w:tblGrid>
      <w:tr>
        <w:trPr>
          <w:cantSplit/>
          <w:tblHeader/>
        </w:trPr>
        <w:tc>
          <w:tcPr>
            <w:tcW w:type="dxa" w:w="2041"/>
            <w:shd w:val="clear" w:color="auto" w:fill="1F4E79"/>
            <w:vAlign w:val="center"/>
          </w:tcPr>
          <w:p>
            <w:pPr>
              <w:spacing w:after="0" w:line="240" w:lineRule="auto"/>
            </w:pPr>
            <w:r>
              <w:rPr>
                <w:b/>
                <w:color w:val="FFFFFF"/>
                <w:sz w:val="16"/>
              </w:rPr>
              <w:t>Route</w:t>
            </w:r>
          </w:p>
        </w:tc>
        <w:tc>
          <w:tcPr>
            <w:tcW w:type="dxa" w:w="1134"/>
            <w:shd w:val="clear" w:color="auto" w:fill="1F4E79"/>
            <w:vAlign w:val="center"/>
          </w:tcPr>
          <w:p>
            <w:pPr>
              <w:spacing w:after="0" w:line="240" w:lineRule="auto"/>
            </w:pPr>
            <w:r>
              <w:rPr>
                <w:b/>
                <w:color w:val="FFFFFF"/>
                <w:sz w:val="16"/>
              </w:rPr>
              <w:t>Risk</w:t>
            </w:r>
          </w:p>
        </w:tc>
        <w:tc>
          <w:tcPr>
            <w:tcW w:type="dxa" w:w="3061"/>
            <w:shd w:val="clear" w:color="auto" w:fill="1F4E79"/>
            <w:vAlign w:val="center"/>
          </w:tcPr>
          <w:p>
            <w:pPr>
              <w:spacing w:after="0" w:line="240" w:lineRule="auto"/>
            </w:pPr>
            <w:r>
              <w:rPr>
                <w:b/>
                <w:color w:val="FFFFFF"/>
                <w:sz w:val="16"/>
              </w:rPr>
              <w:t>Investment</w:t>
            </w:r>
          </w:p>
        </w:tc>
        <w:tc>
          <w:tcPr>
            <w:tcW w:type="dxa" w:w="2268"/>
            <w:shd w:val="clear" w:color="auto" w:fill="1F4E79"/>
            <w:vAlign w:val="center"/>
          </w:tcPr>
          <w:p>
            <w:pPr>
              <w:spacing w:after="0" w:line="240" w:lineRule="auto"/>
            </w:pPr>
            <w:r>
              <w:rPr>
                <w:b/>
                <w:color w:val="FFFFFF"/>
                <w:sz w:val="16"/>
              </w:rPr>
              <w:t>Timing</w:t>
            </w:r>
          </w:p>
        </w:tc>
        <w:tc>
          <w:tcPr>
            <w:tcW w:type="dxa" w:w="1247"/>
            <w:shd w:val="clear" w:color="auto" w:fill="1F4E79"/>
            <w:vAlign w:val="center"/>
          </w:tcPr>
          <w:p>
            <w:pPr>
              <w:spacing w:after="0" w:line="240" w:lineRule="auto"/>
            </w:pPr>
            <w:r>
              <w:rPr>
                <w:b/>
                <w:color w:val="FFFFFF"/>
                <w:sz w:val="16"/>
              </w:rPr>
              <w:t>Priority</w:t>
            </w:r>
          </w:p>
        </w:tc>
      </w:tr>
      <w:tr>
        <w:trPr>
          <w:cantSplit/>
        </w:trPr>
        <w:tc>
          <w:tcPr>
            <w:tcW w:type="dxa" w:w="2041"/>
            <w:vAlign w:val="top"/>
          </w:tcPr>
          <w:p>
            <w:pPr>
              <w:spacing w:after="0" w:line="240" w:lineRule="auto"/>
            </w:pPr>
            <w:r>
              <w:rPr>
                <w:color w:val="2B2F36"/>
                <w:sz w:val="16"/>
              </w:rPr>
              <w:t>Market penetration</w:t>
            </w:r>
          </w:p>
        </w:tc>
        <w:tc>
          <w:tcPr>
            <w:tcW w:type="dxa" w:w="1134"/>
            <w:vAlign w:val="top"/>
          </w:tcPr>
          <w:p>
            <w:pPr>
              <w:spacing w:after="0" w:line="240" w:lineRule="auto"/>
            </w:pPr>
            <w:r>
              <w:rPr>
                <w:color w:val="2B2F36"/>
                <w:sz w:val="16"/>
              </w:rPr>
              <w:t>Low</w:t>
            </w:r>
          </w:p>
        </w:tc>
        <w:tc>
          <w:tcPr>
            <w:tcW w:type="dxa" w:w="3061"/>
            <w:vAlign w:val="top"/>
          </w:tcPr>
          <w:p>
            <w:pPr>
              <w:spacing w:after="0" w:line="240" w:lineRule="auto"/>
            </w:pPr>
            <w:r>
              <w:rPr>
                <w:color w:val="2B2F36"/>
                <w:sz w:val="16"/>
              </w:rPr>
              <w:t>Low (samples, certificates)</w:t>
            </w:r>
          </w:p>
        </w:tc>
        <w:tc>
          <w:tcPr>
            <w:tcW w:type="dxa" w:w="2268"/>
            <w:vAlign w:val="top"/>
          </w:tcPr>
          <w:p>
            <w:pPr>
              <w:spacing w:after="0" w:line="240" w:lineRule="auto"/>
            </w:pPr>
            <w:r>
              <w:rPr>
                <w:color w:val="2B2F36"/>
                <w:sz w:val="16"/>
              </w:rPr>
              <w:t>0–6 months</w:t>
            </w:r>
          </w:p>
        </w:tc>
        <w:tc>
          <w:tcPr>
            <w:tcW w:type="dxa" w:w="1247"/>
            <w:vAlign w:val="top"/>
          </w:tcPr>
          <w:p>
            <w:pPr>
              <w:spacing w:after="0" w:line="240" w:lineRule="auto"/>
              <w:jc w:val="center"/>
            </w:pPr>
            <w:r>
              <w:rPr>
                <w:color w:val="2B2F36"/>
                <w:sz w:val="16"/>
              </w:rPr>
              <w:t>1</w:t>
            </w:r>
          </w:p>
        </w:tc>
      </w:tr>
      <w:tr>
        <w:trPr>
          <w:cantSplit/>
        </w:trPr>
        <w:tc>
          <w:tcPr>
            <w:tcW w:type="dxa" w:w="2041"/>
            <w:shd w:val="clear" w:color="auto" w:fill="F7F4EE"/>
            <w:vAlign w:val="top"/>
          </w:tcPr>
          <w:p>
            <w:pPr>
              <w:spacing w:after="0" w:line="240" w:lineRule="auto"/>
            </w:pPr>
            <w:r>
              <w:rPr>
                <w:color w:val="2B2F36"/>
                <w:sz w:val="16"/>
              </w:rPr>
              <w:t>Market development</w:t>
            </w:r>
          </w:p>
        </w:tc>
        <w:tc>
          <w:tcPr>
            <w:tcW w:type="dxa" w:w="1134"/>
            <w:shd w:val="clear" w:color="auto" w:fill="F7F4EE"/>
            <w:vAlign w:val="top"/>
          </w:tcPr>
          <w:p>
            <w:pPr>
              <w:spacing w:after="0" w:line="240" w:lineRule="auto"/>
            </w:pPr>
            <w:r>
              <w:rPr>
                <w:color w:val="2B2F36"/>
                <w:sz w:val="16"/>
              </w:rPr>
              <w:t>Medium</w:t>
            </w:r>
          </w:p>
        </w:tc>
        <w:tc>
          <w:tcPr>
            <w:tcW w:type="dxa" w:w="3061"/>
            <w:shd w:val="clear" w:color="auto" w:fill="F7F4EE"/>
            <w:vAlign w:val="top"/>
          </w:tcPr>
          <w:p>
            <w:pPr>
              <w:spacing w:after="0" w:line="240" w:lineRule="auto"/>
            </w:pPr>
            <w:r>
              <w:rPr>
                <w:color w:val="2B2F36"/>
                <w:sz w:val="16"/>
              </w:rPr>
              <w:t>Medium (sales travel, stock point)</w:t>
            </w:r>
          </w:p>
        </w:tc>
        <w:tc>
          <w:tcPr>
            <w:tcW w:type="dxa" w:w="2268"/>
            <w:shd w:val="clear" w:color="auto" w:fill="F7F4EE"/>
            <w:vAlign w:val="top"/>
          </w:tcPr>
          <w:p>
            <w:pPr>
              <w:spacing w:after="0" w:line="240" w:lineRule="auto"/>
            </w:pPr>
            <w:r>
              <w:rPr>
                <w:color w:val="2B2F36"/>
                <w:sz w:val="16"/>
              </w:rPr>
              <w:t>3–12 months</w:t>
            </w:r>
          </w:p>
        </w:tc>
        <w:tc>
          <w:tcPr>
            <w:tcW w:type="dxa" w:w="1247"/>
            <w:shd w:val="clear" w:color="auto" w:fill="F7F4EE"/>
            <w:vAlign w:val="top"/>
          </w:tcPr>
          <w:p>
            <w:pPr>
              <w:spacing w:after="0" w:line="240" w:lineRule="auto"/>
              <w:jc w:val="center"/>
            </w:pPr>
            <w:r>
              <w:rPr>
                <w:color w:val="2B2F36"/>
                <w:sz w:val="16"/>
              </w:rPr>
              <w:t>2</w:t>
            </w:r>
          </w:p>
        </w:tc>
      </w:tr>
      <w:tr>
        <w:trPr>
          <w:cantSplit/>
        </w:trPr>
        <w:tc>
          <w:tcPr>
            <w:tcW w:type="dxa" w:w="2041"/>
            <w:vAlign w:val="top"/>
          </w:tcPr>
          <w:p>
            <w:pPr>
              <w:spacing w:after="0" w:line="240" w:lineRule="auto"/>
            </w:pPr>
            <w:r>
              <w:rPr>
                <w:color w:val="2B2F36"/>
                <w:sz w:val="16"/>
              </w:rPr>
              <w:t>Product development</w:t>
            </w:r>
          </w:p>
        </w:tc>
        <w:tc>
          <w:tcPr>
            <w:tcW w:type="dxa" w:w="1134"/>
            <w:vAlign w:val="top"/>
          </w:tcPr>
          <w:p>
            <w:pPr>
              <w:spacing w:after="0" w:line="240" w:lineRule="auto"/>
            </w:pPr>
            <w:r>
              <w:rPr>
                <w:color w:val="2B2F36"/>
                <w:sz w:val="16"/>
              </w:rPr>
              <w:t>Medium</w:t>
            </w:r>
          </w:p>
        </w:tc>
        <w:tc>
          <w:tcPr>
            <w:tcW w:type="dxa" w:w="3061"/>
            <w:vAlign w:val="top"/>
          </w:tcPr>
          <w:p>
            <w:pPr>
              <w:spacing w:after="0" w:line="240" w:lineRule="auto"/>
            </w:pPr>
            <w:r>
              <w:rPr>
                <w:color w:val="2B2F36"/>
                <w:sz w:val="16"/>
              </w:rPr>
              <w:t>Medium (trials, test reports)</w:t>
            </w:r>
          </w:p>
        </w:tc>
        <w:tc>
          <w:tcPr>
            <w:tcW w:type="dxa" w:w="2268"/>
            <w:vAlign w:val="top"/>
          </w:tcPr>
          <w:p>
            <w:pPr>
              <w:spacing w:after="0" w:line="240" w:lineRule="auto"/>
            </w:pPr>
            <w:r>
              <w:rPr>
                <w:color w:val="2B2F36"/>
                <w:sz w:val="16"/>
              </w:rPr>
              <w:t>6–18 months</w:t>
            </w:r>
          </w:p>
        </w:tc>
        <w:tc>
          <w:tcPr>
            <w:tcW w:type="dxa" w:w="1247"/>
            <w:vAlign w:val="top"/>
          </w:tcPr>
          <w:p>
            <w:pPr>
              <w:spacing w:after="0" w:line="240" w:lineRule="auto"/>
              <w:jc w:val="center"/>
            </w:pPr>
            <w:r>
              <w:rPr>
                <w:color w:val="2B2F36"/>
                <w:sz w:val="16"/>
              </w:rPr>
              <w:t>3</w:t>
            </w:r>
          </w:p>
        </w:tc>
      </w:tr>
      <w:tr>
        <w:trPr>
          <w:cantSplit/>
        </w:trPr>
        <w:tc>
          <w:tcPr>
            <w:tcW w:type="dxa" w:w="2041"/>
            <w:shd w:val="clear" w:color="auto" w:fill="F7F4EE"/>
            <w:vAlign w:val="top"/>
          </w:tcPr>
          <w:p>
            <w:pPr>
              <w:spacing w:after="0" w:line="240" w:lineRule="auto"/>
            </w:pPr>
            <w:r>
              <w:rPr>
                <w:color w:val="2B2F36"/>
                <w:sz w:val="16"/>
              </w:rPr>
              <w:t>Diversification</w:t>
            </w:r>
          </w:p>
        </w:tc>
        <w:tc>
          <w:tcPr>
            <w:tcW w:type="dxa" w:w="1134"/>
            <w:shd w:val="clear" w:color="auto" w:fill="F7F4EE"/>
            <w:vAlign w:val="top"/>
          </w:tcPr>
          <w:p>
            <w:pPr>
              <w:spacing w:after="0" w:line="240" w:lineRule="auto"/>
            </w:pPr>
            <w:r>
              <w:rPr>
                <w:color w:val="2B2F36"/>
                <w:sz w:val="16"/>
              </w:rPr>
              <w:t>High</w:t>
            </w:r>
          </w:p>
        </w:tc>
        <w:tc>
          <w:tcPr>
            <w:tcW w:type="dxa" w:w="3061"/>
            <w:shd w:val="clear" w:color="auto" w:fill="F7F4EE"/>
            <w:vAlign w:val="top"/>
          </w:tcPr>
          <w:p>
            <w:pPr>
              <w:spacing w:after="0" w:line="240" w:lineRule="auto"/>
            </w:pPr>
            <w:r>
              <w:rPr>
                <w:color w:val="2B2F36"/>
                <w:sz w:val="16"/>
              </w:rPr>
              <w:t>High (casting machines)</w:t>
            </w:r>
          </w:p>
        </w:tc>
        <w:tc>
          <w:tcPr>
            <w:tcW w:type="dxa" w:w="2268"/>
            <w:shd w:val="clear" w:color="auto" w:fill="F7F4EE"/>
            <w:vAlign w:val="top"/>
          </w:tcPr>
          <w:p>
            <w:pPr>
              <w:spacing w:after="0" w:line="240" w:lineRule="auto"/>
            </w:pPr>
            <w:r>
              <w:rPr>
                <w:color w:val="2B2F36"/>
                <w:sz w:val="16"/>
              </w:rPr>
              <w:t>12–24 months, study first</w:t>
            </w:r>
          </w:p>
        </w:tc>
        <w:tc>
          <w:tcPr>
            <w:tcW w:type="dxa" w:w="1247"/>
            <w:shd w:val="clear" w:color="auto" w:fill="F7F4EE"/>
            <w:vAlign w:val="top"/>
          </w:tcPr>
          <w:p>
            <w:pPr>
              <w:spacing w:after="0" w:line="240" w:lineRule="auto"/>
              <w:jc w:val="center"/>
            </w:pPr>
            <w:r>
              <w:rPr>
                <w:color w:val="2B2F36"/>
                <w:sz w:val="16"/>
              </w:rPr>
              <w:t>4</w:t>
            </w:r>
          </w:p>
        </w:tc>
      </w:tr>
    </w:tbl>
    <w:p>
      <w:pPr>
        <w:spacing w:after="40"/>
      </w:pPr>
    </w:p>
    <w:p>
      <w:pPr>
        <w:pStyle w:val="Heading1"/>
      </w:pPr>
      <w:r>
        <w:t>16. Recommendations for Bajaj Alloys</w:t>
      </w:r>
    </w:p>
    <w:p>
      <w:pPr>
        <w:pStyle w:val="ListNumber"/>
      </w:pPr>
      <w:r>
        <w:rPr>
          <w:b/>
        </w:rPr>
        <w:t>Lead with CC491K and CC493K ingot.</w:t>
      </w:r>
      <w:r>
        <w:t xml:space="preserve"> They are 60 % of demand, feed pumps, valves and bushes, and have the easiest melt practice. Label with EN, UNS and IS 318 designations (CC491K = LTB 2) so one ingot serves domestic and export foundries.</w:t>
      </w:r>
    </w:p>
    <w:p>
      <w:pPr>
        <w:pStyle w:val="ListNumber"/>
      </w:pPr>
      <w:r>
        <w:rPr>
          <w:b/>
        </w:rPr>
        <w:t>Add CC490K as the economy gunmetal</w:t>
      </w:r>
      <w:r>
        <w:t xml:space="preserve"> at ₹1,353/kg of metal, ₹108 below CC491K. Target plumbing, hardware and agricultural valve foundries; watch lead-free exposure.</w:t>
      </w:r>
    </w:p>
    <w:p>
      <w:pPr>
        <w:pStyle w:val="ListNumber"/>
      </w:pPr>
      <w:r>
        <w:rPr>
          <w:b/>
        </w:rPr>
        <w:t>Offer CC492K for higher-duty and export castings</w:t>
      </w:r>
      <w:r>
        <w:t xml:space="preserve"> (strongest grade; sea-water and high-velocity water). Quote on the LME formula only.</w:t>
      </w:r>
    </w:p>
    <w:p>
      <w:pPr>
        <w:pStyle w:val="ListNumber"/>
      </w:pPr>
      <w:r>
        <w:rPr>
          <w:b/>
        </w:rPr>
        <w:t>Keep CC495K as the premium bearing grade</w:t>
      </w:r>
      <w:r>
        <w:t xml:space="preserve"> for rolling-mill, crusher, sugar-mill, railway and marine bearings. It earns the same ₹50 conversion as other grades, so price it transparently and manage the tin stock (32 % of its metal value).</w:t>
      </w:r>
    </w:p>
    <w:p>
      <w:pPr>
        <w:pStyle w:val="ListNumber"/>
      </w:pPr>
      <w:r>
        <w:rPr>
          <w:b/>
        </w:rPr>
        <w:t>Make CC494K to order</w:t>
      </w:r>
      <w:r>
        <w:t xml:space="preserve"> as the forgiving grade for tractor, conveyor and textile bushes (fit 3.36 against CC493K 3.26 for tractor duty).</w:t>
      </w:r>
    </w:p>
    <w:p>
      <w:pPr>
        <w:pStyle w:val="ListNumber"/>
      </w:pPr>
      <w:r>
        <w:rPr>
          <w:b/>
        </w:rPr>
        <w:t>Price on a published formula</w:t>
      </w:r>
      <w:r>
        <w:t xml:space="preserve"> (Section 6.1): LME metals × ₹/US$ × (1 + melt loss) + conversion, refreshed weekly. Pass copper and rupee through.</w:t>
      </w:r>
    </w:p>
    <w:p>
      <w:pPr>
        <w:pStyle w:val="ListNumber"/>
      </w:pPr>
      <w:r>
        <w:rPr>
          <w:b/>
        </w:rPr>
        <w:t>Run the scrap route as the profit engine.</w:t>
      </w:r>
      <w:r>
        <w:t xml:space="preserve"> Measure payable % and melt loss per heat; each point of payable % is worth ₹12/kg on a gunmetal. Replace the placeholders in Section 6.7.</w:t>
      </w:r>
    </w:p>
    <w:p>
      <w:pPr>
        <w:pStyle w:val="ListNumber"/>
      </w:pPr>
      <w:r>
        <w:rPr>
          <w:b/>
        </w:rPr>
        <w:t>Certify every heat</w:t>
      </w:r>
      <w:r>
        <w:t xml:space="preserve"> in EN, UNS and IS terms with impurities included; this separates Bajaj from uncertified remelters.</w:t>
      </w:r>
    </w:p>
    <w:p>
      <w:pPr>
        <w:pStyle w:val="ListNumber"/>
      </w:pPr>
      <w:r>
        <w:rPr>
          <w:b/>
        </w:rPr>
        <w:t>Sell specialised before basic</w:t>
      </w:r>
      <w:r>
        <w:t xml:space="preserve"> (Five Forces 2.0/5 against 4.2/5); fire-fighting and sugar-mill bearings first (28/35 each).</w:t>
      </w:r>
    </w:p>
    <w:p>
      <w:pPr>
        <w:pStyle w:val="ListNumber"/>
      </w:pPr>
      <w:r>
        <w:rPr>
          <w:b/>
        </w:rPr>
        <w:t>Build the bush book near home:</w:t>
      </w:r>
      <w:r>
        <w:t xml:space="preserve"> named accounts in Faridabad–Ballabgarh (110 km), Delhi–Ghaziabad (125–160), Noida–Prithla (130–150) and bush-stock makers; offer a turnings buy-back pilot (Section 9.7). Then the cement belt, Ludhiana–Mohali and Haridwar.</w:t>
      </w:r>
    </w:p>
    <w:p>
      <w:pPr>
        <w:pStyle w:val="ListNumber"/>
      </w:pPr>
      <w:r>
        <w:rPr>
          <w:b/>
        </w:rPr>
        <w:t>Treat hydro, defence and marine as approval plays:</w:t>
      </w:r>
      <w:r>
        <w:t xml:space="preserve"> start registration now; budget 12–24 months.</w:t>
      </w:r>
    </w:p>
    <w:p>
      <w:pPr>
        <w:pStyle w:val="ListNumber"/>
      </w:pPr>
      <w:r>
        <w:rPr>
          <w:b/>
        </w:rPr>
        <w:t>Go after exporting foundries in stages:</w:t>
      </w:r>
      <w:r>
        <w:t xml:space="preserve"> NCR and Punjab first; Rajkot, Ahmedabad, Kolhapur and Coimbatore with certified samples and freight-inclusive prices once trials succeed.</w:t>
      </w:r>
    </w:p>
    <w:p>
      <w:pPr>
        <w:pStyle w:val="ListNumber"/>
      </w:pPr>
      <w:r>
        <w:rPr>
          <w:b/>
        </w:rPr>
        <w:t>Plan for lead-free:</w:t>
      </w:r>
      <w:r>
        <w:t xml:space="preserve"> develop one low-lead gunmetal (Pb ≤ 3 %) so the lead phase-out does not cost CC490K and CC491K accounts (meter, plumbing).</w:t>
      </w:r>
    </w:p>
    <w:p>
      <w:pPr>
        <w:pStyle w:val="ListNumber"/>
      </w:pPr>
      <w:r>
        <w:rPr>
          <w:b/>
        </w:rPr>
        <w:t>Register for EPR and review exposures monthly:</w:t>
      </w:r>
      <w:r>
        <w:t xml:space="preserve"> copper, tin, rupee, lead rules and US tariffs in each sales and purchase meeting.</w:t>
      </w:r>
    </w:p>
    <w:p>
      <w:pPr>
        <w:keepNext/>
        <w:spacing w:after="40"/>
        <w:jc w:val="center"/>
      </w:pPr>
      <w:r>
        <w:drawing>
          <wp:inline xmlns:a="http://schemas.openxmlformats.org/drawingml/2006/main" xmlns:pic="http://schemas.openxmlformats.org/drawingml/2006/picture">
            <wp:extent cx="5400000" cy="2160000"/>
            <wp:docPr id="39" name="Picture 39"/>
            <wp:cNvGraphicFramePr>
              <a:graphicFrameLocks noChangeAspect="1"/>
            </wp:cNvGraphicFramePr>
            <a:graphic>
              <a:graphicData uri="http://schemas.openxmlformats.org/drawingml/2006/picture">
                <pic:pic>
                  <pic:nvPicPr>
                    <pic:cNvPr id="0" name="d20.png"/>
                    <pic:cNvPicPr/>
                  </pic:nvPicPr>
                  <pic:blipFill>
                    <a:blip r:embed="rId49"/>
                    <a:stretch>
                      <a:fillRect/>
                    </a:stretch>
                  </pic:blipFill>
                  <pic:spPr>
                    <a:xfrm>
                      <a:off x="0" y="0"/>
                      <a:ext cx="5400000" cy="2160000"/>
                    </a:xfrm>
                    <a:prstGeom prst="rect"/>
                  </pic:spPr>
                </pic:pic>
              </a:graphicData>
            </a:graphic>
          </wp:inline>
        </w:drawing>
      </w:r>
    </w:p>
    <w:p>
      <w:pPr>
        <w:spacing w:after="160"/>
      </w:pPr>
      <w:r>
        <w:rPr>
          <w:b/>
          <w:color w:val="5B6470"/>
          <w:sz w:val="17"/>
        </w:rPr>
        <w:t>Figure 39.</w:t>
      </w:r>
      <w:r>
        <w:rPr>
          <w:color w:val="5B6470"/>
          <w:sz w:val="17"/>
        </w:rPr>
        <w:t xml:space="preserve"> Phased plan for the next 24 months: quick wins first, then core growth, approval plays and product extensions.</w:t>
      </w:r>
    </w:p>
    <w:p>
      <w:pPr>
        <w:pStyle w:val="Heading2"/>
      </w:pPr>
      <w:r>
        <w:t>KPIs to track</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3969"/>
        <w:gridCol w:w="2494"/>
        <w:gridCol w:w="3288"/>
      </w:tblGrid>
      <w:tr>
        <w:trPr>
          <w:cantSplit/>
          <w:tblHeader/>
        </w:trPr>
        <w:tc>
          <w:tcPr>
            <w:tcW w:type="dxa" w:w="3969"/>
            <w:shd w:val="clear" w:color="auto" w:fill="1F4E79"/>
            <w:vAlign w:val="center"/>
          </w:tcPr>
          <w:p>
            <w:pPr>
              <w:spacing w:after="0" w:line="240" w:lineRule="auto"/>
            </w:pPr>
            <w:r>
              <w:rPr>
                <w:b/>
                <w:color w:val="FFFFFF"/>
                <w:sz w:val="16"/>
              </w:rPr>
              <w:t>KPI</w:t>
            </w:r>
          </w:p>
        </w:tc>
        <w:tc>
          <w:tcPr>
            <w:tcW w:type="dxa" w:w="2494"/>
            <w:shd w:val="clear" w:color="auto" w:fill="1F4E79"/>
            <w:vAlign w:val="center"/>
          </w:tcPr>
          <w:p>
            <w:pPr>
              <w:spacing w:after="0" w:line="240" w:lineRule="auto"/>
            </w:pPr>
            <w:r>
              <w:rPr>
                <w:b/>
                <w:color w:val="FFFFFF"/>
                <w:sz w:val="16"/>
              </w:rPr>
              <w:t>Target (12 months)</w:t>
            </w:r>
          </w:p>
        </w:tc>
        <w:tc>
          <w:tcPr>
            <w:tcW w:type="dxa" w:w="3288"/>
            <w:shd w:val="clear" w:color="auto" w:fill="1F4E79"/>
            <w:vAlign w:val="center"/>
          </w:tcPr>
          <w:p>
            <w:pPr>
              <w:spacing w:after="0" w:line="240" w:lineRule="auto"/>
            </w:pPr>
            <w:r>
              <w:rPr>
                <w:b/>
                <w:color w:val="FFFFFF"/>
                <w:sz w:val="16"/>
              </w:rPr>
              <w:t>Why it matters</w:t>
            </w:r>
          </w:p>
        </w:tc>
      </w:tr>
      <w:tr>
        <w:trPr>
          <w:cantSplit/>
        </w:trPr>
        <w:tc>
          <w:tcPr>
            <w:tcW w:type="dxa" w:w="3969"/>
            <w:vAlign w:val="top"/>
          </w:tcPr>
          <w:p>
            <w:pPr>
              <w:spacing w:after="0" w:line="240" w:lineRule="auto"/>
            </w:pPr>
            <w:r>
              <w:rPr>
                <w:color w:val="2B2F36"/>
                <w:sz w:val="16"/>
              </w:rPr>
              <w:t>Heats with EN 1982 spectro certificate (with UNS and IS cross-reference)</w:t>
            </w:r>
          </w:p>
        </w:tc>
        <w:tc>
          <w:tcPr>
            <w:tcW w:type="dxa" w:w="2494"/>
            <w:vAlign w:val="top"/>
          </w:tcPr>
          <w:p>
            <w:pPr>
              <w:spacing w:after="0" w:line="240" w:lineRule="auto"/>
            </w:pPr>
            <w:r>
              <w:rPr>
                <w:color w:val="2B2F36"/>
                <w:sz w:val="16"/>
              </w:rPr>
              <w:t>100 %</w:t>
            </w:r>
          </w:p>
        </w:tc>
        <w:tc>
          <w:tcPr>
            <w:tcW w:type="dxa" w:w="3288"/>
            <w:vAlign w:val="top"/>
          </w:tcPr>
          <w:p>
            <w:pPr>
              <w:spacing w:after="0" w:line="240" w:lineRule="auto"/>
            </w:pPr>
            <w:r>
              <w:rPr>
                <w:color w:val="2B2F36"/>
                <w:sz w:val="16"/>
              </w:rPr>
              <w:t>The basis of the edge over remelters</w:t>
            </w:r>
          </w:p>
        </w:tc>
      </w:tr>
      <w:tr>
        <w:trPr>
          <w:cantSplit/>
        </w:trPr>
        <w:tc>
          <w:tcPr>
            <w:tcW w:type="dxa" w:w="3969"/>
            <w:shd w:val="clear" w:color="auto" w:fill="F7F4EE"/>
            <w:vAlign w:val="top"/>
          </w:tcPr>
          <w:p>
            <w:pPr>
              <w:spacing w:after="0" w:line="240" w:lineRule="auto"/>
            </w:pPr>
            <w:r>
              <w:rPr>
                <w:color w:val="2B2F36"/>
                <w:sz w:val="16"/>
              </w:rPr>
              <w:t>Active leaded-bronze accounts</w:t>
            </w:r>
          </w:p>
        </w:tc>
        <w:tc>
          <w:tcPr>
            <w:tcW w:type="dxa" w:w="2494"/>
            <w:shd w:val="clear" w:color="auto" w:fill="F7F4EE"/>
            <w:vAlign w:val="top"/>
          </w:tcPr>
          <w:p>
            <w:pPr>
              <w:spacing w:after="0" w:line="240" w:lineRule="auto"/>
            </w:pPr>
            <w:r>
              <w:rPr>
                <w:color w:val="2B2F36"/>
                <w:sz w:val="16"/>
              </w:rPr>
              <w:t>≥ 20, none above 15 % of volume</w:t>
            </w:r>
          </w:p>
        </w:tc>
        <w:tc>
          <w:tcPr>
            <w:tcW w:type="dxa" w:w="3288"/>
            <w:shd w:val="clear" w:color="auto" w:fill="F7F4EE"/>
            <w:vAlign w:val="top"/>
          </w:tcPr>
          <w:p>
            <w:pPr>
              <w:spacing w:after="0" w:line="240" w:lineRule="auto"/>
            </w:pPr>
            <w:r>
              <w:rPr>
                <w:color w:val="2B2F36"/>
                <w:sz w:val="16"/>
              </w:rPr>
              <w:t>Limits dependence on any one customer</w:t>
            </w:r>
          </w:p>
        </w:tc>
      </w:tr>
      <w:tr>
        <w:trPr>
          <w:cantSplit/>
        </w:trPr>
        <w:tc>
          <w:tcPr>
            <w:tcW w:type="dxa" w:w="3969"/>
            <w:vAlign w:val="top"/>
          </w:tcPr>
          <w:p>
            <w:pPr>
              <w:spacing w:after="0" w:line="240" w:lineRule="auto"/>
            </w:pPr>
            <w:r>
              <w:rPr>
                <w:color w:val="2B2F36"/>
                <w:sz w:val="16"/>
              </w:rPr>
              <w:t>Share of volume to specialised makers</w:t>
            </w:r>
          </w:p>
        </w:tc>
        <w:tc>
          <w:tcPr>
            <w:tcW w:type="dxa" w:w="2494"/>
            <w:vAlign w:val="top"/>
          </w:tcPr>
          <w:p>
            <w:pPr>
              <w:spacing w:after="0" w:line="240" w:lineRule="auto"/>
            </w:pPr>
            <w:r>
              <w:rPr>
                <w:color w:val="2B2F36"/>
                <w:sz w:val="16"/>
              </w:rPr>
              <w:t>≥ 35 % (stretch 45 %)</w:t>
            </w:r>
          </w:p>
        </w:tc>
        <w:tc>
          <w:tcPr>
            <w:tcW w:type="dxa" w:w="3288"/>
            <w:vAlign w:val="top"/>
          </w:tcPr>
          <w:p>
            <w:pPr>
              <w:spacing w:after="0" w:line="240" w:lineRule="auto"/>
            </w:pPr>
            <w:r>
              <w:rPr>
                <w:color w:val="2B2F36"/>
                <w:sz w:val="16"/>
              </w:rPr>
              <w:t>Lowest-pressure segment</w:t>
            </w:r>
          </w:p>
        </w:tc>
      </w:tr>
      <w:tr>
        <w:trPr>
          <w:cantSplit/>
        </w:trPr>
        <w:tc>
          <w:tcPr>
            <w:tcW w:type="dxa" w:w="3969"/>
            <w:shd w:val="clear" w:color="auto" w:fill="F7F4EE"/>
            <w:vAlign w:val="top"/>
          </w:tcPr>
          <w:p>
            <w:pPr>
              <w:spacing w:after="0" w:line="240" w:lineRule="auto"/>
            </w:pPr>
            <w:r>
              <w:rPr>
                <w:color w:val="2B2F36"/>
                <w:sz w:val="16"/>
              </w:rPr>
              <w:t>Bush-segment accounts</w:t>
            </w:r>
          </w:p>
        </w:tc>
        <w:tc>
          <w:tcPr>
            <w:tcW w:type="dxa" w:w="2494"/>
            <w:shd w:val="clear" w:color="auto" w:fill="F7F4EE"/>
            <w:vAlign w:val="top"/>
          </w:tcPr>
          <w:p>
            <w:pPr>
              <w:spacing w:after="0" w:line="240" w:lineRule="auto"/>
            </w:pPr>
            <w:r>
              <w:rPr>
                <w:color w:val="2B2F36"/>
                <w:sz w:val="16"/>
              </w:rPr>
              <w:t>≥ 8, incl. 2 sugar-mill and 2 OEM-chain, ≥ 5 within 160 km</w:t>
            </w:r>
          </w:p>
        </w:tc>
        <w:tc>
          <w:tcPr>
            <w:tcW w:type="dxa" w:w="3288"/>
            <w:shd w:val="clear" w:color="auto" w:fill="F7F4EE"/>
            <w:vAlign w:val="top"/>
          </w:tcPr>
          <w:p>
            <w:pPr>
              <w:spacing w:after="0" w:line="240" w:lineRule="auto"/>
            </w:pPr>
            <w:r>
              <w:rPr>
                <w:color w:val="2B2F36"/>
                <w:sz w:val="16"/>
              </w:rPr>
              <w:t>Best-paying major use; nearest buyers</w:t>
            </w:r>
          </w:p>
        </w:tc>
      </w:tr>
      <w:tr>
        <w:trPr>
          <w:cantSplit/>
        </w:trPr>
        <w:tc>
          <w:tcPr>
            <w:tcW w:type="dxa" w:w="3969"/>
            <w:vAlign w:val="top"/>
          </w:tcPr>
          <w:p>
            <w:pPr>
              <w:spacing w:after="0" w:line="240" w:lineRule="auto"/>
            </w:pPr>
            <w:r>
              <w:rPr>
                <w:color w:val="2B2F36"/>
                <w:sz w:val="16"/>
              </w:rPr>
              <w:t>Minor-niche share of volume</w:t>
            </w:r>
          </w:p>
        </w:tc>
        <w:tc>
          <w:tcPr>
            <w:tcW w:type="dxa" w:w="2494"/>
            <w:vAlign w:val="top"/>
          </w:tcPr>
          <w:p>
            <w:pPr>
              <w:spacing w:after="0" w:line="240" w:lineRule="auto"/>
            </w:pPr>
            <w:r>
              <w:rPr>
                <w:color w:val="2B2F36"/>
                <w:sz w:val="16"/>
              </w:rPr>
              <w:t>≥ 10 %</w:t>
            </w:r>
          </w:p>
        </w:tc>
        <w:tc>
          <w:tcPr>
            <w:tcW w:type="dxa" w:w="3288"/>
            <w:vAlign w:val="top"/>
          </w:tcPr>
          <w:p>
            <w:pPr>
              <w:spacing w:after="0" w:line="240" w:lineRule="auto"/>
            </w:pPr>
            <w:r>
              <w:rPr>
                <w:color w:val="2B2F36"/>
                <w:sz w:val="16"/>
              </w:rPr>
              <w:t>Higher margin, less cyclical</w:t>
            </w:r>
          </w:p>
        </w:tc>
      </w:tr>
      <w:tr>
        <w:trPr>
          <w:cantSplit/>
        </w:trPr>
        <w:tc>
          <w:tcPr>
            <w:tcW w:type="dxa" w:w="3969"/>
            <w:shd w:val="clear" w:color="auto" w:fill="F7F4EE"/>
            <w:vAlign w:val="top"/>
          </w:tcPr>
          <w:p>
            <w:pPr>
              <w:spacing w:after="0" w:line="240" w:lineRule="auto"/>
            </w:pPr>
            <w:r>
              <w:rPr>
                <w:color w:val="2B2F36"/>
                <w:sz w:val="16"/>
              </w:rPr>
              <w:t>Quotes on LME × ₹/US$ formula</w:t>
            </w:r>
          </w:p>
        </w:tc>
        <w:tc>
          <w:tcPr>
            <w:tcW w:type="dxa" w:w="2494"/>
            <w:shd w:val="clear" w:color="auto" w:fill="F7F4EE"/>
            <w:vAlign w:val="top"/>
          </w:tcPr>
          <w:p>
            <w:pPr>
              <w:spacing w:after="0" w:line="240" w:lineRule="auto"/>
            </w:pPr>
            <w:r>
              <w:rPr>
                <w:color w:val="2B2F36"/>
                <w:sz w:val="16"/>
              </w:rPr>
              <w:t>100 %, refreshed weekly</w:t>
            </w:r>
          </w:p>
        </w:tc>
        <w:tc>
          <w:tcPr>
            <w:tcW w:type="dxa" w:w="3288"/>
            <w:shd w:val="clear" w:color="auto" w:fill="F7F4EE"/>
            <w:vAlign w:val="top"/>
          </w:tcPr>
          <w:p>
            <w:pPr>
              <w:spacing w:after="0" w:line="240" w:lineRule="auto"/>
            </w:pPr>
            <w:r>
              <w:rPr>
                <w:color w:val="2B2F36"/>
                <w:sz w:val="16"/>
              </w:rPr>
              <w:t>Passes metal and currency swings through</w:t>
            </w:r>
          </w:p>
        </w:tc>
      </w:tr>
      <w:tr>
        <w:trPr>
          <w:cantSplit/>
        </w:trPr>
        <w:tc>
          <w:tcPr>
            <w:tcW w:type="dxa" w:w="3969"/>
            <w:vAlign w:val="top"/>
          </w:tcPr>
          <w:p>
            <w:pPr>
              <w:spacing w:after="0" w:line="240" w:lineRule="auto"/>
            </w:pPr>
            <w:r>
              <w:rPr>
                <w:color w:val="2B2F36"/>
                <w:sz w:val="16"/>
              </w:rPr>
              <w:t>Scrap payable % (measured)</w:t>
            </w:r>
          </w:p>
        </w:tc>
        <w:tc>
          <w:tcPr>
            <w:tcW w:type="dxa" w:w="2494"/>
            <w:vAlign w:val="top"/>
          </w:tcPr>
          <w:p>
            <w:pPr>
              <w:spacing w:after="0" w:line="240" w:lineRule="auto"/>
            </w:pPr>
            <w:r>
              <w:rPr>
                <w:color w:val="2B2F36"/>
                <w:sz w:val="16"/>
              </w:rPr>
              <w:t>Within 1 point of plan</w:t>
            </w:r>
          </w:p>
        </w:tc>
        <w:tc>
          <w:tcPr>
            <w:tcW w:type="dxa" w:w="3288"/>
            <w:vAlign w:val="top"/>
          </w:tcPr>
          <w:p>
            <w:pPr>
              <w:spacing w:after="0" w:line="240" w:lineRule="auto"/>
            </w:pPr>
            <w:r>
              <w:rPr>
                <w:color w:val="2B2F36"/>
                <w:sz w:val="16"/>
              </w:rPr>
              <w:t>Each point = ₹12/kg on a gunmetal</w:t>
            </w:r>
          </w:p>
        </w:tc>
      </w:tr>
      <w:tr>
        <w:trPr>
          <w:cantSplit/>
        </w:trPr>
        <w:tc>
          <w:tcPr>
            <w:tcW w:type="dxa" w:w="3969"/>
            <w:shd w:val="clear" w:color="auto" w:fill="F7F4EE"/>
            <w:vAlign w:val="top"/>
          </w:tcPr>
          <w:p>
            <w:pPr>
              <w:spacing w:after="0" w:line="240" w:lineRule="auto"/>
            </w:pPr>
            <w:r>
              <w:rPr>
                <w:color w:val="2B2F36"/>
                <w:sz w:val="16"/>
              </w:rPr>
              <w:t>Melt loss (measured)</w:t>
            </w:r>
          </w:p>
        </w:tc>
        <w:tc>
          <w:tcPr>
            <w:tcW w:type="dxa" w:w="2494"/>
            <w:shd w:val="clear" w:color="auto" w:fill="F7F4EE"/>
            <w:vAlign w:val="top"/>
          </w:tcPr>
          <w:p>
            <w:pPr>
              <w:spacing w:after="0" w:line="240" w:lineRule="auto"/>
            </w:pPr>
            <w:r>
              <w:rPr>
                <w:color w:val="2B2F36"/>
                <w:sz w:val="16"/>
              </w:rPr>
              <w:t>At or below plan</w:t>
            </w:r>
          </w:p>
        </w:tc>
        <w:tc>
          <w:tcPr>
            <w:tcW w:type="dxa" w:w="3288"/>
            <w:shd w:val="clear" w:color="auto" w:fill="F7F4EE"/>
            <w:vAlign w:val="top"/>
          </w:tcPr>
          <w:p>
            <w:pPr>
              <w:spacing w:after="0" w:line="240" w:lineRule="auto"/>
            </w:pPr>
            <w:r>
              <w:rPr>
                <w:color w:val="2B2F36"/>
                <w:sz w:val="16"/>
              </w:rPr>
              <w:t>Each point = ₹14–16/kg</w:t>
            </w:r>
          </w:p>
        </w:tc>
      </w:tr>
      <w:tr>
        <w:trPr>
          <w:cantSplit/>
        </w:trPr>
        <w:tc>
          <w:tcPr>
            <w:tcW w:type="dxa" w:w="3969"/>
            <w:vAlign w:val="top"/>
          </w:tcPr>
          <w:p>
            <w:pPr>
              <w:spacing w:after="0" w:line="240" w:lineRule="auto"/>
            </w:pPr>
            <w:r>
              <w:rPr>
                <w:color w:val="2B2F36"/>
                <w:sz w:val="16"/>
              </w:rPr>
              <w:t>Tin inventory</w:t>
            </w:r>
          </w:p>
        </w:tc>
        <w:tc>
          <w:tcPr>
            <w:tcW w:type="dxa" w:w="2494"/>
            <w:vAlign w:val="top"/>
          </w:tcPr>
          <w:p>
            <w:pPr>
              <w:spacing w:after="0" w:line="240" w:lineRule="auto"/>
            </w:pPr>
            <w:r>
              <w:rPr>
                <w:color w:val="2B2F36"/>
                <w:sz w:val="16"/>
              </w:rPr>
              <w:t>≤ 15 days of use</w:t>
            </w:r>
          </w:p>
        </w:tc>
        <w:tc>
          <w:tcPr>
            <w:tcW w:type="dxa" w:w="3288"/>
            <w:vAlign w:val="top"/>
          </w:tcPr>
          <w:p>
            <w:pPr>
              <w:spacing w:after="0" w:line="240" w:lineRule="auto"/>
            </w:pPr>
            <w:r>
              <w:rPr>
                <w:color w:val="2B2F36"/>
                <w:sz w:val="16"/>
              </w:rPr>
              <w:t>Caps working capital and price risk</w:t>
            </w:r>
          </w:p>
        </w:tc>
      </w:tr>
      <w:tr>
        <w:trPr>
          <w:cantSplit/>
        </w:trPr>
        <w:tc>
          <w:tcPr>
            <w:tcW w:type="dxa" w:w="3969"/>
            <w:shd w:val="clear" w:color="auto" w:fill="F7F4EE"/>
            <w:vAlign w:val="top"/>
          </w:tcPr>
          <w:p>
            <w:pPr>
              <w:spacing w:after="0" w:line="240" w:lineRule="auto"/>
            </w:pPr>
            <w:r>
              <w:rPr>
                <w:color w:val="2B2F36"/>
                <w:sz w:val="16"/>
              </w:rPr>
              <w:t>Heat rejection by customers</w:t>
            </w:r>
          </w:p>
        </w:tc>
        <w:tc>
          <w:tcPr>
            <w:tcW w:type="dxa" w:w="2494"/>
            <w:shd w:val="clear" w:color="auto" w:fill="F7F4EE"/>
            <w:vAlign w:val="top"/>
          </w:tcPr>
          <w:p>
            <w:pPr>
              <w:spacing w:after="0" w:line="240" w:lineRule="auto"/>
            </w:pPr>
            <w:r>
              <w:rPr>
                <w:color w:val="2B2F36"/>
                <w:sz w:val="16"/>
              </w:rPr>
              <w:t>&lt; 1 %</w:t>
            </w:r>
          </w:p>
        </w:tc>
        <w:tc>
          <w:tcPr>
            <w:tcW w:type="dxa" w:w="3288"/>
            <w:shd w:val="clear" w:color="auto" w:fill="F7F4EE"/>
            <w:vAlign w:val="top"/>
          </w:tcPr>
          <w:p>
            <w:pPr>
              <w:spacing w:after="0" w:line="240" w:lineRule="auto"/>
            </w:pPr>
            <w:r>
              <w:rPr>
                <w:color w:val="2B2F36"/>
                <w:sz w:val="16"/>
              </w:rPr>
              <w:t>Consistency is the top buying criterion for bush makers</w:t>
            </w:r>
          </w:p>
        </w:tc>
      </w:tr>
      <w:tr>
        <w:trPr>
          <w:cantSplit/>
        </w:trPr>
        <w:tc>
          <w:tcPr>
            <w:tcW w:type="dxa" w:w="3969"/>
            <w:vAlign w:val="top"/>
          </w:tcPr>
          <w:p>
            <w:pPr>
              <w:spacing w:after="0" w:line="240" w:lineRule="auto"/>
            </w:pPr>
            <w:r>
              <w:rPr>
                <w:color w:val="2B2F36"/>
                <w:sz w:val="16"/>
              </w:rPr>
              <w:t>Gross spread per kg (price – scrap-route metal cost)</w:t>
            </w:r>
          </w:p>
        </w:tc>
        <w:tc>
          <w:tcPr>
            <w:tcW w:type="dxa" w:w="2494"/>
            <w:vAlign w:val="top"/>
          </w:tcPr>
          <w:p>
            <w:pPr>
              <w:spacing w:after="0" w:line="240" w:lineRule="auto"/>
            </w:pPr>
            <w:r>
              <w:rPr>
                <w:color w:val="2B2F36"/>
                <w:sz w:val="16"/>
              </w:rPr>
              <w:t>≥ plan (₹124/kg at base case)</w:t>
            </w:r>
          </w:p>
        </w:tc>
        <w:tc>
          <w:tcPr>
            <w:tcW w:type="dxa" w:w="3288"/>
            <w:vAlign w:val="top"/>
          </w:tcPr>
          <w:p>
            <w:pPr>
              <w:spacing w:after="0" w:line="240" w:lineRule="auto"/>
            </w:pPr>
            <w:r>
              <w:rPr>
                <w:color w:val="2B2F36"/>
                <w:sz w:val="16"/>
              </w:rPr>
              <w:t>The margin an ingot maker controls</w:t>
            </w:r>
          </w:p>
        </w:tc>
      </w:tr>
    </w:tbl>
    <w:p>
      <w:pPr>
        <w:spacing w:after="40"/>
      </w:pPr>
    </w:p>
    <w:p>
      <w:r>
        <w:br w:type="page"/>
      </w:r>
    </w:p>
    <w:p>
      <w:pPr>
        <w:pStyle w:val="Heading1"/>
      </w:pPr>
      <w:r>
        <w:t>17. Data verification, change log and sources</w:t>
      </w:r>
    </w:p>
    <w:p>
      <w:pPr>
        <w:pStyle w:val="Heading2"/>
      </w:pPr>
      <w:r>
        <w:t>17.1 Status of every data class</w:t>
      </w:r>
    </w:p>
    <w:p>
      <w:pPr>
        <w:keepNext/>
        <w:spacing w:after="40"/>
      </w:pPr>
      <w:r>
        <w:rPr>
          <w:b/>
          <w:color w:val="5B6470"/>
          <w:sz w:val="18"/>
        </w:rPr>
        <w:t>Table 39.</w:t>
      </w:r>
      <w:r>
        <w:rPr>
          <w:color w:val="5B6470"/>
          <w:sz w:val="18"/>
        </w:rPr>
        <w:t xml:space="preserve"> Verification status</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1928"/>
        <w:gridCol w:w="7824"/>
      </w:tblGrid>
      <w:tr>
        <w:trPr>
          <w:cantSplit/>
          <w:tblHeader/>
        </w:trPr>
        <w:tc>
          <w:tcPr>
            <w:tcW w:type="dxa" w:w="1928"/>
            <w:shd w:val="clear" w:color="auto" w:fill="1F4E79"/>
            <w:vAlign w:val="center"/>
          </w:tcPr>
          <w:p>
            <w:pPr>
              <w:spacing w:after="0" w:line="240" w:lineRule="auto"/>
            </w:pPr>
            <w:r>
              <w:rPr>
                <w:b/>
                <w:color w:val="FFFFFF"/>
                <w:sz w:val="16"/>
              </w:rPr>
              <w:t>Status</w:t>
            </w:r>
          </w:p>
        </w:tc>
        <w:tc>
          <w:tcPr>
            <w:tcW w:type="dxa" w:w="7824"/>
            <w:shd w:val="clear" w:color="auto" w:fill="1F4E79"/>
            <w:vAlign w:val="center"/>
          </w:tcPr>
          <w:p>
            <w:pPr>
              <w:spacing w:after="0" w:line="240" w:lineRule="auto"/>
            </w:pPr>
            <w:r>
              <w:rPr>
                <w:b/>
                <w:color w:val="FFFFFF"/>
                <w:sz w:val="16"/>
              </w:rPr>
              <w:t>Data item</w:t>
            </w:r>
          </w:p>
        </w:tc>
      </w:tr>
      <w:tr>
        <w:trPr>
          <w:cantSplit/>
        </w:trPr>
        <w:tc>
          <w:tcPr>
            <w:tcW w:type="dxa" w:w="1928"/>
            <w:vAlign w:val="top"/>
          </w:tcPr>
          <w:p>
            <w:pPr>
              <w:spacing w:after="0" w:line="240" w:lineRule="auto"/>
            </w:pPr>
            <w:r>
              <w:rPr>
                <w:b/>
                <w:color w:val="2B2F36"/>
                <w:sz w:val="16"/>
              </w:rPr>
              <w:t>Verified</w:t>
            </w:r>
          </w:p>
        </w:tc>
        <w:tc>
          <w:tcPr>
            <w:tcW w:type="dxa" w:w="7824"/>
            <w:vAlign w:val="top"/>
          </w:tcPr>
          <w:p>
            <w:pPr>
              <w:spacing w:after="0" w:line="240" w:lineRule="auto"/>
            </w:pPr>
            <w:r>
              <w:rPr>
                <w:color w:val="2B2F36"/>
                <w:sz w:val="16"/>
              </w:rPr>
              <w:t>Composition limits for all six grades (Viiplus EN 1982 reproduction). LME cash settlements 1 Oct 2026 and the 2026 monthly series (Westmetall); cross-check 5 Oct 2026: copper 3M ≈ US$ 14,259/t, tin ≈ US$ 54,277/t. US$/INR 96.18, 2 Oct 2026 (Trading Economics).</w:t>
            </w:r>
          </w:p>
        </w:tc>
      </w:tr>
      <w:tr>
        <w:trPr>
          <w:cantSplit/>
        </w:trPr>
        <w:tc>
          <w:tcPr>
            <w:tcW w:type="dxa" w:w="1928"/>
            <w:shd w:val="clear" w:color="auto" w:fill="F7F4EE"/>
            <w:vAlign w:val="top"/>
          </w:tcPr>
          <w:p>
            <w:pPr>
              <w:spacing w:after="0" w:line="240" w:lineRule="auto"/>
            </w:pPr>
            <w:r>
              <w:rPr>
                <w:b/>
                <w:color w:val="2B2F36"/>
                <w:sz w:val="16"/>
              </w:rPr>
              <w:t>Verified (new)</w:t>
            </w:r>
          </w:p>
        </w:tc>
        <w:tc>
          <w:tcPr>
            <w:tcW w:type="dxa" w:w="7824"/>
            <w:shd w:val="clear" w:color="auto" w:fill="F7F4EE"/>
            <w:vAlign w:val="top"/>
          </w:tcPr>
          <w:p>
            <w:pPr>
              <w:spacing w:after="0" w:line="240" w:lineRule="auto"/>
            </w:pPr>
            <w:r>
              <w:rPr>
                <w:color w:val="2B2F36"/>
                <w:sz w:val="16"/>
              </w:rPr>
              <w:t>Minimum GC mechanical properties for all six grades confirmed against a second public source set (MakeItFrom, supplier datasheets via search extracts); sand-cast values confirmed for five grades. Direct access to some datasheet sites was blocked; official standard text not checked.</w:t>
            </w:r>
          </w:p>
        </w:tc>
      </w:tr>
      <w:tr>
        <w:trPr>
          <w:cantSplit/>
        </w:trPr>
        <w:tc>
          <w:tcPr>
            <w:tcW w:type="dxa" w:w="1928"/>
            <w:vAlign w:val="top"/>
          </w:tcPr>
          <w:p>
            <w:pPr>
              <w:spacing w:after="0" w:line="240" w:lineRule="auto"/>
            </w:pPr>
            <w:r>
              <w:rPr>
                <w:b/>
                <w:color w:val="2B2F36"/>
                <w:sz w:val="16"/>
              </w:rPr>
              <w:t>Verified (new)</w:t>
            </w:r>
          </w:p>
        </w:tc>
        <w:tc>
          <w:tcPr>
            <w:tcW w:type="dxa" w:w="7824"/>
            <w:vAlign w:val="top"/>
          </w:tcPr>
          <w:p>
            <w:pPr>
              <w:spacing w:after="0" w:line="240" w:lineRule="auto"/>
            </w:pPr>
            <w:r>
              <w:rPr>
                <w:color w:val="2B2F36"/>
                <w:sz w:val="16"/>
              </w:rPr>
              <w:t>IS 318 LTB 2 = BS 1400 LG2 = 85-5-5-5 = UNS C83600 (Conex, Copper Alloys Ltd and other supplier pages).</w:t>
            </w:r>
          </w:p>
        </w:tc>
      </w:tr>
      <w:tr>
        <w:trPr>
          <w:cantSplit/>
        </w:trPr>
        <w:tc>
          <w:tcPr>
            <w:tcW w:type="dxa" w:w="1928"/>
            <w:shd w:val="clear" w:color="auto" w:fill="F7F4EE"/>
            <w:vAlign w:val="top"/>
          </w:tcPr>
          <w:p>
            <w:pPr>
              <w:spacing w:after="0" w:line="240" w:lineRule="auto"/>
            </w:pPr>
            <w:r>
              <w:rPr>
                <w:b/>
                <w:color w:val="2B2F36"/>
                <w:sz w:val="16"/>
              </w:rPr>
              <w:t>Verified</w:t>
            </w:r>
          </w:p>
        </w:tc>
        <w:tc>
          <w:tcPr>
            <w:tcW w:type="dxa" w:w="7824"/>
            <w:shd w:val="clear" w:color="auto" w:fill="F7F4EE"/>
            <w:vAlign w:val="top"/>
          </w:tcPr>
          <w:p>
            <w:pPr>
              <w:spacing w:after="0" w:line="240" w:lineRule="auto"/>
            </w:pPr>
            <w:r>
              <w:rPr>
                <w:color w:val="2B2F36"/>
                <w:sz w:val="16"/>
              </w:rPr>
              <w:t>India export values and destinations 2019–2023 (TrendEconomy / UN Comtrade). Market sizes for pumps and valves (IMARC). C93200 limits (Bunting Bearings). IS 5290 material clause; IS 903:2025 scope.</w:t>
            </w:r>
          </w:p>
        </w:tc>
      </w:tr>
      <w:tr>
        <w:trPr>
          <w:cantSplit/>
        </w:trPr>
        <w:tc>
          <w:tcPr>
            <w:tcW w:type="dxa" w:w="1928"/>
            <w:vAlign w:val="top"/>
          </w:tcPr>
          <w:p>
            <w:pPr>
              <w:spacing w:after="0" w:line="240" w:lineRule="auto"/>
            </w:pPr>
            <w:r>
              <w:rPr>
                <w:b/>
                <w:color w:val="2B2F36"/>
                <w:sz w:val="16"/>
              </w:rPr>
              <w:t>Carried over, not re-verified</w:t>
            </w:r>
          </w:p>
        </w:tc>
        <w:tc>
          <w:tcPr>
            <w:tcW w:type="dxa" w:w="7824"/>
            <w:vAlign w:val="top"/>
          </w:tcPr>
          <w:p>
            <w:pPr>
              <w:spacing w:after="0" w:line="240" w:lineRule="auto"/>
            </w:pPr>
            <w:r>
              <w:rPr>
                <w:color w:val="2B2F36"/>
                <w:sz w:val="16"/>
              </w:rPr>
              <w:t>US tariff timeline; India–EU FTA status; Labour Codes; EPR for non-ferrous scrap; QCO withdrawal; JJM, railway capex, shipbuilding package, PM-KUSUM; tractor sales; sugar-mill count; named companies and plants. These are as in Rev 5 with their original sources.</w:t>
            </w:r>
          </w:p>
        </w:tc>
      </w:tr>
      <w:tr>
        <w:trPr>
          <w:cantSplit/>
        </w:trPr>
        <w:tc>
          <w:tcPr>
            <w:tcW w:type="dxa" w:w="1928"/>
            <w:shd w:val="clear" w:color="auto" w:fill="F7F4EE"/>
            <w:vAlign w:val="top"/>
          </w:tcPr>
          <w:p>
            <w:pPr>
              <w:spacing w:after="0" w:line="240" w:lineRule="auto"/>
            </w:pPr>
            <w:r>
              <w:rPr>
                <w:b/>
                <w:color w:val="2B2F36"/>
                <w:sz w:val="16"/>
              </w:rPr>
              <w:t>Estimate</w:t>
            </w:r>
          </w:p>
        </w:tc>
        <w:tc>
          <w:tcPr>
            <w:tcW w:type="dxa" w:w="7824"/>
            <w:shd w:val="clear" w:color="auto" w:fill="F7F4EE"/>
            <w:vAlign w:val="top"/>
          </w:tcPr>
          <w:p>
            <w:pPr>
              <w:spacing w:after="0" w:line="240" w:lineRule="auto"/>
            </w:pPr>
            <w:r>
              <w:rPr>
                <w:color w:val="2B2F36"/>
                <w:sz w:val="16"/>
              </w:rPr>
              <w:t>Application shares and grade split (±30 %); growth by application; margin, certification and order-size scores; requirement weights; pressure-tightness and corrosion ratings; share of buyers within 450 km; cluster distances (±15 %); melt loss, conversion, casting and machining costs; scrap payable %; calendar; PESTLE and Five Forces scores; segment shares.</w:t>
            </w:r>
          </w:p>
        </w:tc>
      </w:tr>
      <w:tr>
        <w:trPr>
          <w:cantSplit/>
        </w:trPr>
        <w:tc>
          <w:tcPr>
            <w:tcW w:type="dxa" w:w="1928"/>
            <w:vAlign w:val="top"/>
          </w:tcPr>
          <w:p>
            <w:pPr>
              <w:spacing w:after="0" w:line="240" w:lineRule="auto"/>
            </w:pPr>
            <w:r>
              <w:rPr>
                <w:b/>
                <w:color w:val="2B2F36"/>
                <w:sz w:val="16"/>
              </w:rPr>
              <w:t>Proxy</w:t>
            </w:r>
          </w:p>
        </w:tc>
        <w:tc>
          <w:tcPr>
            <w:tcW w:type="dxa" w:w="7824"/>
            <w:vAlign w:val="top"/>
          </w:tcPr>
          <w:p>
            <w:pPr>
              <w:spacing w:after="0" w:line="240" w:lineRule="auto"/>
            </w:pPr>
            <w:r>
              <w:rPr>
                <w:color w:val="2B2F36"/>
                <w:sz w:val="16"/>
              </w:rPr>
              <w:t>Market sizes are for pumps, valves, bronze and bearing bronze overall. No grade-level market data exists publicly. IMARC India valves and HS 8481 exports are different scopes (Section 4).</w:t>
            </w:r>
          </w:p>
        </w:tc>
      </w:tr>
      <w:tr>
        <w:trPr>
          <w:cantSplit/>
        </w:trPr>
        <w:tc>
          <w:tcPr>
            <w:tcW w:type="dxa" w:w="1928"/>
            <w:shd w:val="clear" w:color="auto" w:fill="F7F4EE"/>
            <w:vAlign w:val="top"/>
          </w:tcPr>
          <w:p>
            <w:pPr>
              <w:spacing w:after="0" w:line="240" w:lineRule="auto"/>
            </w:pPr>
            <w:r>
              <w:rPr>
                <w:b/>
                <w:color w:val="2B2F36"/>
                <w:sz w:val="16"/>
              </w:rPr>
              <w:t>Open: needs Bajaj data</w:t>
            </w:r>
          </w:p>
        </w:tc>
        <w:tc>
          <w:tcPr>
            <w:tcW w:type="dxa" w:w="7824"/>
            <w:shd w:val="clear" w:color="auto" w:fill="F7F4EE"/>
            <w:vAlign w:val="top"/>
          </w:tcPr>
          <w:p>
            <w:pPr>
              <w:spacing w:after="0" w:line="240" w:lineRule="auto"/>
            </w:pPr>
            <w:r>
              <w:rPr>
                <w:color w:val="2B2F36"/>
                <w:sz w:val="16"/>
              </w:rPr>
              <w:t>Actual melt loss and conversion cost per grade; scrap mix and payable %; tin purchase terms; customer list by cluster; real bush-maker quotes to test Section 9.7; the CB ingot table of EN 1982; IS 318 mapping for LTB 1, 3, 4, 5.</w:t>
            </w:r>
          </w:p>
        </w:tc>
      </w:tr>
    </w:tbl>
    <w:p>
      <w:pPr>
        <w:spacing w:after="40"/>
      </w:pPr>
    </w:p>
    <w:p>
      <w:pPr>
        <w:pStyle w:val="Heading2"/>
      </w:pPr>
      <w:r>
        <w:t>17.2 Conflicts found in Revision 5 and how each was resolved</w:t>
      </w:r>
    </w:p>
    <w:p>
      <w:pPr>
        <w:keepNext/>
        <w:spacing w:after="40"/>
      </w:pPr>
      <w:r>
        <w:rPr>
          <w:b/>
          <w:color w:val="5B6470"/>
          <w:sz w:val="18"/>
        </w:rPr>
        <w:t>Table 40.</w:t>
      </w:r>
      <w:r>
        <w:rPr>
          <w:color w:val="5B6470"/>
          <w:sz w:val="18"/>
        </w:rPr>
        <w:t xml:space="preserve"> Conflict log</w:t>
      </w:r>
    </w:p>
    <w:tbl>
      <w:tblPr>
        <w:tblW w:type="dxa" w:w="9751"/>
        <w:jc w:val="center"/>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top w:w="40" w:type="dxa"/>
          <w:left w:w="70" w:type="dxa"/>
          <w:bottom w:w="40" w:type="dxa"/>
          <w:right w:w="70" w:type="dxa"/>
        </w:tblCellMar>
        <w:tblLook w:firstColumn="1" w:firstRow="1" w:lastColumn="0" w:lastRow="0" w:noHBand="0" w:noVBand="1" w:val="04A0"/>
      </w:tblPr>
      <w:tblGrid>
        <w:gridCol w:w="454"/>
        <w:gridCol w:w="1814"/>
        <w:gridCol w:w="4762"/>
        <w:gridCol w:w="2721"/>
      </w:tblGrid>
      <w:tr>
        <w:trPr>
          <w:cantSplit/>
          <w:tblHeader/>
        </w:trPr>
        <w:tc>
          <w:tcPr>
            <w:tcW w:type="dxa" w:w="454"/>
            <w:shd w:val="clear" w:color="auto" w:fill="1F4E79"/>
            <w:vAlign w:val="center"/>
          </w:tcPr>
          <w:p>
            <w:pPr>
              <w:spacing w:after="0" w:line="240" w:lineRule="auto"/>
            </w:pPr>
            <w:r>
              <w:rPr>
                <w:b/>
                <w:color w:val="FFFFFF"/>
                <w:sz w:val="16"/>
              </w:rPr>
              <w:t>#</w:t>
            </w:r>
          </w:p>
        </w:tc>
        <w:tc>
          <w:tcPr>
            <w:tcW w:type="dxa" w:w="1814"/>
            <w:shd w:val="clear" w:color="auto" w:fill="1F4E79"/>
            <w:vAlign w:val="center"/>
          </w:tcPr>
          <w:p>
            <w:pPr>
              <w:spacing w:after="0" w:line="240" w:lineRule="auto"/>
            </w:pPr>
            <w:r>
              <w:rPr>
                <w:b/>
                <w:color w:val="FFFFFF"/>
                <w:sz w:val="16"/>
              </w:rPr>
              <w:t>Where</w:t>
            </w:r>
          </w:p>
        </w:tc>
        <w:tc>
          <w:tcPr>
            <w:tcW w:type="dxa" w:w="4762"/>
            <w:shd w:val="clear" w:color="auto" w:fill="1F4E79"/>
            <w:vAlign w:val="center"/>
          </w:tcPr>
          <w:p>
            <w:pPr>
              <w:spacing w:after="0" w:line="240" w:lineRule="auto"/>
            </w:pPr>
            <w:r>
              <w:rPr>
                <w:b/>
                <w:color w:val="FFFFFF"/>
                <w:sz w:val="16"/>
              </w:rPr>
              <w:t>Conflict</w:t>
            </w:r>
          </w:p>
        </w:tc>
        <w:tc>
          <w:tcPr>
            <w:tcW w:type="dxa" w:w="2721"/>
            <w:shd w:val="clear" w:color="auto" w:fill="1F4E79"/>
            <w:vAlign w:val="center"/>
          </w:tcPr>
          <w:p>
            <w:pPr>
              <w:spacing w:after="0" w:line="240" w:lineRule="auto"/>
            </w:pPr>
            <w:r>
              <w:rPr>
                <w:b/>
                <w:color w:val="FFFFFF"/>
                <w:sz w:val="16"/>
              </w:rPr>
              <w:t>Resolution</w:t>
            </w:r>
          </w:p>
        </w:tc>
      </w:tr>
      <w:tr>
        <w:trPr>
          <w:cantSplit/>
        </w:trPr>
        <w:tc>
          <w:tcPr>
            <w:tcW w:type="dxa" w:w="454"/>
            <w:vAlign w:val="top"/>
          </w:tcPr>
          <w:p>
            <w:pPr>
              <w:spacing w:after="0" w:line="240" w:lineRule="auto"/>
              <w:jc w:val="center"/>
            </w:pPr>
            <w:r>
              <w:rPr>
                <w:color w:val="2B2F36"/>
                <w:sz w:val="16"/>
              </w:rPr>
              <w:t>1</w:t>
            </w:r>
          </w:p>
        </w:tc>
        <w:tc>
          <w:tcPr>
            <w:tcW w:type="dxa" w:w="1814"/>
            <w:vAlign w:val="top"/>
          </w:tcPr>
          <w:p>
            <w:pPr>
              <w:spacing w:after="0" w:line="240" w:lineRule="auto"/>
            </w:pPr>
            <w:r>
              <w:rPr>
                <w:color w:val="2B2F36"/>
                <w:sz w:val="16"/>
              </w:rPr>
              <w:t>Sec 5.2 vs Fig 1 and Sec 9</w:t>
            </w:r>
          </w:p>
        </w:tc>
        <w:tc>
          <w:tcPr>
            <w:tcW w:type="dxa" w:w="4762"/>
            <w:vAlign w:val="top"/>
          </w:tcPr>
          <w:p>
            <w:pPr>
              <w:spacing w:after="0" w:line="240" w:lineRule="auto"/>
            </w:pPr>
            <w:r>
              <w:rPr>
                <w:color w:val="2B2F36"/>
                <w:sz w:val="16"/>
              </w:rPr>
              <w:t>CC492K nominal 87-7-3-3 in one heading, 88-7-3-2 in the chart and price model</w:t>
            </w:r>
          </w:p>
        </w:tc>
        <w:tc>
          <w:tcPr>
            <w:tcW w:type="dxa" w:w="2721"/>
            <w:vAlign w:val="top"/>
          </w:tcPr>
          <w:p>
            <w:pPr>
              <w:spacing w:after="0" w:line="240" w:lineRule="auto"/>
            </w:pPr>
            <w:r>
              <w:rPr>
                <w:color w:val="2B2F36"/>
                <w:sz w:val="16"/>
              </w:rPr>
              <w:t>88-7-3-2 everywhere</w:t>
            </w:r>
          </w:p>
        </w:tc>
      </w:tr>
      <w:tr>
        <w:trPr>
          <w:cantSplit/>
        </w:trPr>
        <w:tc>
          <w:tcPr>
            <w:tcW w:type="dxa" w:w="454"/>
            <w:shd w:val="clear" w:color="auto" w:fill="F7F4EE"/>
            <w:vAlign w:val="top"/>
          </w:tcPr>
          <w:p>
            <w:pPr>
              <w:spacing w:after="0" w:line="240" w:lineRule="auto"/>
              <w:jc w:val="center"/>
            </w:pPr>
            <w:r>
              <w:rPr>
                <w:color w:val="2B2F36"/>
                <w:sz w:val="16"/>
              </w:rPr>
              <w:t>2</w:t>
            </w:r>
          </w:p>
        </w:tc>
        <w:tc>
          <w:tcPr>
            <w:tcW w:type="dxa" w:w="1814"/>
            <w:shd w:val="clear" w:color="auto" w:fill="F7F4EE"/>
            <w:vAlign w:val="top"/>
          </w:tcPr>
          <w:p>
            <w:pPr>
              <w:spacing w:after="0" w:line="240" w:lineRule="auto"/>
            </w:pPr>
            <w:r>
              <w:rPr>
                <w:color w:val="2B2F36"/>
                <w:sz w:val="16"/>
              </w:rPr>
              <w:t>Exec summary vs Sec 2</w:t>
            </w:r>
          </w:p>
        </w:tc>
        <w:tc>
          <w:tcPr>
            <w:tcW w:type="dxa" w:w="4762"/>
            <w:shd w:val="clear" w:color="auto" w:fill="F7F4EE"/>
            <w:vAlign w:val="top"/>
          </w:tcPr>
          <w:p>
            <w:pPr>
              <w:spacing w:after="0" w:line="240" w:lineRule="auto"/>
            </w:pPr>
            <w:r>
              <w:rPr>
                <w:color w:val="2B2F36"/>
                <w:sz w:val="16"/>
              </w:rPr>
              <w:t>“Gunmetals contain 2–9.5 % zinc”; CC492K limit is 1.5–3.0 %</w:t>
            </w:r>
          </w:p>
        </w:tc>
        <w:tc>
          <w:tcPr>
            <w:tcW w:type="dxa" w:w="2721"/>
            <w:shd w:val="clear" w:color="auto" w:fill="F7F4EE"/>
            <w:vAlign w:val="top"/>
          </w:tcPr>
          <w:p>
            <w:pPr>
              <w:spacing w:after="0" w:line="240" w:lineRule="auto"/>
            </w:pPr>
            <w:r>
              <w:rPr>
                <w:color w:val="2B2F36"/>
                <w:sz w:val="16"/>
              </w:rPr>
              <w:t>1.5–9.5 %</w:t>
            </w:r>
          </w:p>
        </w:tc>
      </w:tr>
      <w:tr>
        <w:trPr>
          <w:cantSplit/>
        </w:trPr>
        <w:tc>
          <w:tcPr>
            <w:tcW w:type="dxa" w:w="454"/>
            <w:vAlign w:val="top"/>
          </w:tcPr>
          <w:p>
            <w:pPr>
              <w:spacing w:after="0" w:line="240" w:lineRule="auto"/>
              <w:jc w:val="center"/>
            </w:pPr>
            <w:r>
              <w:rPr>
                <w:color w:val="2B2F36"/>
                <w:sz w:val="16"/>
              </w:rPr>
              <w:t>3</w:t>
            </w:r>
          </w:p>
        </w:tc>
        <w:tc>
          <w:tcPr>
            <w:tcW w:type="dxa" w:w="1814"/>
            <w:vAlign w:val="top"/>
          </w:tcPr>
          <w:p>
            <w:pPr>
              <w:spacing w:after="0" w:line="240" w:lineRule="auto"/>
            </w:pPr>
            <w:r>
              <w:rPr>
                <w:color w:val="2B2F36"/>
                <w:sz w:val="16"/>
              </w:rPr>
              <w:t>Exec/Sec 9</w:t>
            </w:r>
          </w:p>
        </w:tc>
        <w:tc>
          <w:tcPr>
            <w:tcW w:type="dxa" w:w="4762"/>
            <w:vAlign w:val="top"/>
          </w:tcPr>
          <w:p>
            <w:pPr>
              <w:spacing w:after="0" w:line="240" w:lineRule="auto"/>
            </w:pPr>
            <w:r>
              <w:rPr>
                <w:color w:val="2B2F36"/>
                <w:sz w:val="16"/>
              </w:rPr>
              <w:t>“Metal is 94 % of ex-works price” while melt loss is added to metal</w:t>
            </w:r>
          </w:p>
        </w:tc>
        <w:tc>
          <w:tcPr>
            <w:tcW w:type="dxa" w:w="2721"/>
            <w:vAlign w:val="top"/>
          </w:tcPr>
          <w:p>
            <w:pPr>
              <w:spacing w:after="0" w:line="240" w:lineRule="auto"/>
            </w:pPr>
            <w:r>
              <w:rPr>
                <w:color w:val="2B2F36"/>
                <w:sz w:val="16"/>
              </w:rPr>
              <w:t>Metal incl. melt loss is 97 %; LME metal value alone is 94 %</w:t>
            </w:r>
          </w:p>
        </w:tc>
      </w:tr>
      <w:tr>
        <w:trPr>
          <w:cantSplit/>
        </w:trPr>
        <w:tc>
          <w:tcPr>
            <w:tcW w:type="dxa" w:w="454"/>
            <w:shd w:val="clear" w:color="auto" w:fill="F7F4EE"/>
            <w:vAlign w:val="top"/>
          </w:tcPr>
          <w:p>
            <w:pPr>
              <w:spacing w:after="0" w:line="240" w:lineRule="auto"/>
              <w:jc w:val="center"/>
            </w:pPr>
            <w:r>
              <w:rPr>
                <w:color w:val="2B2F36"/>
                <w:sz w:val="16"/>
              </w:rPr>
              <w:t>4</w:t>
            </w:r>
          </w:p>
        </w:tc>
        <w:tc>
          <w:tcPr>
            <w:tcW w:type="dxa" w:w="1814"/>
            <w:shd w:val="clear" w:color="auto" w:fill="F7F4EE"/>
            <w:vAlign w:val="top"/>
          </w:tcPr>
          <w:p>
            <w:pPr>
              <w:spacing w:after="0" w:line="240" w:lineRule="auto"/>
            </w:pPr>
            <w:r>
              <w:rPr>
                <w:color w:val="2B2F36"/>
                <w:sz w:val="16"/>
              </w:rPr>
              <w:t>Sec 9</w:t>
            </w:r>
          </w:p>
        </w:tc>
        <w:tc>
          <w:tcPr>
            <w:tcW w:type="dxa" w:w="4762"/>
            <w:shd w:val="clear" w:color="auto" w:fill="F7F4EE"/>
            <w:vAlign w:val="top"/>
          </w:tcPr>
          <w:p>
            <w:pPr>
              <w:spacing w:after="0" w:line="240" w:lineRule="auto"/>
            </w:pPr>
            <w:r>
              <w:rPr>
                <w:color w:val="2B2F36"/>
                <w:sz w:val="16"/>
              </w:rPr>
              <w:t>“1 % copper error costs more than a quarter of the margin”</w:t>
            </w:r>
          </w:p>
        </w:tc>
        <w:tc>
          <w:tcPr>
            <w:tcW w:type="dxa" w:w="2721"/>
            <w:shd w:val="clear" w:color="auto" w:fill="F7F4EE"/>
            <w:vAlign w:val="top"/>
          </w:tcPr>
          <w:p>
            <w:pPr>
              <w:spacing w:after="0" w:line="240" w:lineRule="auto"/>
            </w:pPr>
            <w:r>
              <w:rPr>
                <w:color w:val="2B2F36"/>
                <w:sz w:val="16"/>
              </w:rPr>
              <w:t>It is ₹12/kg = 24 % of ₹50: “nearly a quarter”</w:t>
            </w:r>
          </w:p>
        </w:tc>
      </w:tr>
      <w:tr>
        <w:trPr>
          <w:cantSplit/>
        </w:trPr>
        <w:tc>
          <w:tcPr>
            <w:tcW w:type="dxa" w:w="454"/>
            <w:vAlign w:val="top"/>
          </w:tcPr>
          <w:p>
            <w:pPr>
              <w:spacing w:after="0" w:line="240" w:lineRule="auto"/>
              <w:jc w:val="center"/>
            </w:pPr>
            <w:r>
              <w:rPr>
                <w:color w:val="2B2F36"/>
                <w:sz w:val="16"/>
              </w:rPr>
              <w:t>5</w:t>
            </w:r>
          </w:p>
        </w:tc>
        <w:tc>
          <w:tcPr>
            <w:tcW w:type="dxa" w:w="1814"/>
            <w:vAlign w:val="top"/>
          </w:tcPr>
          <w:p>
            <w:pPr>
              <w:spacing w:after="0" w:line="240" w:lineRule="auto"/>
            </w:pPr>
            <w:r>
              <w:rPr>
                <w:color w:val="2B2F36"/>
                <w:sz w:val="16"/>
              </w:rPr>
              <w:t>Sec 16</w:t>
            </w:r>
          </w:p>
        </w:tc>
        <w:tc>
          <w:tcPr>
            <w:tcW w:type="dxa" w:w="4762"/>
            <w:vAlign w:val="top"/>
          </w:tcPr>
          <w:p>
            <w:pPr>
              <w:spacing w:after="0" w:line="240" w:lineRule="auto"/>
            </w:pPr>
            <w:r>
              <w:rPr>
                <w:color w:val="2B2F36"/>
                <w:sz w:val="16"/>
              </w:rPr>
              <w:t>CC495K “highest rupee margin” vs a flat ₹50 conversion</w:t>
            </w:r>
          </w:p>
        </w:tc>
        <w:tc>
          <w:tcPr>
            <w:tcW w:type="dxa" w:w="2721"/>
            <w:vAlign w:val="top"/>
          </w:tcPr>
          <w:p>
            <w:pPr>
              <w:spacing w:after="0" w:line="240" w:lineRule="auto"/>
            </w:pPr>
            <w:r>
              <w:rPr>
                <w:color w:val="2B2F36"/>
                <w:sz w:val="16"/>
              </w:rPr>
              <w:t>Withdrawn; margin is similar per kg, financing need is higher</w:t>
            </w:r>
          </w:p>
        </w:tc>
      </w:tr>
      <w:tr>
        <w:trPr>
          <w:cantSplit/>
        </w:trPr>
        <w:tc>
          <w:tcPr>
            <w:tcW w:type="dxa" w:w="454"/>
            <w:shd w:val="clear" w:color="auto" w:fill="F7F4EE"/>
            <w:vAlign w:val="top"/>
          </w:tcPr>
          <w:p>
            <w:pPr>
              <w:spacing w:after="0" w:line="240" w:lineRule="auto"/>
              <w:jc w:val="center"/>
            </w:pPr>
            <w:r>
              <w:rPr>
                <w:color w:val="2B2F36"/>
                <w:sz w:val="16"/>
              </w:rPr>
              <w:t>6</w:t>
            </w:r>
          </w:p>
        </w:tc>
        <w:tc>
          <w:tcPr>
            <w:tcW w:type="dxa" w:w="1814"/>
            <w:shd w:val="clear" w:color="auto" w:fill="F7F4EE"/>
            <w:vAlign w:val="top"/>
          </w:tcPr>
          <w:p>
            <w:pPr>
              <w:spacing w:after="0" w:line="240" w:lineRule="auto"/>
            </w:pPr>
            <w:r>
              <w:rPr>
                <w:color w:val="2B2F36"/>
                <w:sz w:val="16"/>
              </w:rPr>
              <w:t>Exec, Sec 3</w:t>
            </w:r>
          </w:p>
        </w:tc>
        <w:tc>
          <w:tcPr>
            <w:tcW w:type="dxa" w:w="4762"/>
            <w:shd w:val="clear" w:color="auto" w:fill="F7F4EE"/>
            <w:vAlign w:val="top"/>
          </w:tcPr>
          <w:p>
            <w:pPr>
              <w:spacing w:after="0" w:line="240" w:lineRule="auto"/>
            </w:pPr>
            <w:r>
              <w:rPr>
                <w:color w:val="2B2F36"/>
                <w:sz w:val="16"/>
              </w:rPr>
              <w:t>Strength “falls as lead rises”; CC495K (10 % Pb) is stronger than CC494K (9 %) and the lowest-lead grade CC492K is strongest</w:t>
            </w:r>
          </w:p>
        </w:tc>
        <w:tc>
          <w:tcPr>
            <w:tcW w:type="dxa" w:w="2721"/>
            <w:shd w:val="clear" w:color="auto" w:fill="F7F4EE"/>
            <w:vAlign w:val="top"/>
          </w:tcPr>
          <w:p>
            <w:pPr>
              <w:spacing w:after="0" w:line="240" w:lineRule="auto"/>
            </w:pPr>
            <w:r>
              <w:rPr>
                <w:color w:val="2B2F36"/>
                <w:sz w:val="16"/>
              </w:rPr>
              <w:t>Strength follows tin and the zinc/lead balance</w:t>
            </w:r>
          </w:p>
        </w:tc>
      </w:tr>
      <w:tr>
        <w:trPr>
          <w:cantSplit/>
        </w:trPr>
        <w:tc>
          <w:tcPr>
            <w:tcW w:type="dxa" w:w="454"/>
            <w:vAlign w:val="top"/>
          </w:tcPr>
          <w:p>
            <w:pPr>
              <w:spacing w:after="0" w:line="240" w:lineRule="auto"/>
              <w:jc w:val="center"/>
            </w:pPr>
            <w:r>
              <w:rPr>
                <w:color w:val="2B2F36"/>
                <w:sz w:val="16"/>
              </w:rPr>
              <w:t>7</w:t>
            </w:r>
          </w:p>
        </w:tc>
        <w:tc>
          <w:tcPr>
            <w:tcW w:type="dxa" w:w="1814"/>
            <w:vAlign w:val="top"/>
          </w:tcPr>
          <w:p>
            <w:pPr>
              <w:spacing w:after="0" w:line="240" w:lineRule="auto"/>
            </w:pPr>
            <w:r>
              <w:rPr>
                <w:color w:val="2B2F36"/>
                <w:sz w:val="16"/>
              </w:rPr>
              <w:t>Fig 21 vs 8.4 and profiles</w:t>
            </w:r>
          </w:p>
        </w:tc>
        <w:tc>
          <w:tcPr>
            <w:tcW w:type="dxa" w:w="4762"/>
            <w:vAlign w:val="top"/>
          </w:tcPr>
          <w:p>
            <w:pPr>
              <w:spacing w:after="0" w:line="240" w:lineRule="auto"/>
            </w:pPr>
            <w:r>
              <w:rPr>
                <w:color w:val="2B2F36"/>
                <w:sz w:val="16"/>
              </w:rPr>
              <w:t>Substitute-threat scores contradicted stated High/Low ratings</w:t>
            </w:r>
          </w:p>
        </w:tc>
        <w:tc>
          <w:tcPr>
            <w:tcW w:type="dxa" w:w="2721"/>
            <w:vAlign w:val="top"/>
          </w:tcPr>
          <w:p>
            <w:pPr>
              <w:spacing w:after="0" w:line="240" w:lineRule="auto"/>
            </w:pPr>
            <w:r>
              <w:rPr>
                <w:color w:val="2B2F36"/>
                <w:sz w:val="16"/>
              </w:rPr>
              <w:t>Rule-mapped scores</w:t>
            </w:r>
          </w:p>
        </w:tc>
      </w:tr>
      <w:tr>
        <w:trPr>
          <w:cantSplit/>
        </w:trPr>
        <w:tc>
          <w:tcPr>
            <w:tcW w:type="dxa" w:w="454"/>
            <w:shd w:val="clear" w:color="auto" w:fill="F7F4EE"/>
            <w:vAlign w:val="top"/>
          </w:tcPr>
          <w:p>
            <w:pPr>
              <w:spacing w:after="0" w:line="240" w:lineRule="auto"/>
              <w:jc w:val="center"/>
            </w:pPr>
            <w:r>
              <w:rPr>
                <w:color w:val="2B2F36"/>
                <w:sz w:val="16"/>
              </w:rPr>
              <w:t>8</w:t>
            </w:r>
          </w:p>
        </w:tc>
        <w:tc>
          <w:tcPr>
            <w:tcW w:type="dxa" w:w="1814"/>
            <w:shd w:val="clear" w:color="auto" w:fill="F7F4EE"/>
            <w:vAlign w:val="top"/>
          </w:tcPr>
          <w:p>
            <w:pPr>
              <w:spacing w:after="0" w:line="240" w:lineRule="auto"/>
            </w:pPr>
            <w:r>
              <w:rPr>
                <w:color w:val="2B2F36"/>
                <w:sz w:val="16"/>
              </w:rPr>
              <w:t>Fig 21</w:t>
            </w:r>
          </w:p>
        </w:tc>
        <w:tc>
          <w:tcPr>
            <w:tcW w:type="dxa" w:w="4762"/>
            <w:shd w:val="clear" w:color="auto" w:fill="F7F4EE"/>
            <w:vAlign w:val="top"/>
          </w:tcPr>
          <w:p>
            <w:pPr>
              <w:spacing w:after="0" w:line="240" w:lineRule="auto"/>
            </w:pPr>
            <w:r>
              <w:rPr>
                <w:color w:val="2B2F36"/>
                <w:sz w:val="16"/>
              </w:rPr>
              <w:t>Growth scores not monotonic (+3 % outscored +5 %)</w:t>
            </w:r>
          </w:p>
        </w:tc>
        <w:tc>
          <w:tcPr>
            <w:tcW w:type="dxa" w:w="2721"/>
            <w:shd w:val="clear" w:color="auto" w:fill="F7F4EE"/>
            <w:vAlign w:val="top"/>
          </w:tcPr>
          <w:p>
            <w:pPr>
              <w:spacing w:after="0" w:line="240" w:lineRule="auto"/>
            </w:pPr>
            <w:r>
              <w:rPr>
                <w:color w:val="2B2F36"/>
                <w:sz w:val="16"/>
              </w:rPr>
              <w:t>Threshold rule</w:t>
            </w:r>
          </w:p>
        </w:tc>
      </w:tr>
      <w:tr>
        <w:trPr>
          <w:cantSplit/>
        </w:trPr>
        <w:tc>
          <w:tcPr>
            <w:tcW w:type="dxa" w:w="454"/>
            <w:vAlign w:val="top"/>
          </w:tcPr>
          <w:p>
            <w:pPr>
              <w:spacing w:after="0" w:line="240" w:lineRule="auto"/>
              <w:jc w:val="center"/>
            </w:pPr>
            <w:r>
              <w:rPr>
                <w:color w:val="2B2F36"/>
                <w:sz w:val="16"/>
              </w:rPr>
              <w:t>9</w:t>
            </w:r>
          </w:p>
        </w:tc>
        <w:tc>
          <w:tcPr>
            <w:tcW w:type="dxa" w:w="1814"/>
            <w:vAlign w:val="top"/>
          </w:tcPr>
          <w:p>
            <w:pPr>
              <w:spacing w:after="0" w:line="240" w:lineRule="auto"/>
            </w:pPr>
            <w:r>
              <w:rPr>
                <w:color w:val="2B2F36"/>
                <w:sz w:val="16"/>
              </w:rPr>
              <w:t>Fig 21 vs 8.4</w:t>
            </w:r>
          </w:p>
        </w:tc>
        <w:tc>
          <w:tcPr>
            <w:tcW w:type="dxa" w:w="4762"/>
            <w:vAlign w:val="top"/>
          </w:tcPr>
          <w:p>
            <w:pPr>
              <w:spacing w:after="0" w:line="240" w:lineRule="auto"/>
            </w:pPr>
            <w:r>
              <w:rPr>
                <w:color w:val="2B2F36"/>
                <w:sz w:val="16"/>
              </w:rPr>
              <w:t>Hydro “close to Bhiwadi” in text, proximity score 2</w:t>
            </w:r>
          </w:p>
        </w:tc>
        <w:tc>
          <w:tcPr>
            <w:tcW w:type="dxa" w:w="2721"/>
            <w:vAlign w:val="top"/>
          </w:tcPr>
          <w:p>
            <w:pPr>
              <w:spacing w:after="0" w:line="240" w:lineRule="auto"/>
            </w:pPr>
            <w:r>
              <w:rPr>
                <w:color w:val="2B2F36"/>
                <w:sz w:val="16"/>
              </w:rPr>
              <w:t>Proximity 5 (Prithla, Noida, Haridwar)</w:t>
            </w:r>
          </w:p>
        </w:tc>
      </w:tr>
      <w:tr>
        <w:trPr>
          <w:cantSplit/>
        </w:trPr>
        <w:tc>
          <w:tcPr>
            <w:tcW w:type="dxa" w:w="454"/>
            <w:shd w:val="clear" w:color="auto" w:fill="F7F4EE"/>
            <w:vAlign w:val="top"/>
          </w:tcPr>
          <w:p>
            <w:pPr>
              <w:spacing w:after="0" w:line="240" w:lineRule="auto"/>
              <w:jc w:val="center"/>
            </w:pPr>
            <w:r>
              <w:rPr>
                <w:color w:val="2B2F36"/>
                <w:sz w:val="16"/>
              </w:rPr>
              <w:t>10</w:t>
            </w:r>
          </w:p>
        </w:tc>
        <w:tc>
          <w:tcPr>
            <w:tcW w:type="dxa" w:w="1814"/>
            <w:shd w:val="clear" w:color="auto" w:fill="F7F4EE"/>
            <w:vAlign w:val="top"/>
          </w:tcPr>
          <w:p>
            <w:pPr>
              <w:spacing w:after="0" w:line="240" w:lineRule="auto"/>
            </w:pPr>
            <w:r>
              <w:rPr>
                <w:color w:val="2B2F36"/>
                <w:sz w:val="16"/>
              </w:rPr>
              <w:t>Sec 15 vs Sec 8, 16</w:t>
            </w:r>
          </w:p>
        </w:tc>
        <w:tc>
          <w:tcPr>
            <w:tcW w:type="dxa" w:w="4762"/>
            <w:shd w:val="clear" w:color="auto" w:fill="F7F4EE"/>
            <w:vAlign w:val="top"/>
          </w:tcPr>
          <w:p>
            <w:pPr>
              <w:spacing w:after="0" w:line="240" w:lineRule="auto"/>
            </w:pPr>
            <w:r>
              <w:rPr>
                <w:color w:val="2B2F36"/>
                <w:sz w:val="16"/>
              </w:rPr>
              <w:t>Hydro and defence “Harvest/avoid” yet “approval plays: start registration now”</w:t>
            </w:r>
          </w:p>
        </w:tc>
        <w:tc>
          <w:tcPr>
            <w:tcW w:type="dxa" w:w="2721"/>
            <w:shd w:val="clear" w:color="auto" w:fill="F7F4EE"/>
            <w:vAlign w:val="top"/>
          </w:tcPr>
          <w:p>
            <w:pPr>
              <w:spacing w:after="0" w:line="240" w:lineRule="auto"/>
            </w:pPr>
            <w:r>
              <w:rPr>
                <w:color w:val="2B2F36"/>
                <w:sz w:val="16"/>
              </w:rPr>
              <w:t>Computed Build selectively; approval plays</w:t>
            </w:r>
          </w:p>
        </w:tc>
      </w:tr>
      <w:tr>
        <w:trPr>
          <w:cantSplit/>
        </w:trPr>
        <w:tc>
          <w:tcPr>
            <w:tcW w:type="dxa" w:w="454"/>
            <w:vAlign w:val="top"/>
          </w:tcPr>
          <w:p>
            <w:pPr>
              <w:spacing w:after="0" w:line="240" w:lineRule="auto"/>
              <w:jc w:val="center"/>
            </w:pPr>
            <w:r>
              <w:rPr>
                <w:color w:val="2B2F36"/>
                <w:sz w:val="16"/>
              </w:rPr>
              <w:t>11</w:t>
            </w:r>
          </w:p>
        </w:tc>
        <w:tc>
          <w:tcPr>
            <w:tcW w:type="dxa" w:w="1814"/>
            <w:vAlign w:val="top"/>
          </w:tcPr>
          <w:p>
            <w:pPr>
              <w:spacing w:after="0" w:line="240" w:lineRule="auto"/>
            </w:pPr>
            <w:r>
              <w:rPr>
                <w:color w:val="2B2F36"/>
                <w:sz w:val="16"/>
              </w:rPr>
              <w:t>Fig 33 vs Sec 14</w:t>
            </w:r>
          </w:p>
        </w:tc>
        <w:tc>
          <w:tcPr>
            <w:tcW w:type="dxa" w:w="4762"/>
            <w:vAlign w:val="top"/>
          </w:tcPr>
          <w:p>
            <w:pPr>
              <w:spacing w:after="0" w:line="240" w:lineRule="auto"/>
            </w:pPr>
            <w:r>
              <w:rPr>
                <w:color w:val="2B2F36"/>
                <w:sz w:val="16"/>
              </w:rPr>
              <w:t>Pumps business strength 4.0 although main pump clusters are 900–2,300 km away</w:t>
            </w:r>
          </w:p>
        </w:tc>
        <w:tc>
          <w:tcPr>
            <w:tcW w:type="dxa" w:w="2721"/>
            <w:vAlign w:val="top"/>
          </w:tcPr>
          <w:p>
            <w:pPr>
              <w:spacing w:after="0" w:line="240" w:lineRule="auto"/>
            </w:pPr>
            <w:r>
              <w:rPr>
                <w:color w:val="2B2F36"/>
                <w:sz w:val="16"/>
              </w:rPr>
              <w:t>Recomputed 3.52</w:t>
            </w:r>
          </w:p>
        </w:tc>
      </w:tr>
      <w:tr>
        <w:trPr>
          <w:cantSplit/>
        </w:trPr>
        <w:tc>
          <w:tcPr>
            <w:tcW w:type="dxa" w:w="454"/>
            <w:shd w:val="clear" w:color="auto" w:fill="F7F4EE"/>
            <w:vAlign w:val="top"/>
          </w:tcPr>
          <w:p>
            <w:pPr>
              <w:spacing w:after="0" w:line="240" w:lineRule="auto"/>
              <w:jc w:val="center"/>
            </w:pPr>
            <w:r>
              <w:rPr>
                <w:color w:val="2B2F36"/>
                <w:sz w:val="16"/>
              </w:rPr>
              <w:t>12</w:t>
            </w:r>
          </w:p>
        </w:tc>
        <w:tc>
          <w:tcPr>
            <w:tcW w:type="dxa" w:w="1814"/>
            <w:shd w:val="clear" w:color="auto" w:fill="F7F4EE"/>
            <w:vAlign w:val="top"/>
          </w:tcPr>
          <w:p>
            <w:pPr>
              <w:spacing w:after="0" w:line="240" w:lineRule="auto"/>
            </w:pPr>
            <w:r>
              <w:rPr>
                <w:color w:val="2B2F36"/>
                <w:sz w:val="16"/>
              </w:rPr>
              <w:t>Fig 33 vs Fig 21</w:t>
            </w:r>
          </w:p>
        </w:tc>
        <w:tc>
          <w:tcPr>
            <w:tcW w:type="dxa" w:w="4762"/>
            <w:shd w:val="clear" w:color="auto" w:fill="F7F4EE"/>
            <w:vAlign w:val="top"/>
          </w:tcPr>
          <w:p>
            <w:pPr>
              <w:spacing w:after="0" w:line="240" w:lineRule="auto"/>
            </w:pPr>
            <w:r>
              <w:rPr>
                <w:color w:val="2B2F36"/>
                <w:sz w:val="16"/>
              </w:rPr>
              <w:t>Marine 3rd on scorecard but “Selective” in nine-box</w:t>
            </w:r>
          </w:p>
        </w:tc>
        <w:tc>
          <w:tcPr>
            <w:tcW w:type="dxa" w:w="2721"/>
            <w:shd w:val="clear" w:color="auto" w:fill="F7F4EE"/>
            <w:vAlign w:val="top"/>
          </w:tcPr>
          <w:p>
            <w:pPr>
              <w:spacing w:after="0" w:line="240" w:lineRule="auto"/>
            </w:pPr>
            <w:r>
              <w:rPr>
                <w:color w:val="2B2F36"/>
                <w:sz w:val="16"/>
              </w:rPr>
              <w:t>Recomputed Build selectively</w:t>
            </w:r>
          </w:p>
        </w:tc>
      </w:tr>
      <w:tr>
        <w:trPr>
          <w:cantSplit/>
        </w:trPr>
        <w:tc>
          <w:tcPr>
            <w:tcW w:type="dxa" w:w="454"/>
            <w:vAlign w:val="top"/>
          </w:tcPr>
          <w:p>
            <w:pPr>
              <w:spacing w:after="0" w:line="240" w:lineRule="auto"/>
              <w:jc w:val="center"/>
            </w:pPr>
            <w:r>
              <w:rPr>
                <w:color w:val="2B2F36"/>
                <w:sz w:val="16"/>
              </w:rPr>
              <w:t>13</w:t>
            </w:r>
          </w:p>
        </w:tc>
        <w:tc>
          <w:tcPr>
            <w:tcW w:type="dxa" w:w="1814"/>
            <w:vAlign w:val="top"/>
          </w:tcPr>
          <w:p>
            <w:pPr>
              <w:spacing w:after="0" w:line="240" w:lineRule="auto"/>
            </w:pPr>
            <w:r>
              <w:rPr>
                <w:color w:val="2B2F36"/>
                <w:sz w:val="16"/>
              </w:rPr>
              <w:t>Exec, Sec 7</w:t>
            </w:r>
          </w:p>
        </w:tc>
        <w:tc>
          <w:tcPr>
            <w:tcW w:type="dxa" w:w="4762"/>
            <w:vAlign w:val="top"/>
          </w:tcPr>
          <w:p>
            <w:pPr>
              <w:spacing w:after="0" w:line="240" w:lineRule="auto"/>
            </w:pPr>
            <w:r>
              <w:rPr>
                <w:color w:val="2B2F36"/>
                <w:sz w:val="16"/>
              </w:rPr>
              <w:t>Rajasthan cement belt listed among “nearest” bush buyers (340–540 km)</w:t>
            </w:r>
          </w:p>
        </w:tc>
        <w:tc>
          <w:tcPr>
            <w:tcW w:type="dxa" w:w="2721"/>
            <w:vAlign w:val="top"/>
          </w:tcPr>
          <w:p>
            <w:pPr>
              <w:spacing w:after="0" w:line="240" w:lineRule="auto"/>
            </w:pPr>
            <w:r>
              <w:rPr>
                <w:color w:val="2B2F36"/>
                <w:sz w:val="16"/>
              </w:rPr>
              <w:t>Nearest = Faridabad, Delhi, Ghaziabad, Noida, Prithla</w:t>
            </w:r>
          </w:p>
        </w:tc>
      </w:tr>
      <w:tr>
        <w:trPr>
          <w:cantSplit/>
        </w:trPr>
        <w:tc>
          <w:tcPr>
            <w:tcW w:type="dxa" w:w="454"/>
            <w:shd w:val="clear" w:color="auto" w:fill="F7F4EE"/>
            <w:vAlign w:val="top"/>
          </w:tcPr>
          <w:p>
            <w:pPr>
              <w:spacing w:after="0" w:line="240" w:lineRule="auto"/>
              <w:jc w:val="center"/>
            </w:pPr>
            <w:r>
              <w:rPr>
                <w:color w:val="2B2F36"/>
                <w:sz w:val="16"/>
              </w:rPr>
              <w:t>14</w:t>
            </w:r>
          </w:p>
        </w:tc>
        <w:tc>
          <w:tcPr>
            <w:tcW w:type="dxa" w:w="1814"/>
            <w:shd w:val="clear" w:color="auto" w:fill="F7F4EE"/>
            <w:vAlign w:val="top"/>
          </w:tcPr>
          <w:p>
            <w:pPr>
              <w:spacing w:after="0" w:line="240" w:lineRule="auto"/>
            </w:pPr>
            <w:r>
              <w:rPr>
                <w:color w:val="2B2F36"/>
                <w:sz w:val="16"/>
              </w:rPr>
              <w:t>Sec 14</w:t>
            </w:r>
          </w:p>
        </w:tc>
        <w:tc>
          <w:tcPr>
            <w:tcW w:type="dxa" w:w="4762"/>
            <w:shd w:val="clear" w:color="auto" w:fill="F7F4EE"/>
            <w:vAlign w:val="top"/>
          </w:tcPr>
          <w:p>
            <w:pPr>
              <w:spacing w:after="0" w:line="240" w:lineRule="auto"/>
            </w:pPr>
            <w:r>
              <w:rPr>
                <w:color w:val="2B2F36"/>
                <w:sz w:val="16"/>
              </w:rPr>
              <w:t>Bhiwadi “close to Gujarat foundry clusters” (900–1,050 km)</w:t>
            </w:r>
          </w:p>
        </w:tc>
        <w:tc>
          <w:tcPr>
            <w:tcW w:type="dxa" w:w="2721"/>
            <w:shd w:val="clear" w:color="auto" w:fill="F7F4EE"/>
            <w:vAlign w:val="top"/>
          </w:tcPr>
          <w:p>
            <w:pPr>
              <w:spacing w:after="0" w:line="240" w:lineRule="auto"/>
            </w:pPr>
            <w:r>
              <w:rPr>
                <w:color w:val="2B2F36"/>
                <w:sz w:val="16"/>
              </w:rPr>
              <w:t>NCR, Haryana, Punjab, Rajasthan</w:t>
            </w:r>
          </w:p>
        </w:tc>
      </w:tr>
      <w:tr>
        <w:trPr>
          <w:cantSplit/>
        </w:trPr>
        <w:tc>
          <w:tcPr>
            <w:tcW w:type="dxa" w:w="454"/>
            <w:vAlign w:val="top"/>
          </w:tcPr>
          <w:p>
            <w:pPr>
              <w:spacing w:after="0" w:line="240" w:lineRule="auto"/>
              <w:jc w:val="center"/>
            </w:pPr>
            <w:r>
              <w:rPr>
                <w:color w:val="2B2F36"/>
                <w:sz w:val="16"/>
              </w:rPr>
              <w:t>15</w:t>
            </w:r>
          </w:p>
        </w:tc>
        <w:tc>
          <w:tcPr>
            <w:tcW w:type="dxa" w:w="1814"/>
            <w:vAlign w:val="top"/>
          </w:tcPr>
          <w:p>
            <w:pPr>
              <w:spacing w:after="0" w:line="240" w:lineRule="auto"/>
            </w:pPr>
            <w:r>
              <w:rPr>
                <w:color w:val="2B2F36"/>
                <w:sz w:val="16"/>
              </w:rPr>
              <w:t>Sec 13</w:t>
            </w:r>
          </w:p>
        </w:tc>
        <w:tc>
          <w:tcPr>
            <w:tcW w:type="dxa" w:w="4762"/>
            <w:vAlign w:val="top"/>
          </w:tcPr>
          <w:p>
            <w:pPr>
              <w:spacing w:after="0" w:line="240" w:lineRule="auto"/>
            </w:pPr>
            <w:r>
              <w:rPr>
                <w:color w:val="2B2F36"/>
                <w:sz w:val="16"/>
              </w:rPr>
              <w:t>Supplier power rated differently by customer segment although suppliers are the same</w:t>
            </w:r>
          </w:p>
        </w:tc>
        <w:tc>
          <w:tcPr>
            <w:tcW w:type="dxa" w:w="2721"/>
            <w:vAlign w:val="top"/>
          </w:tcPr>
          <w:p>
            <w:pPr>
              <w:spacing w:after="0" w:line="240" w:lineRule="auto"/>
            </w:pPr>
            <w:r>
              <w:rPr>
                <w:color w:val="2B2F36"/>
                <w:sz w:val="16"/>
              </w:rPr>
              <w:t>4/5 for both; specialised average 2.0 (was 1.8)</w:t>
            </w:r>
          </w:p>
        </w:tc>
      </w:tr>
      <w:tr>
        <w:trPr>
          <w:cantSplit/>
        </w:trPr>
        <w:tc>
          <w:tcPr>
            <w:tcW w:type="dxa" w:w="454"/>
            <w:shd w:val="clear" w:color="auto" w:fill="F7F4EE"/>
            <w:vAlign w:val="top"/>
          </w:tcPr>
          <w:p>
            <w:pPr>
              <w:spacing w:after="0" w:line="240" w:lineRule="auto"/>
              <w:jc w:val="center"/>
            </w:pPr>
            <w:r>
              <w:rPr>
                <w:color w:val="2B2F36"/>
                <w:sz w:val="16"/>
              </w:rPr>
              <w:t>16</w:t>
            </w:r>
          </w:p>
        </w:tc>
        <w:tc>
          <w:tcPr>
            <w:tcW w:type="dxa" w:w="1814"/>
            <w:shd w:val="clear" w:color="auto" w:fill="F7F4EE"/>
            <w:vAlign w:val="top"/>
          </w:tcPr>
          <w:p>
            <w:pPr>
              <w:spacing w:after="0" w:line="240" w:lineRule="auto"/>
            </w:pPr>
            <w:r>
              <w:rPr>
                <w:color w:val="2B2F36"/>
                <w:sz w:val="16"/>
              </w:rPr>
              <w:t>Sec 4 vs Sec 5</w:t>
            </w:r>
          </w:p>
        </w:tc>
        <w:tc>
          <w:tcPr>
            <w:tcW w:type="dxa" w:w="4762"/>
            <w:shd w:val="clear" w:color="auto" w:fill="F7F4EE"/>
            <w:vAlign w:val="top"/>
          </w:tcPr>
          <w:p>
            <w:pPr>
              <w:spacing w:after="0" w:line="240" w:lineRule="auto"/>
            </w:pPr>
            <w:r>
              <w:rPr>
                <w:color w:val="2B2F36"/>
                <w:sz w:val="16"/>
              </w:rPr>
              <w:t>IMARC India valves US$ 2.8 bn vs HS 8481 exports US$ 2.12 bn (different scopes)</w:t>
            </w:r>
          </w:p>
        </w:tc>
        <w:tc>
          <w:tcPr>
            <w:tcW w:type="dxa" w:w="2721"/>
            <w:shd w:val="clear" w:color="auto" w:fill="F7F4EE"/>
            <w:vAlign w:val="top"/>
          </w:tcPr>
          <w:p>
            <w:pPr>
              <w:spacing w:after="0" w:line="240" w:lineRule="auto"/>
            </w:pPr>
            <w:r>
              <w:rPr>
                <w:color w:val="2B2F36"/>
                <w:sz w:val="16"/>
              </w:rPr>
              <w:t>Caveat added</w:t>
            </w:r>
          </w:p>
        </w:tc>
      </w:tr>
      <w:tr>
        <w:trPr>
          <w:cantSplit/>
        </w:trPr>
        <w:tc>
          <w:tcPr>
            <w:tcW w:type="dxa" w:w="454"/>
            <w:vAlign w:val="top"/>
          </w:tcPr>
          <w:p>
            <w:pPr>
              <w:spacing w:after="0" w:line="240" w:lineRule="auto"/>
              <w:jc w:val="center"/>
            </w:pPr>
            <w:r>
              <w:rPr>
                <w:color w:val="2B2F36"/>
                <w:sz w:val="16"/>
              </w:rPr>
              <w:t>17</w:t>
            </w:r>
          </w:p>
        </w:tc>
        <w:tc>
          <w:tcPr>
            <w:tcW w:type="dxa" w:w="1814"/>
            <w:vAlign w:val="top"/>
          </w:tcPr>
          <w:p>
            <w:pPr>
              <w:spacing w:after="0" w:line="240" w:lineRule="auto"/>
            </w:pPr>
            <w:r>
              <w:rPr>
                <w:color w:val="2B2F36"/>
                <w:sz w:val="16"/>
              </w:rPr>
              <w:t>Sec 2.2</w:t>
            </w:r>
          </w:p>
        </w:tc>
        <w:tc>
          <w:tcPr>
            <w:tcW w:type="dxa" w:w="4762"/>
            <w:vAlign w:val="top"/>
          </w:tcPr>
          <w:p>
            <w:pPr>
              <w:spacing w:after="0" w:line="240" w:lineRule="auto"/>
            </w:pPr>
            <w:r>
              <w:rPr>
                <w:color w:val="2B2F36"/>
                <w:sz w:val="16"/>
              </w:rPr>
              <w:t>IS 318 equivalence implied for all grades without a source</w:t>
            </w:r>
          </w:p>
        </w:tc>
        <w:tc>
          <w:tcPr>
            <w:tcW w:type="dxa" w:w="2721"/>
            <w:vAlign w:val="top"/>
          </w:tcPr>
          <w:p>
            <w:pPr>
              <w:spacing w:after="0" w:line="240" w:lineRule="auto"/>
            </w:pPr>
            <w:r>
              <w:rPr>
                <w:color w:val="2B2F36"/>
                <w:sz w:val="16"/>
              </w:rPr>
              <w:t>Only LTB 2 verified; others “confirm”</w:t>
            </w:r>
          </w:p>
        </w:tc>
      </w:tr>
      <w:tr>
        <w:trPr>
          <w:cantSplit/>
        </w:trPr>
        <w:tc>
          <w:tcPr>
            <w:tcW w:type="dxa" w:w="454"/>
            <w:shd w:val="clear" w:color="auto" w:fill="F7F4EE"/>
            <w:vAlign w:val="top"/>
          </w:tcPr>
          <w:p>
            <w:pPr>
              <w:spacing w:after="0" w:line="240" w:lineRule="auto"/>
              <w:jc w:val="center"/>
            </w:pPr>
            <w:r>
              <w:rPr>
                <w:color w:val="2B2F36"/>
                <w:sz w:val="16"/>
              </w:rPr>
              <w:t>18</w:t>
            </w:r>
          </w:p>
        </w:tc>
        <w:tc>
          <w:tcPr>
            <w:tcW w:type="dxa" w:w="1814"/>
            <w:shd w:val="clear" w:color="auto" w:fill="F7F4EE"/>
            <w:vAlign w:val="top"/>
          </w:tcPr>
          <w:p>
            <w:pPr>
              <w:spacing w:after="0" w:line="240" w:lineRule="auto"/>
            </w:pPr>
            <w:r>
              <w:rPr>
                <w:color w:val="2B2F36"/>
                <w:sz w:val="16"/>
              </w:rPr>
              <w:t>Sec 4</w:t>
            </w:r>
          </w:p>
        </w:tc>
        <w:tc>
          <w:tcPr>
            <w:tcW w:type="dxa" w:w="4762"/>
            <w:shd w:val="clear" w:color="auto" w:fill="F7F4EE"/>
            <w:vAlign w:val="top"/>
          </w:tcPr>
          <w:p>
            <w:pPr>
              <w:spacing w:after="0" w:line="240" w:lineRule="auto"/>
            </w:pPr>
            <w:r>
              <w:rPr>
                <w:color w:val="2B2F36"/>
                <w:sz w:val="16"/>
              </w:rPr>
              <w:t>Bearing-bronze CAGR 5.0 % vs 4.8 % recomputed</w:t>
            </w:r>
          </w:p>
        </w:tc>
        <w:tc>
          <w:tcPr>
            <w:tcW w:type="dxa" w:w="2721"/>
            <w:shd w:val="clear" w:color="auto" w:fill="F7F4EE"/>
            <w:vAlign w:val="top"/>
          </w:tcPr>
          <w:p>
            <w:pPr>
              <w:spacing w:after="0" w:line="240" w:lineRule="auto"/>
            </w:pPr>
            <w:r>
              <w:rPr>
                <w:color w:val="2B2F36"/>
                <w:sz w:val="16"/>
              </w:rPr>
              <w:t>Both shown</w:t>
            </w:r>
          </w:p>
        </w:tc>
      </w:tr>
    </w:tbl>
    <w:p>
      <w:pPr>
        <w:spacing w:after="40"/>
      </w:pPr>
    </w:p>
    <w:p>
      <w:pPr>
        <w:pStyle w:val="Heading2"/>
      </w:pPr>
      <w:r>
        <w:t>17.3 Sources</w:t>
      </w:r>
    </w:p>
    <w:p>
      <w:pPr>
        <w:pStyle w:val="ListBullet"/>
      </w:pPr>
      <w:r>
        <w:t>Viiplus — EN Casting Copper Alloy datasheet (EN 1982 compositions and minimum properties)</w:t>
      </w:r>
    </w:p>
    <w:p>
      <w:pPr>
        <w:pStyle w:val="ListBullet"/>
      </w:pPr>
      <w:r>
        <w:t>Zollern — Rg5 / CC491K datasheet</w:t>
      </w:r>
    </w:p>
    <w:p>
      <w:pPr>
        <w:pStyle w:val="ListBullet"/>
      </w:pPr>
      <w:r>
        <w:t>United Cast Bar — non-ferrous catalogue</w:t>
      </w:r>
    </w:p>
    <w:p>
      <w:pPr>
        <w:pStyle w:val="ListBullet"/>
      </w:pPr>
      <w:r>
        <w:t>Total Materia — gunmetals and leaded bronzes</w:t>
      </w:r>
    </w:p>
    <w:p>
      <w:pPr>
        <w:pStyle w:val="ListBullet"/>
      </w:pPr>
      <w:r>
        <w:t>Drysdale Brothers — CC492K gunmetal</w:t>
      </w:r>
    </w:p>
    <w:p>
      <w:pPr>
        <w:pStyle w:val="ListBullet"/>
      </w:pPr>
      <w:r>
        <w:t>Copper Alloys Ltd — LG4 (CC492K), LG2</w:t>
      </w:r>
    </w:p>
    <w:p>
      <w:pPr>
        <w:pStyle w:val="ListBullet"/>
      </w:pPr>
      <w:r>
        <w:t>Alumeco — CC495K, CC493K datasheets</w:t>
      </w:r>
    </w:p>
    <w:p>
      <w:pPr>
        <w:pStyle w:val="ListBullet"/>
      </w:pPr>
      <w:r>
        <w:t>Bronzeoilless — CC493K casting bronze bushings</w:t>
      </w:r>
    </w:p>
    <w:p>
      <w:pPr>
        <w:pStyle w:val="ListBullet"/>
      </w:pPr>
      <w:r>
        <w:t>Peerless Pump — AEF split-case fire pump</w:t>
      </w:r>
    </w:p>
    <w:p>
      <w:pPr>
        <w:pStyle w:val="ListBullet"/>
      </w:pPr>
      <w:r>
        <w:t>Westmetall — LME copper, tin, lead and zinc cash settlement 2026</w:t>
      </w:r>
    </w:p>
    <w:p>
      <w:pPr>
        <w:pStyle w:val="ListBullet"/>
      </w:pPr>
      <w:r>
        <w:t>Trading Economics — Indian rupee; X-Rates — USD/INR monthly averages 2026</w:t>
      </w:r>
    </w:p>
    <w:p>
      <w:pPr>
        <w:pStyle w:val="ListBullet"/>
      </w:pPr>
      <w:r>
        <w:t>IMARC — India and global pumps; India and global industrial valves; India smart water meters</w:t>
      </w:r>
    </w:p>
    <w:p>
      <w:pPr>
        <w:pStyle w:val="ListBullet"/>
      </w:pPr>
      <w:r>
        <w:t>Market Data Forecast — bronze market; Verified Market Reports — bearing bronze market; HTF MI — bearing bronze by application</w:t>
      </w:r>
    </w:p>
    <w:p>
      <w:pPr>
        <w:pStyle w:val="ListBullet"/>
      </w:pPr>
      <w:r>
        <w:t>TrendEconomy — India exports HS 8481, 8413, 8483, 7419, 7403</w:t>
      </w:r>
    </w:p>
    <w:p>
      <w:pPr>
        <w:pStyle w:val="ListBullet"/>
      </w:pPr>
      <w:r>
        <w:t>India Briefing — US–India interim trade deal; TIGI — India–US tariff timeline</w:t>
      </w:r>
    </w:p>
    <w:p>
      <w:pPr>
        <w:pStyle w:val="ListBullet"/>
      </w:pPr>
      <w:r>
        <w:t>Copper Development Association — brass for European potable water (4MS); Normachem — RoHS 6(c)</w:t>
      </w:r>
    </w:p>
    <w:p>
      <w:pPr>
        <w:pStyle w:val="ListBullet"/>
      </w:pPr>
      <w:r>
        <w:t>Argus (QCO withdrawal); PIB (Labour Codes); Down To Earth and Lexology (EPR); Business Standard (JJM); PRS India (railways); Maritime Gateway (shipbuilding); TractorGuru; ChiniMandi; ORF and CNBC (India–EU FTA); Franchise India (PM-KUSUM); Foundry Channel; IEEFA (tin)</w:t>
      </w:r>
    </w:p>
    <w:p>
      <w:pPr>
        <w:pStyle w:val="ListBullet"/>
      </w:pPr>
      <w:r>
        <w:t>Bunting Bearings — C93200 load, speed and PV limits; BIS — IS 5290 and IS 903 manuals</w:t>
      </w:r>
    </w:p>
    <w:p>
      <w:pPr>
        <w:pStyle w:val="ListBullet"/>
      </w:pPr>
      <w:r>
        <w:t>KVIC/PMEGP — gun metal bushes; Conex; Bright Metals; RJ Metal Industries; Smith Metal; Ganesh Metal Industries; Kamaldeep Metals; Sri Sujay Engineering; Rathod Precision Bearings</w:t>
      </w:r>
    </w:p>
    <w:p>
      <w:pPr>
        <w:pStyle w:val="ListBullet"/>
      </w:pPr>
      <w:r>
        <w:t>Bajaj Alloys — Copper &amp; Brass Scrap Procurement Report, 4 Oct 2026 (internal; brass-scrap quotes ₹890–990/kg, copper spot US$ 14,347/t on 2 Oct)</w:t>
      </w:r>
    </w:p>
    <w:p>
      <w:pPr>
        <w:pStyle w:val="ListBullet"/>
      </w:pPr>
      <w:r>
        <w:t>New in Rev 6: MakeItFrom — EN CC490K, CC491K, CC492K, CC493K, CC494K datasheets (https://www.makeitfrom.com); KMM Bronze — EN 1982 alloy directory (https://kmmbronze.com/alloys-directory/); SteelNumber — CuSn alloys (http://www.steelnumber.com); Conex — LG2 / IS 318 LTB 2 (https://www.conexscrews.com); Mining.com and Metalcharts — LME 5 Oct 2026 cross-check</w:t>
      </w:r>
    </w:p>
    <w:p>
      <w:pPr>
        <w:spacing w:before="160"/>
      </w:pPr>
      <w:r>
        <w:rPr>
          <w:i/>
          <w:color w:val="5B6470"/>
          <w:sz w:val="18"/>
        </w:rPr>
        <w:t>Prepared for internal use at Bajaj Alloys. Metal prices move daily: refresh the LME inputs before using any rupee figure in a quote.</w:t>
      </w:r>
    </w:p>
    <w:sectPr w:rsidR="00FC693F" w:rsidRPr="0006063C" w:rsidSect="00034616">
      <w:headerReference w:type="default" r:id="rId9"/>
      <w:footerReference w:type="default" r:id="rId10"/>
      <w:pgSz w:w="11906" w:h="16838"/>
      <w:pgMar w:top="1134"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0"/>
        <w:sz w:val="17"/>
      </w:rPr>
      <w:t xml:space="preserve">Internal use · market data as of 1–2 Oct 2026 · page </w:t>
    </w:r>
    <w:r>
      <w:rPr>
        <w:color w:val="5B647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470"/>
        <w:sz w:val="17"/>
      </w:rPr>
      <w:t>Bajaj Alloys · EN 1982 Leaded Tin Bronzes · Revision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8F4A1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B2F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