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6F6D68"/>
          <w:spacing w:val="30"/>
          <w:sz w:val="18"/>
          <w:szCs w:val="18"/>
        </w:rPr>
        <w:t xml:space="preserve">PROCUREMENT REPORT  |  RAW MATERIAL SOURCING</w:t>
      </w:r>
    </w:p>
    <w:p>
      <w:pPr>
        <w:spacing w:after="80"/>
      </w:pPr>
      <w:r>
        <w:rPr>
          <w:rFonts w:ascii="Calibri" w:cs="Calibri" w:eastAsia="Calibri" w:hAnsi="Calibri"/>
          <w:b/>
          <w:bCs/>
          <w:color w:val="1B1A18"/>
          <w:sz w:val="60"/>
          <w:szCs w:val="60"/>
        </w:rPr>
        <w:t xml:space="preserve">Copper &amp; Brass Scrap Procurement</w:t>
      </w:r>
    </w:p>
    <w:p>
      <w:pPr>
        <w:spacing w:after="80"/>
      </w:pPr>
      <w:r>
        <w:rPr>
          <w:rFonts w:ascii="Calibri" w:cs="Calibri" w:eastAsia="Calibri" w:hAnsi="Calibri"/>
          <w:color w:val="8A4B2A"/>
          <w:sz w:val="28"/>
          <w:szCs w:val="28"/>
        </w:rPr>
        <w:t xml:space="preserve">Prepared for Bajaj Alloys, Bhiwadi</w:t>
      </w:r>
    </w:p>
    <w:p>
      <w:pPr>
        <w:pBdr>
          <w:bottom w:val="single" w:color="1B1A18" w:sz="12" w:space="6"/>
        </w:pBdr>
        <w:spacing w:after="200"/>
      </w:pPr>
      <w:r>
        <w:rPr>
          <w:rFonts w:ascii="Calibri" w:cs="Calibri" w:eastAsia="Calibri" w:hAnsi="Calibri"/>
          <w:color w:val="6F6D68"/>
          <w:sz w:val="18"/>
          <w:szCs w:val="18"/>
        </w:rPr>
        <w:t xml:space="preserve">Report date: 4 October 2026   |   Basis: public web sources (Section 8)   |   Status: draft for buyer review</w:t>
      </w:r>
    </w:p>
    <w:p>
      <w:pPr>
        <w:pStyle w:val="Heading1"/>
        <w:keepNext/>
        <w:spacing w:after="120" w:before="320"/>
      </w:pPr>
      <w:r>
        <w:rPr>
          <w:rFonts w:ascii="Calibri" w:cs="Calibri" w:eastAsia="Calibri" w:hAnsi="Calibri"/>
        </w:rPr>
        <w:t xml:space="preserve">Summary</w:t>
      </w:r>
    </w:p>
    <w:p>
      <w:pPr>
        <w:spacing w:after="100" w:line="276"/>
      </w:pPr>
      <w:r>
        <w:rPr>
          <w:rFonts w:ascii="Calibri" w:cs="Calibri" w:eastAsia="Calibri" w:hAnsi="Calibri"/>
        </w:rPr>
        <w:t xml:space="preserve">Copper and brass scrap is the main input covered in this report. Grades are traded under ISRI code names such as Barley, Candy, Birch, Cliff, Honey and Ebony, so every purchase order should quote the ISRI name and the copper percentage. Industrial sellers (PSUs, railways, large manufacturers) release scrap through e-auctions. Government lots run mainly on MSTC and IREPS. Private corporate lots run on platforms such as mjunction, Metaljunction and BidMyScrap.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rPr>
          <w:cantSplit/>
          <w:tblHeader/>
        </w:trPr>
        <w:tc>
          <w:tcPr>
            <w:tcW w:type="dxa" w:w="2300"/>
            <w:tcBorders>
              <w:top w:val="single" w:color="DCDAD4" w:sz="4"/>
              <w:left w:val="single" w:color="DCDAD4" w:sz="4"/>
              <w:bottom w:val="single" w:color="DCDAD4" w:sz="4"/>
              <w:right w:val="single" w:color="DCDAD4" w:sz="4"/>
            </w:tcBorders>
            <w:shd w:fill="EDE6DF" w:val="clear"/>
            <w:tcMar>
              <w:top w:type="dxa" w:w="60"/>
              <w:left w:type="dxa" w:w="90"/>
              <w:bottom w:type="dxa" w:w="60"/>
              <w:right w:type="dxa" w:w="90"/>
            </w:tcMar>
          </w:tcPr>
          <w:p>
            <w:r>
              <w:rPr>
                <w:rFonts w:ascii="Calibri" w:cs="Calibri" w:eastAsia="Calibri" w:hAnsi="Calibri"/>
                <w:b/>
                <w:bCs/>
                <w:sz w:val="18"/>
                <w:szCs w:val="18"/>
              </w:rPr>
              <w:t xml:space="preserve">Indicator</w:t>
            </w:r>
          </w:p>
        </w:tc>
        <w:tc>
          <w:tcPr>
            <w:tcW w:type="dxa" w:w="7338"/>
            <w:tcBorders>
              <w:top w:val="single" w:color="DCDAD4" w:sz="4"/>
              <w:left w:val="single" w:color="DCDAD4" w:sz="4"/>
              <w:bottom w:val="single" w:color="DCDAD4" w:sz="4"/>
              <w:right w:val="single" w:color="DCDAD4" w:sz="4"/>
            </w:tcBorders>
            <w:shd w:fill="EDE6DF" w:val="clear"/>
            <w:tcMar>
              <w:top w:type="dxa" w:w="60"/>
              <w:left w:type="dxa" w:w="90"/>
              <w:bottom w:type="dxa" w:w="60"/>
              <w:right w:type="dxa" w:w="90"/>
            </w:tcMar>
          </w:tcPr>
          <w:p>
            <w:r>
              <w:rPr>
                <w:rFonts w:ascii="Calibri" w:cs="Calibri" w:eastAsia="Calibri" w:hAnsi="Calibri"/>
                <w:b/>
                <w:bCs/>
                <w:sz w:val="18"/>
                <w:szCs w:val="18"/>
              </w:rPr>
              <w:t xml:space="preserve">Value (source)</w:t>
            </w:r>
          </w:p>
        </w:tc>
      </w:tr>
      <w:tr>
        <w:trPr>
          <w:cantSplit/>
        </w:trPr>
        <w:tc>
          <w:tcPr>
            <w:tcW w:type="dxa" w:w="2300"/>
            <w:tcBorders>
              <w:top w:val="single" w:color="DCDAD4" w:sz="4"/>
              <w:left w:val="single" w:color="DCDAD4" w:sz="4"/>
              <w:bottom w:val="single" w:color="DCDAD4" w:sz="4"/>
              <w:right w:val="single" w:color="DCDAD4" w:sz="4"/>
            </w:tcBorders>
            <w:tcMar>
              <w:top w:type="dxa" w:w="60"/>
              <w:left w:type="dxa" w:w="90"/>
              <w:bottom w:type="dxa" w:w="60"/>
              <w:right w:type="dxa" w:w="90"/>
            </w:tcMar>
          </w:tcPr>
          <w:p>
            <w:r>
              <w:rPr>
                <w:rFonts w:ascii="Calibri" w:cs="Calibri" w:eastAsia="Calibri" w:hAnsi="Calibri"/>
                <w:b w:val="false"/>
                <w:bCs w:val="false"/>
                <w:sz w:val="18"/>
                <w:szCs w:val="18"/>
              </w:rPr>
              <w:t xml:space="preserve">Copper price</w:t>
            </w:r>
          </w:p>
        </w:tc>
        <w:tc>
          <w:tcPr>
            <w:tcW w:type="dxa" w:w="7338"/>
            <w:tcBorders>
              <w:top w:val="single" w:color="DCDAD4" w:sz="4"/>
              <w:left w:val="single" w:color="DCDAD4" w:sz="4"/>
              <w:bottom w:val="single" w:color="DCDAD4" w:sz="4"/>
              <w:right w:val="single" w:color="DCDAD4" w:sz="4"/>
            </w:tcBorders>
            <w:tcMar>
              <w:top w:type="dxa" w:w="60"/>
              <w:left w:type="dxa" w:w="90"/>
              <w:bottom w:type="dxa" w:w="60"/>
              <w:right w:type="dxa" w:w="90"/>
            </w:tcMar>
          </w:tcPr>
          <w:p>
            <w:r>
              <w:rPr>
                <w:rFonts w:ascii="Calibri" w:cs="Calibri" w:eastAsia="Calibri" w:hAnsi="Calibri"/>
                <w:b w:val="false"/>
                <w:bCs w:val="false"/>
                <w:sz w:val="18"/>
                <w:szCs w:val="18"/>
              </w:rPr>
              <w:t xml:space="preserve">US$14,347 per tonne spot on 2 Oct 2026. LME 3-month close on 4 Oct 2026: US$14,258.50 per tonne (MetalCharts, Trading Economics).</w:t>
            </w:r>
          </w:p>
        </w:tc>
      </w:tr>
      <w:tr>
        <w:trPr>
          <w:cantSplit/>
        </w:trPr>
        <w:tc>
          <w:tcPr>
            <w:tcW w:type="dxa" w:w="2300"/>
            <w:tcBorders>
              <w:top w:val="single" w:color="DCDAD4" w:sz="4"/>
              <w:left w:val="single" w:color="DCDAD4" w:sz="4"/>
              <w:bottom w:val="single" w:color="DCDAD4" w:sz="4"/>
              <w:right w:val="single" w:color="DCDAD4" w:sz="4"/>
            </w:tcBorders>
            <w:tcMar>
              <w:top w:type="dxa" w:w="60"/>
              <w:left w:type="dxa" w:w="90"/>
              <w:bottom w:type="dxa" w:w="60"/>
              <w:right w:type="dxa" w:w="90"/>
            </w:tcMar>
          </w:tcPr>
          <w:p>
            <w:r>
              <w:rPr>
                <w:rFonts w:ascii="Calibri" w:cs="Calibri" w:eastAsia="Calibri" w:hAnsi="Calibri"/>
                <w:b w:val="false"/>
                <w:bCs w:val="false"/>
                <w:sz w:val="18"/>
                <w:szCs w:val="18"/>
              </w:rPr>
              <w:t xml:space="preserve">Import duty</w:t>
            </w:r>
          </w:p>
        </w:tc>
        <w:tc>
          <w:tcPr>
            <w:tcW w:type="dxa" w:w="7338"/>
            <w:tcBorders>
              <w:top w:val="single" w:color="DCDAD4" w:sz="4"/>
              <w:left w:val="single" w:color="DCDAD4" w:sz="4"/>
              <w:bottom w:val="single" w:color="DCDAD4" w:sz="4"/>
              <w:right w:val="single" w:color="DCDAD4" w:sz="4"/>
            </w:tcBorders>
            <w:tcMar>
              <w:top w:type="dxa" w:w="60"/>
              <w:left w:type="dxa" w:w="90"/>
              <w:bottom w:type="dxa" w:w="60"/>
              <w:right w:type="dxa" w:w="90"/>
            </w:tcMar>
          </w:tcPr>
          <w:p>
            <w:r>
              <w:rPr>
                <w:rFonts w:ascii="Calibri" w:cs="Calibri" w:eastAsia="Calibri" w:hAnsi="Calibri"/>
                <w:b w:val="false"/>
                <w:bCs w:val="false"/>
                <w:sz w:val="18"/>
                <w:szCs w:val="18"/>
              </w:rPr>
              <w:t xml:space="preserve">Basic customs duty on copper and brass scrap is nil since Union Budget 2025-26. IGST 18% still applies (Recycling Today, Patron Accounting).</w:t>
            </w:r>
          </w:p>
        </w:tc>
      </w:tr>
      <w:tr>
        <w:trPr>
          <w:cantSplit/>
        </w:trPr>
        <w:tc>
          <w:tcPr>
            <w:tcW w:type="dxa" w:w="2300"/>
            <w:tcBorders>
              <w:top w:val="single" w:color="DCDAD4" w:sz="4"/>
              <w:left w:val="single" w:color="DCDAD4" w:sz="4"/>
              <w:bottom w:val="single" w:color="DCDAD4" w:sz="4"/>
              <w:right w:val="single" w:color="DCDAD4" w:sz="4"/>
            </w:tcBorders>
            <w:tcMar>
              <w:top w:type="dxa" w:w="60"/>
              <w:left w:type="dxa" w:w="90"/>
              <w:bottom w:type="dxa" w:w="60"/>
              <w:right w:type="dxa" w:w="90"/>
            </w:tcMar>
          </w:tcPr>
          <w:p>
            <w:r>
              <w:rPr>
                <w:rFonts w:ascii="Calibri" w:cs="Calibri" w:eastAsia="Calibri" w:hAnsi="Calibri"/>
                <w:b w:val="false"/>
                <w:bCs w:val="false"/>
                <w:sz w:val="18"/>
                <w:szCs w:val="18"/>
              </w:rPr>
              <w:t xml:space="preserve">Railways scrap</w:t>
            </w:r>
          </w:p>
        </w:tc>
        <w:tc>
          <w:tcPr>
            <w:tcW w:type="dxa" w:w="7338"/>
            <w:tcBorders>
              <w:top w:val="single" w:color="DCDAD4" w:sz="4"/>
              <w:left w:val="single" w:color="DCDAD4" w:sz="4"/>
              <w:bottom w:val="single" w:color="DCDAD4" w:sz="4"/>
              <w:right w:val="single" w:color="DCDAD4" w:sz="4"/>
            </w:tcBorders>
            <w:tcMar>
              <w:top w:type="dxa" w:w="60"/>
              <w:left w:type="dxa" w:w="90"/>
              <w:bottom w:type="dxa" w:w="60"/>
              <w:right w:type="dxa" w:w="90"/>
            </w:tcMar>
          </w:tcPr>
          <w:p>
            <w:r>
              <w:rPr>
                <w:rFonts w:ascii="Calibri" w:cs="Calibri" w:eastAsia="Calibri" w:hAnsi="Calibri"/>
                <w:b w:val="false"/>
                <w:bCs w:val="false"/>
                <w:sz w:val="18"/>
                <w:szCs w:val="18"/>
              </w:rPr>
              <w:t xml:space="preserve">About Rs 3,500 to 4,000 crore of scrap sold each year, 100% through e-auction (Indian Railways).</w:t>
            </w:r>
          </w:p>
        </w:tc>
      </w:tr>
      <w:tr>
        <w:trPr>
          <w:cantSplit/>
        </w:trPr>
        <w:tc>
          <w:tcPr>
            <w:tcW w:type="dxa" w:w="2300"/>
            <w:tcBorders>
              <w:top w:val="single" w:color="DCDAD4" w:sz="4"/>
              <w:left w:val="single" w:color="DCDAD4" w:sz="4"/>
              <w:bottom w:val="single" w:color="DCDAD4" w:sz="4"/>
              <w:right w:val="single" w:color="DCDAD4" w:sz="4"/>
            </w:tcBorders>
            <w:tcMar>
              <w:top w:type="dxa" w:w="60"/>
              <w:left w:type="dxa" w:w="90"/>
              <w:bottom w:type="dxa" w:w="60"/>
              <w:right w:type="dxa" w:w="90"/>
            </w:tcMar>
          </w:tcPr>
          <w:p>
            <w:r>
              <w:rPr>
                <w:rFonts w:ascii="Calibri" w:cs="Calibri" w:eastAsia="Calibri" w:hAnsi="Calibri"/>
                <w:b w:val="false"/>
                <w:bCs w:val="false"/>
                <w:sz w:val="18"/>
                <w:szCs w:val="18"/>
              </w:rPr>
              <w:t xml:space="preserve">MSTC</w:t>
            </w:r>
          </w:p>
        </w:tc>
        <w:tc>
          <w:tcPr>
            <w:tcW w:type="dxa" w:w="7338"/>
            <w:tcBorders>
              <w:top w:val="single" w:color="DCDAD4" w:sz="4"/>
              <w:left w:val="single" w:color="DCDAD4" w:sz="4"/>
              <w:bottom w:val="single" w:color="DCDAD4" w:sz="4"/>
              <w:right w:val="single" w:color="DCDAD4" w:sz="4"/>
            </w:tcBorders>
            <w:tcMar>
              <w:top w:type="dxa" w:w="60"/>
              <w:left w:type="dxa" w:w="90"/>
              <w:bottom w:type="dxa" w:w="60"/>
              <w:right w:type="dxa" w:w="90"/>
            </w:tcMar>
          </w:tcPr>
          <w:p>
            <w:r>
              <w:rPr>
                <w:rFonts w:ascii="Calibri" w:cs="Calibri" w:eastAsia="Calibri" w:hAnsi="Calibri"/>
                <w:b w:val="false"/>
                <w:bCs w:val="false"/>
                <w:sz w:val="18"/>
                <w:szCs w:val="18"/>
              </w:rPr>
              <w:t xml:space="preserve">Scrap is about 50 to 52% of MSTC e-commerce revenue (MSTC FY2025-26 results coverage).</w:t>
            </w:r>
          </w:p>
        </w:tc>
      </w:tr>
    </w:tbl>
    <w:p>
      <w:pPr>
        <w:pBdr>
          <w:left w:val="single" w:color="C98500" w:sz="18" w:space="6"/>
        </w:pBdr>
        <w:shd w:fill="FBF0DC" w:val="clear"/>
        <w:spacing w:after="120" w:before="80"/>
        <w:ind w:left="140"/>
      </w:pPr>
      <w:r>
        <w:rPr>
          <w:rFonts w:ascii="Calibri" w:cs="Calibri" w:eastAsia="Calibri" w:hAnsi="Calibri"/>
          <w:b/>
          <w:bCs/>
          <w:color w:val="5C3D00"/>
        </w:rPr>
        <w:t xml:space="preserve">Read this first. </w:t>
      </w:r>
      <w:r>
        <w:rPr>
          <w:rFonts w:ascii="Calibri" w:cs="Calibri" w:eastAsia="Calibri" w:hAnsi="Calibri"/>
          <w:color w:val="5C3D00"/>
        </w:rPr>
        <w:t xml:space="preserve">Several data sites (scrap price portals, trade-statistics sites, MSTC and mjunction pages) could not be opened directly in the research environment, so figures come from search-result extracts of those sites, not from the full pages. Every number carries its source. Section 7 lists figures that conflict or need a check before a purchase decision. Nothing was found about Bajaj Alloys' own volumes or product mix, so no company-specific consumption figure is stated.</w:t>
      </w:r>
    </w:p>
    <w:p>
      <w:pPr>
        <w:pStyle w:val="Heading1"/>
        <w:keepNext/>
        <w:spacing w:after="120" w:before="320"/>
      </w:pPr>
      <w:r>
        <w:rPr>
          <w:rFonts w:ascii="Calibri" w:cs="Calibri" w:eastAsia="Calibri" w:hAnsi="Calibri"/>
        </w:rPr>
        <w:t xml:space="preserve">1. Copper and brass scrap grades (ISRI)</w:t>
      </w:r>
    </w:p>
    <w:p>
      <w:pPr>
        <w:spacing w:after="100" w:line="276"/>
      </w:pPr>
      <w:r>
        <w:rPr>
          <w:rFonts w:ascii="Calibri" w:cs="Calibri" w:eastAsia="Calibri" w:hAnsi="Calibri"/>
        </w:rPr>
        <w:t xml:space="preserve">ISRI (the Institute of Scrap Recycling Industries, now ReMA) publishes the Scrap Specifications Circular. It gives every grade a code word and a written specification, and it is the common language of international scrap trade. For a contract, the current Circular is the authority.</w:t>
      </w:r>
    </w:p>
    <w:p>
      <w:pPr>
        <w:keepNext/>
        <w:spacing w:after="60" w:before="80"/>
        <w:jc w:val="center"/>
      </w:pPr>
      <w:r>
        <w:drawing>
          <wp:inline distT="0" distB="0" distL="0" distR="0">
            <wp:extent cx="5334000" cy="2781300"/>
            <wp:effectExtent t="0" r="0" b="0" l="0"/>
            <wp:docPr id="1" name="Copper content by ISRI grade" descr="Copper content by ISRI grade" title="Copper content by ISRI gra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2781300"/>
                    </a:xfrm>
                    <a:prstGeom prst="rect">
                      <a:avLst/>
                    </a:prstGeom>
                  </pic:spPr>
                </pic:pic>
              </a:graphicData>
            </a:graphic>
          </wp:inline>
        </w:drawing>
      </w:r>
    </w:p>
    <w:p>
      <w:pPr>
        <w:spacing w:after="160"/>
        <w:jc w:val="center"/>
      </w:pPr>
      <w:r>
        <w:rPr>
          <w:rFonts w:ascii="Calibri" w:cs="Calibri" w:eastAsia="Calibri" w:hAnsi="Calibri"/>
          <w:i/>
          <w:iCs/>
          <w:color w:val="6F6D68"/>
          <w:sz w:val="17"/>
          <w:szCs w:val="17"/>
        </w:rPr>
        <w:t xml:space="preserve">Figure 1. Copper content by ISRI grade. Axis starts at 85%.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2300"/>
        <w:gridCol w:w="6138"/>
      </w:tblGrid>
      <w:tr>
        <w:trPr>
          <w:cantSplit/>
          <w:tblHeader/>
        </w:trPr>
        <w:tc>
          <w:tcPr>
            <w:tcW w:type="dxa" w:w="1200"/>
            <w:tcBorders>
              <w:top w:val="single" w:color="DCDAD4" w:sz="4"/>
              <w:left w:val="single" w:color="DCDAD4" w:sz="4"/>
              <w:bottom w:val="single" w:color="DCDAD4" w:sz="4"/>
              <w:right w:val="single" w:color="DCDAD4" w:sz="4"/>
            </w:tcBorders>
            <w:shd w:fill="EDE6DF" w:val="clear"/>
            <w:tcMar>
              <w:top w:type="dxa" w:w="60"/>
              <w:left w:type="dxa" w:w="90"/>
              <w:bottom w:type="dxa" w:w="60"/>
              <w:right w:type="dxa" w:w="90"/>
            </w:tcMar>
          </w:tcPr>
          <w:p>
            <w:r>
              <w:rPr>
                <w:rFonts w:ascii="Calibri" w:cs="Calibri" w:eastAsia="Calibri" w:hAnsi="Calibri"/>
                <w:b/>
                <w:bCs/>
                <w:sz w:val="18"/>
                <w:szCs w:val="18"/>
              </w:rPr>
              <w:t xml:space="preserve">ISRI code</w:t>
            </w:r>
          </w:p>
        </w:tc>
        <w:tc>
          <w:tcPr>
            <w:tcW w:type="dxa" w:w="2300"/>
            <w:tcBorders>
              <w:top w:val="single" w:color="DCDAD4" w:sz="4"/>
              <w:left w:val="single" w:color="DCDAD4" w:sz="4"/>
              <w:bottom w:val="single" w:color="DCDAD4" w:sz="4"/>
              <w:right w:val="single" w:color="DCDAD4" w:sz="4"/>
            </w:tcBorders>
            <w:shd w:fill="EDE6DF" w:val="clear"/>
            <w:tcMar>
              <w:top w:type="dxa" w:w="60"/>
              <w:left w:type="dxa" w:w="90"/>
              <w:bottom w:type="dxa" w:w="60"/>
              <w:right w:type="dxa" w:w="90"/>
            </w:tcMar>
          </w:tcPr>
          <w:p>
            <w:r>
              <w:rPr>
                <w:rFonts w:ascii="Calibri" w:cs="Calibri" w:eastAsia="Calibri" w:hAnsi="Calibri"/>
                <w:b/>
                <w:bCs/>
                <w:sz w:val="18"/>
                <w:szCs w:val="18"/>
              </w:rPr>
              <w:t xml:space="preserve">Material</w:t>
            </w:r>
          </w:p>
        </w:tc>
        <w:tc>
          <w:tcPr>
            <w:tcW w:type="dxa" w:w="6138"/>
            <w:tcBorders>
              <w:top w:val="single" w:color="DCDAD4" w:sz="4"/>
              <w:left w:val="single" w:color="DCDAD4" w:sz="4"/>
              <w:bottom w:val="single" w:color="DCDAD4" w:sz="4"/>
              <w:right w:val="single" w:color="DCDAD4" w:sz="4"/>
            </w:tcBorders>
            <w:shd w:fill="EDE6DF" w:val="clear"/>
            <w:tcMar>
              <w:top w:type="dxa" w:w="60"/>
              <w:left w:type="dxa" w:w="90"/>
              <w:bottom w:type="dxa" w:w="60"/>
              <w:right w:type="dxa" w:w="90"/>
            </w:tcMar>
          </w:tcPr>
          <w:p>
            <w:r>
              <w:rPr>
                <w:rFonts w:ascii="Calibri" w:cs="Calibri" w:eastAsia="Calibri" w:hAnsi="Calibri"/>
                <w:b/>
                <w:bCs/>
                <w:sz w:val="18"/>
                <w:szCs w:val="18"/>
              </w:rPr>
              <w:t xml:space="preserve">Specification in short</w:t>
            </w:r>
          </w:p>
        </w:tc>
      </w:tr>
      <w:tr>
        <w:trPr>
          <w:cantSplit/>
        </w:trPr>
        <w:tc>
          <w:tcPr>
            <w:tcW w:type="dxa" w:w="1200"/>
            <w:tcBorders>
              <w:top w:val="single" w:color="DCDAD4" w:sz="4"/>
              <w:left w:val="single" w:color="DCDAD4" w:sz="4"/>
              <w:bottom w:val="single" w:color="DCDAD4" w:sz="4"/>
              <w:right w:val="single" w:color="DCDAD4" w:sz="4"/>
            </w:tcBorders>
            <w:tcMar>
              <w:top w:type="dxa" w:w="60"/>
              <w:left w:type="dxa" w:w="90"/>
              <w:bottom w:type="dxa" w:w="60"/>
              <w:right w:type="dxa" w:w="90"/>
            </w:tcMar>
          </w:tcPr>
          <w:p>
            <w:r>
              <w:rPr>
                <w:rFonts w:ascii="Calibri" w:cs="Calibri" w:eastAsia="Calibri" w:hAnsi="Calibri"/>
                <w:b w:val="false"/>
                <w:bCs w:val="false"/>
                <w:sz w:val="18"/>
                <w:szCs w:val="18"/>
              </w:rPr>
              <w:t xml:space="preserve">Barley</w:t>
            </w:r>
          </w:p>
        </w:tc>
        <w:tc>
          <w:tcPr>
            <w:tcW w:type="dxa" w:w="2300"/>
            <w:tcBorders>
              <w:top w:val="single" w:color="DCDAD4" w:sz="4"/>
              <w:left w:val="single" w:color="DCDAD4" w:sz="4"/>
              <w:bottom w:val="single" w:color="DCDAD4" w:sz="4"/>
              <w:right w:val="single" w:color="DCDAD4" w:sz="4"/>
            </w:tcBorders>
            <w:tcMar>
              <w:top w:type="dxa" w:w="60"/>
              <w:left w:type="dxa" w:w="90"/>
              <w:bottom w:type="dxa" w:w="60"/>
              <w:right w:type="dxa" w:w="90"/>
            </w:tcMar>
          </w:tcPr>
          <w:p>
            <w:r>
              <w:rPr>
                <w:rFonts w:ascii="Calibri" w:cs="Calibri" w:eastAsia="Calibri" w:hAnsi="Calibri"/>
                <w:b w:val="false"/>
                <w:bCs w:val="false"/>
                <w:sz w:val="18"/>
                <w:szCs w:val="18"/>
              </w:rPr>
              <w:t xml:space="preserve">No. 1 bare bright copper wire</w:t>
            </w:r>
          </w:p>
        </w:tc>
        <w:tc>
          <w:tcPr>
            <w:tcW w:type="dxa" w:w="6138"/>
            <w:tcBorders>
              <w:top w:val="single" w:color="DCDAD4" w:sz="4"/>
              <w:left w:val="single" w:color="DCDAD4" w:sz="4"/>
              <w:bottom w:val="single" w:color="DCDAD4" w:sz="4"/>
              <w:right w:val="single" w:color="DCDAD4" w:sz="4"/>
            </w:tcBorders>
            <w:tcMar>
              <w:top w:type="dxa" w:w="60"/>
              <w:left w:type="dxa" w:w="90"/>
              <w:bottom w:type="dxa" w:w="60"/>
              <w:right w:type="dxa" w:w="90"/>
            </w:tcMar>
          </w:tcPr>
          <w:p>
            <w:r>
              <w:rPr>
                <w:rFonts w:ascii="Calibri" w:cs="Calibri" w:eastAsia="Calibri" w:hAnsi="Calibri"/>
                <w:b w:val="false"/>
                <w:bCs w:val="false"/>
                <w:sz w:val="18"/>
                <w:szCs w:val="18"/>
              </w:rPr>
              <w:t xml:space="preserve">Bare, uncoated, unalloyed copper wire. 99%+ Cu. Highest-value wire grade.</w:t>
            </w:r>
          </w:p>
        </w:tc>
      </w:tr>
      <w:tr>
        <w:trPr>
          <w:cantSplit/>
        </w:trPr>
        <w:tc>
          <w:tcPr>
            <w:tcW w:type="dxa" w:w="1200"/>
            <w:tcBorders>
              <w:top w:val="single" w:color="DCDAD4" w:sz="4"/>
              <w:left w:val="single" w:color="DCDAD4" w:sz="4"/>
              <w:bottom w:val="single" w:color="DCDAD4" w:sz="4"/>
              <w:right w:val="single" w:color="DCDAD4" w:sz="4"/>
            </w:tcBorders>
            <w:tcMar>
              <w:top w:type="dxa" w:w="60"/>
              <w:left w:type="dxa" w:w="90"/>
              <w:bottom w:type="dxa" w:w="60"/>
              <w:right w:type="dxa" w:w="90"/>
            </w:tcMar>
          </w:tcPr>
          <w:p>
            <w:r>
              <w:rPr>
                <w:rFonts w:ascii="Calibri" w:cs="Calibri" w:eastAsia="Calibri" w:hAnsi="Calibri"/>
                <w:b w:val="false"/>
                <w:bCs w:val="false"/>
                <w:sz w:val="18"/>
                <w:szCs w:val="18"/>
              </w:rPr>
              <w:t xml:space="preserve">Berry</w:t>
            </w:r>
          </w:p>
        </w:tc>
        <w:tc>
          <w:tcPr>
            <w:tcW w:type="dxa" w:w="2300"/>
            <w:tcBorders>
              <w:top w:val="single" w:color="DCDAD4" w:sz="4"/>
              <w:left w:val="single" w:color="DCDAD4" w:sz="4"/>
              <w:bottom w:val="single" w:color="DCDAD4" w:sz="4"/>
              <w:right w:val="single" w:color="DCDAD4" w:sz="4"/>
            </w:tcBorders>
            <w:tcMar>
              <w:top w:type="dxa" w:w="60"/>
              <w:left w:type="dxa" w:w="90"/>
              <w:bottom w:type="dxa" w:w="60"/>
              <w:right w:type="dxa" w:w="90"/>
            </w:tcMar>
          </w:tcPr>
          <w:p>
            <w:r>
              <w:rPr>
                <w:rFonts w:ascii="Calibri" w:cs="Calibri" w:eastAsia="Calibri" w:hAnsi="Calibri"/>
                <w:b w:val="false"/>
                <w:bCs w:val="false"/>
                <w:sz w:val="18"/>
                <w:szCs w:val="18"/>
              </w:rPr>
              <w:t xml:space="preserve">No. 1 copper</w:t>
            </w:r>
          </w:p>
        </w:tc>
        <w:tc>
          <w:tcPr>
            <w:tcW w:type="dxa" w:w="6138"/>
            <w:tcBorders>
              <w:top w:val="single" w:color="DCDAD4" w:sz="4"/>
              <w:left w:val="single" w:color="DCDAD4" w:sz="4"/>
              <w:bottom w:val="single" w:color="DCDAD4" w:sz="4"/>
              <w:right w:val="single" w:color="DCDAD4" w:sz="4"/>
            </w:tcBorders>
            <w:tcMar>
              <w:top w:type="dxa" w:w="60"/>
              <w:left w:type="dxa" w:w="90"/>
              <w:bottom w:type="dxa" w:w="60"/>
              <w:right w:type="dxa" w:w="90"/>
            </w:tcMar>
          </w:tcPr>
          <w:p>
            <w:r>
              <w:rPr>
                <w:rFonts w:ascii="Calibri" w:cs="Calibri" w:eastAsia="Calibri" w:hAnsi="Calibri"/>
                <w:b w:val="false"/>
                <w:bCs w:val="false"/>
                <w:sz w:val="18"/>
                <w:szCs w:val="18"/>
              </w:rPr>
              <w:t xml:space="preserve">About 99% Cu. Grouped with Candy in the source.</w:t>
            </w:r>
          </w:p>
        </w:tc>
      </w:tr>
      <w:tr>
        <w:trPr>
          <w:cantSplit/>
        </w:trPr>
        <w:tc>
          <w:tcPr>
            <w:tcW w:type="dxa" w:w="1200"/>
            <w:tcBorders>
              <w:top w:val="single" w:color="DCDAD4" w:sz="4"/>
              <w:left w:val="single" w:color="DCDAD4" w:sz="4"/>
              <w:bottom w:val="single" w:color="DCDAD4" w:sz="4"/>
              <w:right w:val="single" w:color="DCDAD4" w:sz="4"/>
            </w:tcBorders>
            <w:tcMar>
              <w:top w:type="dxa" w:w="60"/>
              <w:left w:type="dxa" w:w="90"/>
              <w:bottom w:type="dxa" w:w="60"/>
              <w:right w:type="dxa" w:w="90"/>
            </w:tcMar>
          </w:tcPr>
          <w:p>
            <w:r>
              <w:rPr>
                <w:rFonts w:ascii="Calibri" w:cs="Calibri" w:eastAsia="Calibri" w:hAnsi="Calibri"/>
                <w:b w:val="false"/>
                <w:bCs w:val="false"/>
                <w:sz w:val="18"/>
                <w:szCs w:val="18"/>
              </w:rPr>
              <w:t xml:space="preserve">Candy</w:t>
            </w:r>
          </w:p>
        </w:tc>
        <w:tc>
          <w:tcPr>
            <w:tcW w:type="dxa" w:w="2300"/>
            <w:tcBorders>
              <w:top w:val="single" w:color="DCDAD4" w:sz="4"/>
              <w:left w:val="single" w:color="DCDAD4" w:sz="4"/>
              <w:bottom w:val="single" w:color="DCDAD4" w:sz="4"/>
              <w:right w:val="single" w:color="DCDAD4" w:sz="4"/>
            </w:tcBorders>
            <w:tcMar>
              <w:top w:type="dxa" w:w="60"/>
              <w:left w:type="dxa" w:w="90"/>
              <w:bottom w:type="dxa" w:w="60"/>
              <w:right w:type="dxa" w:w="90"/>
            </w:tcMar>
          </w:tcPr>
          <w:p>
            <w:r>
              <w:rPr>
                <w:rFonts w:ascii="Calibri" w:cs="Calibri" w:eastAsia="Calibri" w:hAnsi="Calibri"/>
                <w:b w:val="false"/>
                <w:bCs w:val="false"/>
                <w:sz w:val="18"/>
                <w:szCs w:val="18"/>
              </w:rPr>
              <w:t xml:space="preserve">No. 1 heavy copper</w:t>
            </w:r>
          </w:p>
        </w:tc>
        <w:tc>
          <w:tcPr>
            <w:tcW w:type="dxa" w:w="6138"/>
            <w:tcBorders>
              <w:top w:val="single" w:color="DCDAD4" w:sz="4"/>
              <w:left w:val="single" w:color="DCDAD4" w:sz="4"/>
              <w:bottom w:val="single" w:color="DCDAD4" w:sz="4"/>
              <w:right w:val="single" w:color="DCDAD4" w:sz="4"/>
            </w:tcBorders>
            <w:tcMar>
              <w:top w:type="dxa" w:w="60"/>
              <w:left w:type="dxa" w:w="90"/>
              <w:bottom w:type="dxa" w:w="60"/>
              <w:right w:type="dxa" w:w="90"/>
            </w:tcMar>
          </w:tcPr>
          <w:p>
            <w:r>
              <w:rPr>
                <w:rFonts w:ascii="Calibri" w:cs="Calibri" w:eastAsia="Calibri" w:hAnsi="Calibri"/>
                <w:b w:val="false"/>
                <w:bCs w:val="false"/>
                <w:sz w:val="18"/>
                <w:szCs w:val="18"/>
              </w:rPr>
              <w:t xml:space="preserve">Clean, unalloyed, uncoated clippings, punchings, bus bars, commutator segments and wire at least 1/16 inch thick. No brittle burnt wire. May include clean copper tubing.</w:t>
            </w:r>
          </w:p>
        </w:tc>
      </w:tr>
      <w:tr>
        <w:trPr>
          <w:cantSplit/>
        </w:trPr>
        <w:tc>
          <w:tcPr>
            <w:tcW w:type="dxa" w:w="1200"/>
            <w:tcBorders>
              <w:top w:val="single" w:color="DCDAD4" w:sz="4"/>
              <w:left w:val="single" w:color="DCDAD4" w:sz="4"/>
              <w:bottom w:val="single" w:color="DCDAD4" w:sz="4"/>
              <w:right w:val="single" w:color="DCDAD4" w:sz="4"/>
            </w:tcBorders>
            <w:tcMar>
              <w:top w:type="dxa" w:w="60"/>
              <w:left w:type="dxa" w:w="90"/>
              <w:bottom w:type="dxa" w:w="60"/>
              <w:right w:type="dxa" w:w="90"/>
            </w:tcMar>
          </w:tcPr>
          <w:p>
            <w:r>
              <w:rPr>
                <w:rFonts w:ascii="Calibri" w:cs="Calibri" w:eastAsia="Calibri" w:hAnsi="Calibri"/>
                <w:b w:val="false"/>
                <w:bCs w:val="false"/>
                <w:sz w:val="18"/>
                <w:szCs w:val="18"/>
              </w:rPr>
              <w:t xml:space="preserve">Cobra</w:t>
            </w:r>
          </w:p>
        </w:tc>
        <w:tc>
          <w:tcPr>
            <w:tcW w:type="dxa" w:w="2300"/>
            <w:tcBorders>
              <w:top w:val="single" w:color="DCDAD4" w:sz="4"/>
              <w:left w:val="single" w:color="DCDAD4" w:sz="4"/>
              <w:bottom w:val="single" w:color="DCDAD4" w:sz="4"/>
              <w:right w:val="single" w:color="DCDAD4" w:sz="4"/>
            </w:tcBorders>
            <w:tcMar>
              <w:top w:type="dxa" w:w="60"/>
              <w:left w:type="dxa" w:w="90"/>
              <w:bottom w:type="dxa" w:w="60"/>
              <w:right w:type="dxa" w:w="90"/>
            </w:tcMar>
          </w:tcPr>
          <w:p>
            <w:r>
              <w:rPr>
                <w:rFonts w:ascii="Calibri" w:cs="Calibri" w:eastAsia="Calibri" w:hAnsi="Calibri"/>
                <w:b w:val="false"/>
                <w:bCs w:val="false"/>
                <w:sz w:val="18"/>
                <w:szCs w:val="18"/>
              </w:rPr>
              <w:t xml:space="preserve">No. 2 copper wire nodules</w:t>
            </w:r>
          </w:p>
        </w:tc>
        <w:tc>
          <w:tcPr>
            <w:tcW w:type="dxa" w:w="6138"/>
            <w:tcBorders>
              <w:top w:val="single" w:color="DCDAD4" w:sz="4"/>
              <w:left w:val="single" w:color="DCDAD4" w:sz="4"/>
              <w:bottom w:val="single" w:color="DCDAD4" w:sz="4"/>
              <w:right w:val="single" w:color="DCDAD4" w:sz="4"/>
            </w:tcBorders>
            <w:tcMar>
              <w:top w:type="dxa" w:w="60"/>
              <w:left w:type="dxa" w:w="90"/>
              <w:bottom w:type="dxa" w:w="60"/>
              <w:right w:type="dxa" w:w="90"/>
            </w:tcMar>
          </w:tcPr>
          <w:p>
            <w:r>
              <w:rPr>
                <w:rFonts w:ascii="Calibri" w:cs="Calibri" w:eastAsia="Calibri" w:hAnsi="Calibri"/>
                <w:b w:val="false"/>
                <w:bCs w:val="false"/>
                <w:sz w:val="18"/>
                <w:szCs w:val="18"/>
              </w:rPr>
              <w:t xml:space="preserve">Unalloyed No. 2 wire scrap nodules, 97% Cu minimum.</w:t>
            </w:r>
          </w:p>
        </w:tc>
      </w:tr>
      <w:tr>
        <w:trPr>
          <w:cantSplit/>
        </w:trPr>
        <w:tc>
          <w:tcPr>
            <w:tcW w:type="dxa" w:w="1200"/>
            <w:tcBorders>
              <w:top w:val="single" w:color="DCDAD4" w:sz="4"/>
              <w:left w:val="single" w:color="DCDAD4" w:sz="4"/>
              <w:bottom w:val="single" w:color="DCDAD4" w:sz="4"/>
              <w:right w:val="single" w:color="DCDAD4" w:sz="4"/>
            </w:tcBorders>
            <w:tcMar>
              <w:top w:type="dxa" w:w="60"/>
              <w:left w:type="dxa" w:w="90"/>
              <w:bottom w:type="dxa" w:w="60"/>
              <w:right w:type="dxa" w:w="90"/>
            </w:tcMar>
          </w:tcPr>
          <w:p>
            <w:r>
              <w:rPr>
                <w:rFonts w:ascii="Calibri" w:cs="Calibri" w:eastAsia="Calibri" w:hAnsi="Calibri"/>
                <w:b w:val="false"/>
                <w:bCs w:val="false"/>
                <w:sz w:val="18"/>
                <w:szCs w:val="18"/>
              </w:rPr>
              <w:t xml:space="preserve">Birch</w:t>
            </w:r>
          </w:p>
        </w:tc>
        <w:tc>
          <w:tcPr>
            <w:tcW w:type="dxa" w:w="2300"/>
            <w:tcBorders>
              <w:top w:val="single" w:color="DCDAD4" w:sz="4"/>
              <w:left w:val="single" w:color="DCDAD4" w:sz="4"/>
              <w:bottom w:val="single" w:color="DCDAD4" w:sz="4"/>
              <w:right w:val="single" w:color="DCDAD4" w:sz="4"/>
            </w:tcBorders>
            <w:tcMar>
              <w:top w:type="dxa" w:w="60"/>
              <w:left w:type="dxa" w:w="90"/>
              <w:bottom w:type="dxa" w:w="60"/>
              <w:right w:type="dxa" w:w="90"/>
            </w:tcMar>
          </w:tcPr>
          <w:p>
            <w:r>
              <w:rPr>
                <w:rFonts w:ascii="Calibri" w:cs="Calibri" w:eastAsia="Calibri" w:hAnsi="Calibri"/>
                <w:b w:val="false"/>
                <w:bCs w:val="false"/>
                <w:sz w:val="18"/>
                <w:szCs w:val="18"/>
              </w:rPr>
              <w:t xml:space="preserve">No. 2 copper wire</w:t>
            </w:r>
          </w:p>
        </w:tc>
        <w:tc>
          <w:tcPr>
            <w:tcW w:type="dxa" w:w="6138"/>
            <w:tcBorders>
              <w:top w:val="single" w:color="DCDAD4" w:sz="4"/>
              <w:left w:val="single" w:color="DCDAD4" w:sz="4"/>
              <w:bottom w:val="single" w:color="DCDAD4" w:sz="4"/>
              <w:right w:val="single" w:color="DCDAD4" w:sz="4"/>
            </w:tcBorders>
            <w:tcMar>
              <w:top w:type="dxa" w:w="60"/>
              <w:left w:type="dxa" w:w="90"/>
              <w:bottom w:type="dxa" w:w="60"/>
              <w:right w:type="dxa" w:w="90"/>
            </w:tcMar>
          </w:tcPr>
          <w:p>
            <w:r>
              <w:rPr>
                <w:rFonts w:ascii="Calibri" w:cs="Calibri" w:eastAsia="Calibri" w:hAnsi="Calibri"/>
                <w:b w:val="false"/>
                <w:bCs w:val="false"/>
                <w:sz w:val="18"/>
                <w:szCs w:val="18"/>
              </w:rPr>
              <w:t xml:space="preserve">Miscellaneous unalloyed copper wire. Nominal 96% Cu, 94% minimum by electrolytic assay.</w:t>
            </w:r>
          </w:p>
        </w:tc>
      </w:tr>
      <w:tr>
        <w:trPr>
          <w:cantSplit/>
        </w:trPr>
        <w:tc>
          <w:tcPr>
            <w:tcW w:type="dxa" w:w="1200"/>
            <w:tcBorders>
              <w:top w:val="single" w:color="DCDAD4" w:sz="4"/>
              <w:left w:val="single" w:color="DCDAD4" w:sz="4"/>
              <w:bottom w:val="single" w:color="DCDAD4" w:sz="4"/>
              <w:right w:val="single" w:color="DCDAD4" w:sz="4"/>
            </w:tcBorders>
            <w:tcMar>
              <w:top w:type="dxa" w:w="60"/>
              <w:left w:type="dxa" w:w="90"/>
              <w:bottom w:type="dxa" w:w="60"/>
              <w:right w:type="dxa" w:w="90"/>
            </w:tcMar>
          </w:tcPr>
          <w:p>
            <w:r>
              <w:rPr>
                <w:rFonts w:ascii="Calibri" w:cs="Calibri" w:eastAsia="Calibri" w:hAnsi="Calibri"/>
                <w:b w:val="false"/>
                <w:bCs w:val="false"/>
                <w:sz w:val="18"/>
                <w:szCs w:val="18"/>
              </w:rPr>
              <w:t xml:space="preserve">Cliff</w:t>
            </w:r>
          </w:p>
        </w:tc>
        <w:tc>
          <w:tcPr>
            <w:tcW w:type="dxa" w:w="2300"/>
            <w:tcBorders>
              <w:top w:val="single" w:color="DCDAD4" w:sz="4"/>
              <w:left w:val="single" w:color="DCDAD4" w:sz="4"/>
              <w:bottom w:val="single" w:color="DCDAD4" w:sz="4"/>
              <w:right w:val="single" w:color="DCDAD4" w:sz="4"/>
            </w:tcBorders>
            <w:tcMar>
              <w:top w:type="dxa" w:w="60"/>
              <w:left w:type="dxa" w:w="90"/>
              <w:bottom w:type="dxa" w:w="60"/>
              <w:right w:type="dxa" w:w="90"/>
            </w:tcMar>
          </w:tcPr>
          <w:p>
            <w:r>
              <w:rPr>
                <w:rFonts w:ascii="Calibri" w:cs="Calibri" w:eastAsia="Calibri" w:hAnsi="Calibri"/>
                <w:b w:val="false"/>
                <w:bCs w:val="false"/>
                <w:sz w:val="18"/>
                <w:szCs w:val="18"/>
              </w:rPr>
              <w:t xml:space="preserve">No. 2 copper</w:t>
            </w:r>
          </w:p>
        </w:tc>
        <w:tc>
          <w:tcPr>
            <w:tcW w:type="dxa" w:w="6138"/>
            <w:tcBorders>
              <w:top w:val="single" w:color="DCDAD4" w:sz="4"/>
              <w:left w:val="single" w:color="DCDAD4" w:sz="4"/>
              <w:bottom w:val="single" w:color="DCDAD4" w:sz="4"/>
              <w:right w:val="single" w:color="DCDAD4" w:sz="4"/>
            </w:tcBorders>
            <w:tcMar>
              <w:top w:type="dxa" w:w="60"/>
              <w:left w:type="dxa" w:w="90"/>
              <w:bottom w:type="dxa" w:w="60"/>
              <w:right w:type="dxa" w:w="90"/>
            </w:tcMar>
          </w:tcPr>
          <w:p>
            <w:r>
              <w:rPr>
                <w:rFonts w:ascii="Calibri" w:cs="Calibri" w:eastAsia="Calibri" w:hAnsi="Calibri"/>
                <w:b w:val="false"/>
                <w:bCs w:val="false"/>
                <w:sz w:val="18"/>
                <w:szCs w:val="18"/>
              </w:rPr>
              <w:t xml:space="preserve">Miscellaneous unalloyed copper scrap. Nominal 96% Cu, 94% minimum by electrolytic assay.</w:t>
            </w:r>
          </w:p>
        </w:tc>
      </w:tr>
      <w:tr>
        <w:trPr>
          <w:cantSplit/>
        </w:trPr>
        <w:tc>
          <w:tcPr>
            <w:tcW w:type="dxa" w:w="1200"/>
            <w:tcBorders>
              <w:top w:val="single" w:color="DCDAD4" w:sz="4"/>
              <w:left w:val="single" w:color="DCDAD4" w:sz="4"/>
              <w:bottom w:val="single" w:color="DCDAD4" w:sz="4"/>
              <w:right w:val="single" w:color="DCDAD4" w:sz="4"/>
            </w:tcBorders>
            <w:tcMar>
              <w:top w:type="dxa" w:w="60"/>
              <w:left w:type="dxa" w:w="90"/>
              <w:bottom w:type="dxa" w:w="60"/>
              <w:right w:type="dxa" w:w="90"/>
            </w:tcMar>
          </w:tcPr>
          <w:p>
            <w:r>
              <w:rPr>
                <w:rFonts w:ascii="Calibri" w:cs="Calibri" w:eastAsia="Calibri" w:hAnsi="Calibri"/>
                <w:b w:val="false"/>
                <w:bCs w:val="false"/>
                <w:sz w:val="18"/>
                <w:szCs w:val="18"/>
              </w:rPr>
              <w:t xml:space="preserve">Dream</w:t>
            </w:r>
          </w:p>
        </w:tc>
        <w:tc>
          <w:tcPr>
            <w:tcW w:type="dxa" w:w="2300"/>
            <w:tcBorders>
              <w:top w:val="single" w:color="DCDAD4" w:sz="4"/>
              <w:left w:val="single" w:color="DCDAD4" w:sz="4"/>
              <w:bottom w:val="single" w:color="DCDAD4" w:sz="4"/>
              <w:right w:val="single" w:color="DCDAD4" w:sz="4"/>
            </w:tcBorders>
            <w:tcMar>
              <w:top w:type="dxa" w:w="60"/>
              <w:left w:type="dxa" w:w="90"/>
              <w:bottom w:type="dxa" w:w="60"/>
              <w:right w:type="dxa" w:w="90"/>
            </w:tcMar>
          </w:tcPr>
          <w:p>
            <w:r>
              <w:rPr>
                <w:rFonts w:ascii="Calibri" w:cs="Calibri" w:eastAsia="Calibri" w:hAnsi="Calibri"/>
                <w:b w:val="false"/>
                <w:bCs w:val="false"/>
                <w:sz w:val="18"/>
                <w:szCs w:val="18"/>
              </w:rPr>
              <w:t xml:space="preserve">Light copper</w:t>
            </w:r>
          </w:p>
        </w:tc>
        <w:tc>
          <w:tcPr>
            <w:tcW w:type="dxa" w:w="6138"/>
            <w:tcBorders>
              <w:top w:val="single" w:color="DCDAD4" w:sz="4"/>
              <w:left w:val="single" w:color="DCDAD4" w:sz="4"/>
              <w:bottom w:val="single" w:color="DCDAD4" w:sz="4"/>
              <w:right w:val="single" w:color="DCDAD4" w:sz="4"/>
            </w:tcBorders>
            <w:tcMar>
              <w:top w:type="dxa" w:w="60"/>
              <w:left w:type="dxa" w:w="90"/>
              <w:bottom w:type="dxa" w:w="60"/>
              <w:right w:type="dxa" w:w="90"/>
            </w:tcMar>
          </w:tcPr>
          <w:p>
            <w:r>
              <w:rPr>
                <w:rFonts w:ascii="Calibri" w:cs="Calibri" w:eastAsia="Calibri" w:hAnsi="Calibri"/>
                <w:b w:val="false"/>
                <w:bCs w:val="false"/>
                <w:sz w:val="18"/>
                <w:szCs w:val="18"/>
              </w:rPr>
              <w:t xml:space="preserve">Sheet copper, gutters and similar. Nominal 92% Cu, 88% minimum by electrolytic assay.</w:t>
            </w:r>
          </w:p>
        </w:tc>
      </w:tr>
      <w:tr>
        <w:trPr>
          <w:cantSplit/>
        </w:trPr>
        <w:tc>
          <w:tcPr>
            <w:tcW w:type="dxa" w:w="1200"/>
            <w:tcBorders>
              <w:top w:val="single" w:color="DCDAD4" w:sz="4"/>
              <w:left w:val="single" w:color="DCDAD4" w:sz="4"/>
              <w:bottom w:val="single" w:color="DCDAD4" w:sz="4"/>
              <w:right w:val="single" w:color="DCDAD4" w:sz="4"/>
            </w:tcBorders>
            <w:tcMar>
              <w:top w:type="dxa" w:w="60"/>
              <w:left w:type="dxa" w:w="90"/>
              <w:bottom w:type="dxa" w:w="60"/>
              <w:right w:type="dxa" w:w="90"/>
            </w:tcMar>
          </w:tcPr>
          <w:p>
            <w:r>
              <w:rPr>
                <w:rFonts w:ascii="Calibri" w:cs="Calibri" w:eastAsia="Calibri" w:hAnsi="Calibri"/>
                <w:b w:val="false"/>
                <w:bCs w:val="false"/>
                <w:sz w:val="18"/>
                <w:szCs w:val="18"/>
              </w:rPr>
              <w:t xml:space="preserve">Honey</w:t>
            </w:r>
          </w:p>
        </w:tc>
        <w:tc>
          <w:tcPr>
            <w:tcW w:type="dxa" w:w="2300"/>
            <w:tcBorders>
              <w:top w:val="single" w:color="DCDAD4" w:sz="4"/>
              <w:left w:val="single" w:color="DCDAD4" w:sz="4"/>
              <w:bottom w:val="single" w:color="DCDAD4" w:sz="4"/>
              <w:right w:val="single" w:color="DCDAD4" w:sz="4"/>
            </w:tcBorders>
            <w:tcMar>
              <w:top w:type="dxa" w:w="60"/>
              <w:left w:type="dxa" w:w="90"/>
              <w:bottom w:type="dxa" w:w="60"/>
              <w:right w:type="dxa" w:w="90"/>
            </w:tcMar>
          </w:tcPr>
          <w:p>
            <w:r>
              <w:rPr>
                <w:rFonts w:ascii="Calibri" w:cs="Calibri" w:eastAsia="Calibri" w:hAnsi="Calibri"/>
                <w:b w:val="false"/>
                <w:bCs w:val="false"/>
                <w:sz w:val="18"/>
                <w:szCs w:val="18"/>
              </w:rPr>
              <w:t xml:space="preserve">Yellow brass solids</w:t>
            </w:r>
          </w:p>
        </w:tc>
        <w:tc>
          <w:tcPr>
            <w:tcW w:type="dxa" w:w="6138"/>
            <w:tcBorders>
              <w:top w:val="single" w:color="DCDAD4" w:sz="4"/>
              <w:left w:val="single" w:color="DCDAD4" w:sz="4"/>
              <w:bottom w:val="single" w:color="DCDAD4" w:sz="4"/>
              <w:right w:val="single" w:color="DCDAD4" w:sz="4"/>
            </w:tcBorders>
            <w:tcMar>
              <w:top w:type="dxa" w:w="60"/>
              <w:left w:type="dxa" w:w="90"/>
              <w:bottom w:type="dxa" w:w="60"/>
              <w:right w:type="dxa" w:w="90"/>
            </w:tcMar>
          </w:tcPr>
          <w:p>
            <w:r>
              <w:rPr>
                <w:rFonts w:ascii="Calibri" w:cs="Calibri" w:eastAsia="Calibri" w:hAnsi="Calibri"/>
                <w:b w:val="false"/>
                <w:bCs w:val="false"/>
                <w:sz w:val="18"/>
                <w:szCs w:val="18"/>
              </w:rPr>
              <w:t xml:space="preserve">Mixed yellow brass: castings, rolled brass, rod, tubing, miscellaneous yellow brasses, including plated brass. Clean, free of other metals.</w:t>
            </w:r>
          </w:p>
        </w:tc>
      </w:tr>
      <w:tr>
        <w:trPr>
          <w:cantSplit/>
        </w:trPr>
        <w:tc>
          <w:tcPr>
            <w:tcW w:type="dxa" w:w="1200"/>
            <w:tcBorders>
              <w:top w:val="single" w:color="DCDAD4" w:sz="4"/>
              <w:left w:val="single" w:color="DCDAD4" w:sz="4"/>
              <w:bottom w:val="single" w:color="DCDAD4" w:sz="4"/>
              <w:right w:val="single" w:color="DCDAD4" w:sz="4"/>
            </w:tcBorders>
            <w:tcMar>
              <w:top w:type="dxa" w:w="60"/>
              <w:left w:type="dxa" w:w="90"/>
              <w:bottom w:type="dxa" w:w="60"/>
              <w:right w:type="dxa" w:w="90"/>
            </w:tcMar>
          </w:tcPr>
          <w:p>
            <w:r>
              <w:rPr>
                <w:rFonts w:ascii="Calibri" w:cs="Calibri" w:eastAsia="Calibri" w:hAnsi="Calibri"/>
                <w:b w:val="false"/>
                <w:bCs w:val="false"/>
                <w:sz w:val="18"/>
                <w:szCs w:val="18"/>
              </w:rPr>
              <w:t xml:space="preserve">Ebony</w:t>
            </w:r>
          </w:p>
        </w:tc>
        <w:tc>
          <w:tcPr>
            <w:tcW w:type="dxa" w:w="2300"/>
            <w:tcBorders>
              <w:top w:val="single" w:color="DCDAD4" w:sz="4"/>
              <w:left w:val="single" w:color="DCDAD4" w:sz="4"/>
              <w:bottom w:val="single" w:color="DCDAD4" w:sz="4"/>
              <w:right w:val="single" w:color="DCDAD4" w:sz="4"/>
            </w:tcBorders>
            <w:tcMar>
              <w:top w:type="dxa" w:w="60"/>
              <w:left w:type="dxa" w:w="90"/>
              <w:bottom w:type="dxa" w:w="60"/>
              <w:right w:type="dxa" w:w="90"/>
            </w:tcMar>
          </w:tcPr>
          <w:p>
            <w:r>
              <w:rPr>
                <w:rFonts w:ascii="Calibri" w:cs="Calibri" w:eastAsia="Calibri" w:hAnsi="Calibri"/>
                <w:b w:val="false"/>
                <w:bCs w:val="false"/>
                <w:sz w:val="18"/>
                <w:szCs w:val="18"/>
              </w:rPr>
              <w:t xml:space="preserve">Composition or red brass</w:t>
            </w:r>
          </w:p>
        </w:tc>
        <w:tc>
          <w:tcPr>
            <w:tcW w:type="dxa" w:w="6138"/>
            <w:tcBorders>
              <w:top w:val="single" w:color="DCDAD4" w:sz="4"/>
              <w:left w:val="single" w:color="DCDAD4" w:sz="4"/>
              <w:bottom w:val="single" w:color="DCDAD4" w:sz="4"/>
              <w:right w:val="single" w:color="DCDAD4" w:sz="4"/>
            </w:tcBorders>
            <w:tcMar>
              <w:top w:type="dxa" w:w="60"/>
              <w:left w:type="dxa" w:w="90"/>
              <w:bottom w:type="dxa" w:w="60"/>
              <w:right w:type="dxa" w:w="90"/>
            </w:tcMar>
          </w:tcPr>
          <w:p>
            <w:r>
              <w:rPr>
                <w:rFonts w:ascii="Calibri" w:cs="Calibri" w:eastAsia="Calibri" w:hAnsi="Calibri"/>
                <w:b w:val="false"/>
                <w:bCs w:val="false"/>
                <w:sz w:val="18"/>
                <w:szCs w:val="18"/>
              </w:rPr>
              <w:t xml:space="preserve">Red brass scrap, valves, machinery bearings and machinery parts. Alloys of copper, tin, zinc and/or lead.</w:t>
            </w:r>
          </w:p>
        </w:tc>
      </w:tr>
      <w:tr>
        <w:trPr>
          <w:cantSplit/>
        </w:trPr>
        <w:tc>
          <w:tcPr>
            <w:tcW w:type="dxa" w:w="1200"/>
            <w:tcBorders>
              <w:top w:val="single" w:color="DCDAD4" w:sz="4"/>
              <w:left w:val="single" w:color="DCDAD4" w:sz="4"/>
              <w:bottom w:val="single" w:color="DCDAD4" w:sz="4"/>
              <w:right w:val="single" w:color="DCDAD4" w:sz="4"/>
            </w:tcBorders>
            <w:tcMar>
              <w:top w:type="dxa" w:w="60"/>
              <w:left w:type="dxa" w:w="90"/>
              <w:bottom w:type="dxa" w:w="60"/>
              <w:right w:type="dxa" w:w="90"/>
            </w:tcMar>
          </w:tcPr>
          <w:p>
            <w:r>
              <w:rPr>
                <w:rFonts w:ascii="Calibri" w:cs="Calibri" w:eastAsia="Calibri" w:hAnsi="Calibri"/>
                <w:b w:val="false"/>
                <w:bCs w:val="false"/>
                <w:sz w:val="18"/>
                <w:szCs w:val="18"/>
              </w:rPr>
              <w:t xml:space="preserve">Lake</w:t>
            </w:r>
          </w:p>
        </w:tc>
        <w:tc>
          <w:tcPr>
            <w:tcW w:type="dxa" w:w="2300"/>
            <w:tcBorders>
              <w:top w:val="single" w:color="DCDAD4" w:sz="4"/>
              <w:left w:val="single" w:color="DCDAD4" w:sz="4"/>
              <w:bottom w:val="single" w:color="DCDAD4" w:sz="4"/>
              <w:right w:val="single" w:color="DCDAD4" w:sz="4"/>
            </w:tcBorders>
            <w:tcMar>
              <w:top w:type="dxa" w:w="60"/>
              <w:left w:type="dxa" w:w="90"/>
              <w:bottom w:type="dxa" w:w="60"/>
              <w:right w:type="dxa" w:w="90"/>
            </w:tcMar>
          </w:tcPr>
          <w:p>
            <w:r>
              <w:rPr>
                <w:rFonts w:ascii="Calibri" w:cs="Calibri" w:eastAsia="Calibri" w:hAnsi="Calibri"/>
                <w:b w:val="false"/>
                <w:bCs w:val="false"/>
                <w:sz w:val="18"/>
                <w:szCs w:val="18"/>
              </w:rPr>
              <w:t xml:space="preserve">Refinery brass</w:t>
            </w:r>
          </w:p>
        </w:tc>
        <w:tc>
          <w:tcPr>
            <w:tcW w:type="dxa" w:w="6138"/>
            <w:tcBorders>
              <w:top w:val="single" w:color="DCDAD4" w:sz="4"/>
              <w:left w:val="single" w:color="DCDAD4" w:sz="4"/>
              <w:bottom w:val="single" w:color="DCDAD4" w:sz="4"/>
              <w:right w:val="single" w:color="DCDAD4" w:sz="4"/>
            </w:tcBorders>
            <w:tcMar>
              <w:top w:type="dxa" w:w="60"/>
              <w:left w:type="dxa" w:w="90"/>
              <w:bottom w:type="dxa" w:w="60"/>
              <w:right w:type="dxa" w:w="90"/>
            </w:tcMar>
          </w:tcPr>
          <w:p>
            <w:r>
              <w:rPr>
                <w:rFonts w:ascii="Calibri" w:cs="Calibri" w:eastAsia="Calibri" w:hAnsi="Calibri"/>
                <w:b w:val="false"/>
                <w:bCs w:val="false"/>
                <w:sz w:val="18"/>
                <w:szCs w:val="18"/>
              </w:rPr>
              <w:t xml:space="preserve">Brass grade for refinery feed.</w:t>
            </w:r>
          </w:p>
        </w:tc>
      </w:tr>
      <w:tr>
        <w:trPr>
          <w:cantSplit/>
        </w:trPr>
        <w:tc>
          <w:tcPr>
            <w:tcW w:type="dxa" w:w="1200"/>
            <w:tcBorders>
              <w:top w:val="single" w:color="DCDAD4" w:sz="4"/>
              <w:left w:val="single" w:color="DCDAD4" w:sz="4"/>
              <w:bottom w:val="single" w:color="DCDAD4" w:sz="4"/>
              <w:right w:val="single" w:color="DCDAD4" w:sz="4"/>
            </w:tcBorders>
            <w:tcMar>
              <w:top w:type="dxa" w:w="60"/>
              <w:left w:type="dxa" w:w="90"/>
              <w:bottom w:type="dxa" w:w="60"/>
              <w:right w:type="dxa" w:w="90"/>
            </w:tcMar>
          </w:tcPr>
          <w:p>
            <w:r>
              <w:rPr>
                <w:rFonts w:ascii="Calibri" w:cs="Calibri" w:eastAsia="Calibri" w:hAnsi="Calibri"/>
                <w:b w:val="false"/>
                <w:bCs w:val="false"/>
                <w:sz w:val="18"/>
                <w:szCs w:val="18"/>
              </w:rPr>
              <w:t xml:space="preserve">Lamb</w:t>
            </w:r>
          </w:p>
        </w:tc>
        <w:tc>
          <w:tcPr>
            <w:tcW w:type="dxa" w:w="2300"/>
            <w:tcBorders>
              <w:top w:val="single" w:color="DCDAD4" w:sz="4"/>
              <w:left w:val="single" w:color="DCDAD4" w:sz="4"/>
              <w:bottom w:val="single" w:color="DCDAD4" w:sz="4"/>
              <w:right w:val="single" w:color="DCDAD4" w:sz="4"/>
            </w:tcBorders>
            <w:tcMar>
              <w:top w:type="dxa" w:w="60"/>
              <w:left w:type="dxa" w:w="90"/>
              <w:bottom w:type="dxa" w:w="60"/>
              <w:right w:type="dxa" w:w="90"/>
            </w:tcMar>
          </w:tcPr>
          <w:p>
            <w:r>
              <w:rPr>
                <w:rFonts w:ascii="Calibri" w:cs="Calibri" w:eastAsia="Calibri" w:hAnsi="Calibri"/>
                <w:b w:val="false"/>
                <w:bCs w:val="false"/>
                <w:sz w:val="18"/>
                <w:szCs w:val="18"/>
              </w:rPr>
              <w:t xml:space="preserve">Brass small-arms shells</w:t>
            </w:r>
          </w:p>
        </w:tc>
        <w:tc>
          <w:tcPr>
            <w:tcW w:type="dxa" w:w="6138"/>
            <w:tcBorders>
              <w:top w:val="single" w:color="DCDAD4" w:sz="4"/>
              <w:left w:val="single" w:color="DCDAD4" w:sz="4"/>
              <w:bottom w:val="single" w:color="DCDAD4" w:sz="4"/>
              <w:right w:val="single" w:color="DCDAD4" w:sz="4"/>
            </w:tcBorders>
            <w:tcMar>
              <w:top w:type="dxa" w:w="60"/>
              <w:left w:type="dxa" w:w="90"/>
              <w:bottom w:type="dxa" w:w="60"/>
              <w:right w:type="dxa" w:w="90"/>
            </w:tcMar>
          </w:tcPr>
          <w:p>
            <w:r>
              <w:rPr>
                <w:rFonts w:ascii="Calibri" w:cs="Calibri" w:eastAsia="Calibri" w:hAnsi="Calibri"/>
                <w:b w:val="false"/>
                <w:bCs w:val="false"/>
                <w:sz w:val="18"/>
                <w:szCs w:val="18"/>
              </w:rPr>
              <w:t xml:space="preserve">Clean, muffled (popped) 70/30 brass shells, free of bullets, iron and foreign material.</w:t>
            </w:r>
          </w:p>
        </w:tc>
      </w:tr>
      <w:tr>
        <w:trPr>
          <w:cantSplit/>
        </w:trPr>
        <w:tc>
          <w:tcPr>
            <w:tcW w:type="dxa" w:w="1200"/>
            <w:tcBorders>
              <w:top w:val="single" w:color="DCDAD4" w:sz="4"/>
              <w:left w:val="single" w:color="DCDAD4" w:sz="4"/>
              <w:bottom w:val="single" w:color="DCDAD4" w:sz="4"/>
              <w:right w:val="single" w:color="DCDAD4" w:sz="4"/>
            </w:tcBorders>
            <w:tcMar>
              <w:top w:type="dxa" w:w="60"/>
              <w:left w:type="dxa" w:w="90"/>
              <w:bottom w:type="dxa" w:w="60"/>
              <w:right w:type="dxa" w:w="90"/>
            </w:tcMar>
          </w:tcPr>
          <w:p>
            <w:r>
              <w:rPr>
                <w:rFonts w:ascii="Calibri" w:cs="Calibri" w:eastAsia="Calibri" w:hAnsi="Calibri"/>
                <w:b w:val="false"/>
                <w:bCs w:val="false"/>
                <w:sz w:val="18"/>
                <w:szCs w:val="18"/>
              </w:rPr>
              <w:t xml:space="preserve">Ebulent</w:t>
            </w:r>
          </w:p>
        </w:tc>
        <w:tc>
          <w:tcPr>
            <w:tcW w:type="dxa" w:w="2300"/>
            <w:tcBorders>
              <w:top w:val="single" w:color="DCDAD4" w:sz="4"/>
              <w:left w:val="single" w:color="DCDAD4" w:sz="4"/>
              <w:bottom w:val="single" w:color="DCDAD4" w:sz="4"/>
              <w:right w:val="single" w:color="DCDAD4" w:sz="4"/>
            </w:tcBorders>
            <w:tcMar>
              <w:top w:type="dxa" w:w="60"/>
              <w:left w:type="dxa" w:w="90"/>
              <w:bottom w:type="dxa" w:w="60"/>
              <w:right w:type="dxa" w:w="90"/>
            </w:tcMar>
          </w:tcPr>
          <w:p>
            <w:r>
              <w:rPr>
                <w:rFonts w:ascii="Calibri" w:cs="Calibri" w:eastAsia="Calibri" w:hAnsi="Calibri"/>
                <w:b w:val="false"/>
                <w:bCs w:val="false"/>
                <w:sz w:val="18"/>
                <w:szCs w:val="18"/>
              </w:rPr>
              <w:t xml:space="preserve">Lead-free bismuth brass solids</w:t>
            </w:r>
          </w:p>
        </w:tc>
        <w:tc>
          <w:tcPr>
            <w:tcW w:type="dxa" w:w="6138"/>
            <w:tcBorders>
              <w:top w:val="single" w:color="DCDAD4" w:sz="4"/>
              <w:left w:val="single" w:color="DCDAD4" w:sz="4"/>
              <w:bottom w:val="single" w:color="DCDAD4" w:sz="4"/>
              <w:right w:val="single" w:color="DCDAD4" w:sz="4"/>
            </w:tcBorders>
            <w:tcMar>
              <w:top w:type="dxa" w:w="60"/>
              <w:left w:type="dxa" w:w="90"/>
              <w:bottom w:type="dxa" w:w="60"/>
              <w:right w:type="dxa" w:w="90"/>
            </w:tcMar>
          </w:tcPr>
          <w:p>
            <w:r>
              <w:rPr>
                <w:rFonts w:ascii="Calibri" w:cs="Calibri" w:eastAsia="Calibri" w:hAnsi="Calibri"/>
                <w:b w:val="false"/>
                <w:bCs w:val="false"/>
                <w:sz w:val="18"/>
                <w:szCs w:val="18"/>
              </w:rPr>
              <w:t xml:space="preserve">Castings alloyed with copper, tin, bismuth and zinc. Less than 0.2% alloyed lead.</w:t>
            </w:r>
          </w:p>
        </w:tc>
      </w:tr>
    </w:tbl>
    <w:p>
      <w:pPr>
        <w:spacing w:after="100" w:before="100"/>
      </w:pPr>
      <w:r>
        <w:rPr>
          <w:rFonts w:ascii="Calibri" w:cs="Calibri" w:eastAsia="Calibri" w:hAnsi="Calibri"/>
          <w:color w:val="6F6D68"/>
          <w:sz w:val="18"/>
          <w:szCs w:val="18"/>
        </w:rPr>
        <w:t xml:space="preserve">The Indian trade also uses local names. Purja, Honey and Chadari (sheet) are the brass grades quoted in Delhi and Mumbai price lists. No official mapping from these names to ISRI codes was found, so confirm the grade against a sample.</w:t>
      </w:r>
    </w:p>
    <w:p>
      <w:pPr>
        <w:pStyle w:val="Heading1"/>
        <w:keepNext/>
        <w:spacing w:after="120" w:before="320"/>
      </w:pPr>
      <w:r>
        <w:rPr>
          <w:rFonts w:ascii="Calibri" w:cs="Calibri" w:eastAsia="Calibri" w:hAnsi="Calibri"/>
        </w:rPr>
        <w:t xml:space="preserve">2. Market indicators</w:t>
      </w:r>
    </w:p>
    <w:p>
      <w:pPr>
        <w:keepNext/>
        <w:spacing w:after="60" w:before="80"/>
        <w:jc w:val="center"/>
      </w:pPr>
      <w:r>
        <w:drawing>
          <wp:inline distT="0" distB="0" distL="0" distR="0">
            <wp:extent cx="5334000" cy="2781300"/>
            <wp:effectExtent t="0" r="0" b="0" l="0"/>
            <wp:docPr id="1" name="Brass scrap price India" descr="Brass scrap price India" title="Brass scrap price In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2781300"/>
                    </a:xfrm>
                    <a:prstGeom prst="rect">
                      <a:avLst/>
                    </a:prstGeom>
                  </pic:spPr>
                </pic:pic>
              </a:graphicData>
            </a:graphic>
          </wp:inline>
        </w:drawing>
      </w:r>
    </w:p>
    <w:p>
      <w:pPr>
        <w:spacing w:after="160"/>
        <w:jc w:val="center"/>
      </w:pPr>
      <w:r>
        <w:rPr>
          <w:rFonts w:ascii="Calibri" w:cs="Calibri" w:eastAsia="Calibri" w:hAnsi="Calibri"/>
          <w:i/>
          <w:iCs/>
          <w:color w:val="6F6D68"/>
          <w:sz w:val="17"/>
          <w:szCs w:val="17"/>
        </w:rPr>
        <w:t xml:space="preserve">Figure 2. Brass scrap price, Delhi and Mumbai (Rs per kg). Sources: Shree Metal Prices, ScrapC and other Indian price portals. Quotes are dealer prices and indicative.</w:t>
      </w:r>
    </w:p>
    <w:p>
      <w:pPr>
        <w:keepNext/>
        <w:spacing w:after="60" w:before="80"/>
        <w:jc w:val="center"/>
      </w:pPr>
      <w:r>
        <w:drawing>
          <wp:inline distT="0" distB="0" distL="0" distR="0">
            <wp:extent cx="4953000" cy="3124200"/>
            <wp:effectExtent t="0" r="0" b="0" l="0"/>
            <wp:docPr id="1" name="Import origin and MSTC revenue split" descr="Import origin and MSTC revenue split" title="Import origin and MSTC revenue spl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953000" cy="3124200"/>
                    </a:xfrm>
                    <a:prstGeom prst="rect">
                      <a:avLst/>
                    </a:prstGeom>
                  </pic:spPr>
                </pic:pic>
              </a:graphicData>
            </a:graphic>
          </wp:inline>
        </w:drawing>
      </w:r>
    </w:p>
    <w:p>
      <w:pPr>
        <w:spacing w:after="160"/>
        <w:jc w:val="center"/>
      </w:pPr>
      <w:r>
        <w:rPr>
          <w:rFonts w:ascii="Calibri" w:cs="Calibri" w:eastAsia="Calibri" w:hAnsi="Calibri"/>
          <w:i/>
          <w:iCs/>
          <w:color w:val="6F6D68"/>
          <w:sz w:val="17"/>
          <w:szCs w:val="17"/>
        </w:rPr>
        <w:t xml:space="preserve">Figure 3. Left: origin of India's copper scrap imports (Volza). Right: MSTC e-commerce revenue split (midpoint of 50 to 52%).</w:t>
      </w:r>
    </w:p>
    <w:p>
      <w:pPr>
        <w:keepNext/>
        <w:spacing w:after="60" w:before="80"/>
        <w:jc w:val="center"/>
      </w:pPr>
      <w:r>
        <w:drawing>
          <wp:inline distT="0" distB="0" distL="0" distR="0">
            <wp:extent cx="5143500" cy="2371725"/>
            <wp:effectExtent t="0" r="0" b="0" l="0"/>
            <wp:docPr id="1" name="India copper scrap import forecast" descr="India copper scrap import forecast" title="India copper scrap import foreca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143500" cy="2371725"/>
                    </a:xfrm>
                    <a:prstGeom prst="rect">
                      <a:avLst/>
                    </a:prstGeom>
                  </pic:spPr>
                </pic:pic>
              </a:graphicData>
            </a:graphic>
          </wp:inline>
        </w:drawing>
      </w:r>
    </w:p>
    <w:p>
      <w:pPr>
        <w:spacing w:after="160"/>
        <w:jc w:val="center"/>
      </w:pPr>
      <w:r>
        <w:rPr>
          <w:rFonts w:ascii="Calibri" w:cs="Calibri" w:eastAsia="Calibri" w:hAnsi="Calibri"/>
          <w:i/>
          <w:iCs/>
          <w:color w:val="6F6D68"/>
          <w:sz w:val="17"/>
          <w:szCs w:val="17"/>
        </w:rPr>
        <w:t xml:space="preserve">Figure 4. India copper scrap imports forecast, million kg. 2024 (219.44) and 2028 (238.0) are published; 2025 and 2026 are derived from the published +1.92% and +2.09% growth.</w:t>
      </w:r>
    </w:p>
    <w:p>
      <w:pPr>
        <w:pStyle w:val="Heading2"/>
        <w:keepNext/>
        <w:spacing w:after="80" w:before="200"/>
      </w:pPr>
      <w:r>
        <w:rPr>
          <w:rFonts w:ascii="Calibri" w:cs="Calibri" w:eastAsia="Calibri" w:hAnsi="Calibri"/>
        </w:rPr>
        <w:t xml:space="preserve">Other indicators</w:t>
      </w:r>
    </w:p>
    <w:p>
      <w:pPr>
        <w:pStyle w:val="ListParagraph"/>
        <w:numPr>
          <w:ilvl w:val="0"/>
          <w:numId w:val="2"/>
        </w:numPr>
        <w:spacing w:after="60"/>
      </w:pPr>
      <w:r>
        <w:rPr>
          <w:rFonts w:ascii="Calibri" w:cs="Calibri" w:eastAsia="Calibri" w:hAnsi="Calibri"/>
        </w:rPr>
        <w:t xml:space="preserve">Copper scrap imports into India rose 29% in the year to May 2025 (27,029 shipments, June 2024 to May 2025). India is the largest importer of copper scrap, mainly from the United States, Saudi Arabia and the UAE (Volza, SEAIR).</w:t>
      </w:r>
    </w:p>
    <w:p>
      <w:pPr>
        <w:pStyle w:val="ListParagraph"/>
        <w:numPr>
          <w:ilvl w:val="0"/>
          <w:numId w:val="2"/>
        </w:numPr>
        <w:spacing w:after="60"/>
      </w:pPr>
      <w:r>
        <w:rPr>
          <w:rFonts w:ascii="Calibri" w:cs="Calibri" w:eastAsia="Calibri" w:hAnsi="Calibri"/>
        </w:rPr>
        <w:t xml:space="preserve">India accounted for about 70% of global brass scrap import shipments (20,005 shipments) (Volza).</w:t>
      </w:r>
    </w:p>
    <w:p>
      <w:pPr>
        <w:pStyle w:val="ListParagraph"/>
        <w:numPr>
          <w:ilvl w:val="0"/>
          <w:numId w:val="2"/>
        </w:numPr>
        <w:spacing w:after="60"/>
      </w:pPr>
      <w:r>
        <w:rPr>
          <w:rFonts w:ascii="Calibri" w:cs="Calibri" w:eastAsia="Calibri" w:hAnsi="Calibri"/>
        </w:rPr>
        <w:t xml:space="preserve">India's copper demand was 1.878 million tonnes in FY2025, up 9.3% (Indian Copper Association).</w:t>
      </w:r>
    </w:p>
    <w:p>
      <w:pPr>
        <w:pStyle w:val="ListParagraph"/>
        <w:numPr>
          <w:ilvl w:val="0"/>
          <w:numId w:val="2"/>
        </w:numPr>
        <w:spacing w:after="60"/>
      </w:pPr>
      <w:r>
        <w:rPr>
          <w:rFonts w:ascii="Calibri" w:cs="Calibri" w:eastAsia="Calibri" w:hAnsi="Calibri"/>
        </w:rPr>
        <w:t xml:space="preserve">Budget 2025-26 removed basic customs duty on copper and brass scrap (HSN 7404, tariff items 74040012, 74040019, 74040022). IGST 18% and the social welfare surcharge still apply.</w:t>
      </w:r>
    </w:p>
    <w:p>
      <w:pPr>
        <w:pStyle w:val="ListParagraph"/>
        <w:numPr>
          <w:ilvl w:val="0"/>
          <w:numId w:val="2"/>
        </w:numPr>
        <w:spacing w:after="60"/>
      </w:pPr>
      <w:r>
        <w:rPr>
          <w:rFonts w:ascii="Calibri" w:cs="Calibri" w:eastAsia="Calibri" w:hAnsi="Calibri"/>
        </w:rPr>
        <w:t xml:space="preserve">Jamnagar in Gujarat is the brass-processing hub that sets national brass scrap prices (Indian price portals).</w:t>
      </w:r>
    </w:p>
    <w:p>
      <w:pPr>
        <w:pBdr>
          <w:left w:val="single" w:color="C98500" w:sz="18" w:space="6"/>
        </w:pBdr>
        <w:shd w:fill="FBF0DC" w:val="clear"/>
        <w:spacing w:after="120" w:before="80"/>
        <w:ind w:left="140"/>
      </w:pPr>
      <w:r>
        <w:rPr>
          <w:rFonts w:ascii="Calibri" w:cs="Calibri" w:eastAsia="Calibri" w:hAnsi="Calibri"/>
          <w:b/>
          <w:bCs/>
          <w:color w:val="5C3D00"/>
        </w:rPr>
        <w:t xml:space="preserve">Note on Figure 3 (left). </w:t>
      </w:r>
      <w:r>
        <w:rPr>
          <w:rFonts w:ascii="Calibri" w:cs="Calibri" w:eastAsia="Calibri" w:hAnsi="Calibri"/>
          <w:color w:val="5C3D00"/>
        </w:rPr>
        <w:t xml:space="preserve">The three origin counts add up to more than the 27,029 total shipments quoted for the same trade, so they likely use a different period or counting basis. Use the chart for ranking, not absolute volumes.</w:t>
      </w:r>
    </w:p>
    <w:p>
      <w:pPr>
        <w:pStyle w:val="Heading1"/>
        <w:keepNext/>
        <w:spacing w:after="120" w:before="320"/>
      </w:pPr>
      <w:r>
        <w:rPr>
          <w:rFonts w:ascii="Calibri" w:cs="Calibri" w:eastAsia="Calibri" w:hAnsi="Calibri"/>
        </w:rPr>
        <w:t xml:space="preserve">3. Private scrap auction platforms</w:t>
      </w:r>
    </w:p>
    <w:p>
      <w:pPr>
        <w:spacing w:after="100" w:line="276"/>
      </w:pPr>
      <w:r>
        <w:rPr>
          <w:rFonts w:ascii="Calibri" w:cs="Calibri" w:eastAsia="Calibri" w:hAnsi="Calibri"/>
        </w:rPr>
        <w:t xml:space="preserve">Corporate sellers (manufacturers, steel and engineering plants) run e-auctions or list material on these platforms. Registration usually needs company PAN and GST details and often a refundable deposit. Exact terms were not available from the sources, so check each site.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1700"/>
        <w:gridCol w:w="3938"/>
        <w:gridCol w:w="2100"/>
      </w:tblGrid>
      <w:tr>
        <w:trPr>
          <w:cantSplit/>
          <w:tblHeader/>
        </w:trPr>
        <w:tc>
          <w:tcPr>
            <w:tcW w:type="dxa" w:w="1900"/>
            <w:tcBorders>
              <w:top w:val="single" w:color="DCDAD4" w:sz="4"/>
              <w:left w:val="single" w:color="DCDAD4" w:sz="4"/>
              <w:bottom w:val="single" w:color="DCDAD4" w:sz="4"/>
              <w:right w:val="single" w:color="DCDAD4" w:sz="4"/>
            </w:tcBorders>
            <w:shd w:fill="EDE6DF" w:val="clear"/>
            <w:tcMar>
              <w:top w:type="dxa" w:w="60"/>
              <w:left w:type="dxa" w:w="90"/>
              <w:bottom w:type="dxa" w:w="60"/>
              <w:right w:type="dxa" w:w="90"/>
            </w:tcMar>
          </w:tcPr>
          <w:p>
            <w:r>
              <w:rPr>
                <w:rFonts w:ascii="Calibri" w:cs="Calibri" w:eastAsia="Calibri" w:hAnsi="Calibri"/>
                <w:b/>
                <w:bCs/>
                <w:sz w:val="18"/>
                <w:szCs w:val="18"/>
              </w:rPr>
              <w:t xml:space="preserve">Platform</w:t>
            </w:r>
          </w:p>
        </w:tc>
        <w:tc>
          <w:tcPr>
            <w:tcW w:type="dxa" w:w="1700"/>
            <w:tcBorders>
              <w:top w:val="single" w:color="DCDAD4" w:sz="4"/>
              <w:left w:val="single" w:color="DCDAD4" w:sz="4"/>
              <w:bottom w:val="single" w:color="DCDAD4" w:sz="4"/>
              <w:right w:val="single" w:color="DCDAD4" w:sz="4"/>
            </w:tcBorders>
            <w:shd w:fill="EDE6DF" w:val="clear"/>
            <w:tcMar>
              <w:top w:type="dxa" w:w="60"/>
              <w:left w:type="dxa" w:w="90"/>
              <w:bottom w:type="dxa" w:w="60"/>
              <w:right w:type="dxa" w:w="90"/>
            </w:tcMar>
          </w:tcPr>
          <w:p>
            <w:r>
              <w:rPr>
                <w:rFonts w:ascii="Calibri" w:cs="Calibri" w:eastAsia="Calibri" w:hAnsi="Calibri"/>
                <w:b/>
                <w:bCs/>
                <w:sz w:val="18"/>
                <w:szCs w:val="18"/>
              </w:rPr>
              <w:t xml:space="preserve">Operator</w:t>
            </w:r>
          </w:p>
        </w:tc>
        <w:tc>
          <w:tcPr>
            <w:tcW w:type="dxa" w:w="3938"/>
            <w:tcBorders>
              <w:top w:val="single" w:color="DCDAD4" w:sz="4"/>
              <w:left w:val="single" w:color="DCDAD4" w:sz="4"/>
              <w:bottom w:val="single" w:color="DCDAD4" w:sz="4"/>
              <w:right w:val="single" w:color="DCDAD4" w:sz="4"/>
            </w:tcBorders>
            <w:shd w:fill="EDE6DF" w:val="clear"/>
            <w:tcMar>
              <w:top w:type="dxa" w:w="60"/>
              <w:left w:type="dxa" w:w="90"/>
              <w:bottom w:type="dxa" w:w="60"/>
              <w:right w:type="dxa" w:w="90"/>
            </w:tcMar>
          </w:tcPr>
          <w:p>
            <w:r>
              <w:rPr>
                <w:rFonts w:ascii="Calibri" w:cs="Calibri" w:eastAsia="Calibri" w:hAnsi="Calibri"/>
                <w:b/>
                <w:bCs/>
                <w:sz w:val="18"/>
                <w:szCs w:val="18"/>
              </w:rPr>
              <w:t xml:space="preserve">What the sources say</w:t>
            </w:r>
          </w:p>
        </w:tc>
        <w:tc>
          <w:tcPr>
            <w:tcW w:type="dxa" w:w="2100"/>
            <w:tcBorders>
              <w:top w:val="single" w:color="DCDAD4" w:sz="4"/>
              <w:left w:val="single" w:color="DCDAD4" w:sz="4"/>
              <w:bottom w:val="single" w:color="DCDAD4" w:sz="4"/>
              <w:right w:val="single" w:color="DCDAD4" w:sz="4"/>
            </w:tcBorders>
            <w:shd w:fill="EDE6DF" w:val="clear"/>
            <w:tcMar>
              <w:top w:type="dxa" w:w="60"/>
              <w:left w:type="dxa" w:w="90"/>
              <w:bottom w:type="dxa" w:w="60"/>
              <w:right w:type="dxa" w:w="90"/>
            </w:tcMar>
          </w:tcPr>
          <w:p>
            <w:r>
              <w:rPr>
                <w:rFonts w:ascii="Calibri" w:cs="Calibri" w:eastAsia="Calibri" w:hAnsi="Calibri"/>
                <w:b/>
                <w:bCs/>
                <w:sz w:val="18"/>
                <w:szCs w:val="18"/>
              </w:rPr>
              <w:t xml:space="preserve">Relevance for Cu / brass</w:t>
            </w:r>
          </w:p>
        </w:tc>
      </w:tr>
      <w:tr>
        <w:trPr>
          <w:cantSplit/>
        </w:trPr>
        <w:tc>
          <w:tcPr>
            <w:tcW w:type="dxa" w:w="1900"/>
            <w:tcBorders>
              <w:top w:val="single" w:color="DCDAD4" w:sz="4"/>
              <w:left w:val="single" w:color="DCDAD4" w:sz="4"/>
              <w:bottom w:val="single" w:color="DCDAD4" w:sz="4"/>
              <w:right w:val="single" w:color="DCDAD4" w:sz="4"/>
            </w:tcBorders>
            <w:tcMar>
              <w:top w:type="dxa" w:w="60"/>
              <w:left w:type="dxa" w:w="90"/>
              <w:bottom w:type="dxa" w:w="60"/>
              <w:right w:type="dxa" w:w="90"/>
            </w:tcMar>
          </w:tcPr>
          <w:p>
            <w:r>
              <w:rPr>
                <w:rFonts w:ascii="Calibri" w:cs="Calibri" w:eastAsia="Calibri" w:hAnsi="Calibri"/>
                <w:b w:val="false"/>
                <w:bCs w:val="false"/>
                <w:sz w:val="18"/>
                <w:szCs w:val="18"/>
              </w:rPr>
              <w:t xml:space="preserve">mjunction (mjunction.in)</w:t>
            </w:r>
          </w:p>
        </w:tc>
        <w:tc>
          <w:tcPr>
            <w:tcW w:type="dxa" w:w="1700"/>
            <w:tcBorders>
              <w:top w:val="single" w:color="DCDAD4" w:sz="4"/>
              <w:left w:val="single" w:color="DCDAD4" w:sz="4"/>
              <w:bottom w:val="single" w:color="DCDAD4" w:sz="4"/>
              <w:right w:val="single" w:color="DCDAD4" w:sz="4"/>
            </w:tcBorders>
            <w:tcMar>
              <w:top w:type="dxa" w:w="60"/>
              <w:left w:type="dxa" w:w="90"/>
              <w:bottom w:type="dxa" w:w="60"/>
              <w:right w:type="dxa" w:w="90"/>
            </w:tcMar>
          </w:tcPr>
          <w:p>
            <w:r>
              <w:rPr>
                <w:rFonts w:ascii="Calibri" w:cs="Calibri" w:eastAsia="Calibri" w:hAnsi="Calibri"/>
                <w:b w:val="false"/>
                <w:bCs w:val="false"/>
                <w:sz w:val="18"/>
                <w:szCs w:val="18"/>
              </w:rPr>
              <w:t xml:space="preserve">Joint venture of SAIL and Tata Steel</w:t>
            </w:r>
          </w:p>
        </w:tc>
        <w:tc>
          <w:tcPr>
            <w:tcW w:type="dxa" w:w="3938"/>
            <w:tcBorders>
              <w:top w:val="single" w:color="DCDAD4" w:sz="4"/>
              <w:left w:val="single" w:color="DCDAD4" w:sz="4"/>
              <w:bottom w:val="single" w:color="DCDAD4" w:sz="4"/>
              <w:right w:val="single" w:color="DCDAD4" w:sz="4"/>
            </w:tcBorders>
            <w:tcMar>
              <w:top w:type="dxa" w:w="60"/>
              <w:left w:type="dxa" w:w="90"/>
              <w:bottom w:type="dxa" w:w="60"/>
              <w:right w:type="dxa" w:w="90"/>
            </w:tcMar>
          </w:tcPr>
          <w:p>
            <w:r>
              <w:rPr>
                <w:rFonts w:ascii="Calibri" w:cs="Calibri" w:eastAsia="Calibri" w:hAnsi="Calibri"/>
                <w:b w:val="false"/>
                <w:bCs w:val="false"/>
                <w:sz w:val="18"/>
                <w:szCs w:val="18"/>
              </w:rPr>
              <w:t xml:space="preserve">Corporate scrap e-auction platform. More than Rs 1,50,000 crore GMV a year across the platform. Scrap includes vehicle parts, building supplies, surplus and recovered metals.</w:t>
            </w:r>
          </w:p>
        </w:tc>
        <w:tc>
          <w:tcPr>
            <w:tcW w:type="dxa" w:w="2100"/>
            <w:tcBorders>
              <w:top w:val="single" w:color="DCDAD4" w:sz="4"/>
              <w:left w:val="single" w:color="DCDAD4" w:sz="4"/>
              <w:bottom w:val="single" w:color="DCDAD4" w:sz="4"/>
              <w:right w:val="single" w:color="DCDAD4" w:sz="4"/>
            </w:tcBorders>
            <w:tcMar>
              <w:top w:type="dxa" w:w="60"/>
              <w:left w:type="dxa" w:w="90"/>
              <w:bottom w:type="dxa" w:w="60"/>
              <w:right w:type="dxa" w:w="90"/>
            </w:tcMar>
          </w:tcPr>
          <w:p>
            <w:r>
              <w:rPr>
                <w:rFonts w:ascii="Calibri" w:cs="Calibri" w:eastAsia="Calibri" w:hAnsi="Calibri"/>
                <w:b w:val="false"/>
                <w:bCs w:val="false"/>
                <w:sz w:val="18"/>
                <w:szCs w:val="18"/>
              </w:rPr>
              <w:t xml:space="preserve">High. Large corporate sellers. Watch for mixed non-ferrous lots.</w:t>
            </w:r>
          </w:p>
        </w:tc>
      </w:tr>
      <w:tr>
        <w:trPr>
          <w:cantSplit/>
        </w:trPr>
        <w:tc>
          <w:tcPr>
            <w:tcW w:type="dxa" w:w="1900"/>
            <w:tcBorders>
              <w:top w:val="single" w:color="DCDAD4" w:sz="4"/>
              <w:left w:val="single" w:color="DCDAD4" w:sz="4"/>
              <w:bottom w:val="single" w:color="DCDAD4" w:sz="4"/>
              <w:right w:val="single" w:color="DCDAD4" w:sz="4"/>
            </w:tcBorders>
            <w:tcMar>
              <w:top w:type="dxa" w:w="60"/>
              <w:left w:type="dxa" w:w="90"/>
              <w:bottom w:type="dxa" w:w="60"/>
              <w:right w:type="dxa" w:w="90"/>
            </w:tcMar>
          </w:tcPr>
          <w:p>
            <w:r>
              <w:rPr>
                <w:rFonts w:ascii="Calibri" w:cs="Calibri" w:eastAsia="Calibri" w:hAnsi="Calibri"/>
                <w:b w:val="false"/>
                <w:bCs w:val="false"/>
                <w:sz w:val="18"/>
                <w:szCs w:val="18"/>
              </w:rPr>
              <w:t xml:space="preserve">Metaljunction (auction1.metaljunction.com)</w:t>
            </w:r>
          </w:p>
        </w:tc>
        <w:tc>
          <w:tcPr>
            <w:tcW w:type="dxa" w:w="1700"/>
            <w:tcBorders>
              <w:top w:val="single" w:color="DCDAD4" w:sz="4"/>
              <w:left w:val="single" w:color="DCDAD4" w:sz="4"/>
              <w:bottom w:val="single" w:color="DCDAD4" w:sz="4"/>
              <w:right w:val="single" w:color="DCDAD4" w:sz="4"/>
            </w:tcBorders>
            <w:tcMar>
              <w:top w:type="dxa" w:w="60"/>
              <w:left w:type="dxa" w:w="90"/>
              <w:bottom w:type="dxa" w:w="60"/>
              <w:right w:type="dxa" w:w="90"/>
            </w:tcMar>
          </w:tcPr>
          <w:p>
            <w:r>
              <w:rPr>
                <w:rFonts w:ascii="Calibri" w:cs="Calibri" w:eastAsia="Calibri" w:hAnsi="Calibri"/>
                <w:b w:val="false"/>
                <w:bCs w:val="false"/>
                <w:sz w:val="18"/>
                <w:szCs w:val="18"/>
              </w:rPr>
              <w:t xml:space="preserve">mjunction group</w:t>
            </w:r>
          </w:p>
        </w:tc>
        <w:tc>
          <w:tcPr>
            <w:tcW w:type="dxa" w:w="3938"/>
            <w:tcBorders>
              <w:top w:val="single" w:color="DCDAD4" w:sz="4"/>
              <w:left w:val="single" w:color="DCDAD4" w:sz="4"/>
              <w:bottom w:val="single" w:color="DCDAD4" w:sz="4"/>
              <w:right w:val="single" w:color="DCDAD4" w:sz="4"/>
            </w:tcBorders>
            <w:tcMar>
              <w:top w:type="dxa" w:w="60"/>
              <w:left w:type="dxa" w:w="90"/>
              <w:bottom w:type="dxa" w:w="60"/>
              <w:right w:type="dxa" w:w="90"/>
            </w:tcMar>
          </w:tcPr>
          <w:p>
            <w:r>
              <w:rPr>
                <w:rFonts w:ascii="Calibri" w:cs="Calibri" w:eastAsia="Calibri" w:hAnsi="Calibri"/>
                <w:b w:val="false"/>
                <w:bCs w:val="false"/>
                <w:sz w:val="18"/>
                <w:szCs w:val="18"/>
              </w:rPr>
              <w:t xml:space="preserve">Open auction listings for ferrous and non-ferrous scrap, including aluminium scrap and burr.</w:t>
            </w:r>
          </w:p>
        </w:tc>
        <w:tc>
          <w:tcPr>
            <w:tcW w:type="dxa" w:w="2100"/>
            <w:tcBorders>
              <w:top w:val="single" w:color="DCDAD4" w:sz="4"/>
              <w:left w:val="single" w:color="DCDAD4" w:sz="4"/>
              <w:bottom w:val="single" w:color="DCDAD4" w:sz="4"/>
              <w:right w:val="single" w:color="DCDAD4" w:sz="4"/>
            </w:tcBorders>
            <w:tcMar>
              <w:top w:type="dxa" w:w="60"/>
              <w:left w:type="dxa" w:w="90"/>
              <w:bottom w:type="dxa" w:w="60"/>
              <w:right w:type="dxa" w:w="90"/>
            </w:tcMar>
          </w:tcPr>
          <w:p>
            <w:r>
              <w:rPr>
                <w:rFonts w:ascii="Calibri" w:cs="Calibri" w:eastAsia="Calibri" w:hAnsi="Calibri"/>
                <w:b w:val="false"/>
                <w:bCs w:val="false"/>
                <w:sz w:val="18"/>
                <w:szCs w:val="18"/>
              </w:rPr>
              <w:t xml:space="preserve">High. Non-ferrous lots listed publicly.</w:t>
            </w:r>
          </w:p>
        </w:tc>
      </w:tr>
      <w:tr>
        <w:trPr>
          <w:cantSplit/>
        </w:trPr>
        <w:tc>
          <w:tcPr>
            <w:tcW w:type="dxa" w:w="1900"/>
            <w:tcBorders>
              <w:top w:val="single" w:color="DCDAD4" w:sz="4"/>
              <w:left w:val="single" w:color="DCDAD4" w:sz="4"/>
              <w:bottom w:val="single" w:color="DCDAD4" w:sz="4"/>
              <w:right w:val="single" w:color="DCDAD4" w:sz="4"/>
            </w:tcBorders>
            <w:tcMar>
              <w:top w:type="dxa" w:w="60"/>
              <w:left w:type="dxa" w:w="90"/>
              <w:bottom w:type="dxa" w:w="60"/>
              <w:right w:type="dxa" w:w="90"/>
            </w:tcMar>
          </w:tcPr>
          <w:p>
            <w:r>
              <w:rPr>
                <w:rFonts w:ascii="Calibri" w:cs="Calibri" w:eastAsia="Calibri" w:hAnsi="Calibri"/>
                <w:b w:val="false"/>
                <w:bCs w:val="false"/>
                <w:sz w:val="18"/>
                <w:szCs w:val="18"/>
              </w:rPr>
              <w:t xml:space="preserve">BidMyScrap (bidmyscrap.com)</w:t>
            </w:r>
          </w:p>
        </w:tc>
        <w:tc>
          <w:tcPr>
            <w:tcW w:type="dxa" w:w="1700"/>
            <w:tcBorders>
              <w:top w:val="single" w:color="DCDAD4" w:sz="4"/>
              <w:left w:val="single" w:color="DCDAD4" w:sz="4"/>
              <w:bottom w:val="single" w:color="DCDAD4" w:sz="4"/>
              <w:right w:val="single" w:color="DCDAD4" w:sz="4"/>
            </w:tcBorders>
            <w:tcMar>
              <w:top w:type="dxa" w:w="60"/>
              <w:left w:type="dxa" w:w="90"/>
              <w:bottom w:type="dxa" w:w="60"/>
              <w:right w:type="dxa" w:w="90"/>
            </w:tcMar>
          </w:tcPr>
          <w:p>
            <w:r>
              <w:rPr>
                <w:rFonts w:ascii="Calibri" w:cs="Calibri" w:eastAsia="Calibri" w:hAnsi="Calibri"/>
                <w:b w:val="false"/>
                <w:bCs w:val="false"/>
                <w:sz w:val="18"/>
                <w:szCs w:val="18"/>
              </w:rPr>
              <w:t xml:space="preserve">C1 India Pvt. Ltd.</w:t>
            </w:r>
          </w:p>
        </w:tc>
        <w:tc>
          <w:tcPr>
            <w:tcW w:type="dxa" w:w="3938"/>
            <w:tcBorders>
              <w:top w:val="single" w:color="DCDAD4" w:sz="4"/>
              <w:left w:val="single" w:color="DCDAD4" w:sz="4"/>
              <w:bottom w:val="single" w:color="DCDAD4" w:sz="4"/>
              <w:right w:val="single" w:color="DCDAD4" w:sz="4"/>
            </w:tcBorders>
            <w:tcMar>
              <w:top w:type="dxa" w:w="60"/>
              <w:left w:type="dxa" w:w="90"/>
              <w:bottom w:type="dxa" w:w="60"/>
              <w:right w:type="dxa" w:w="90"/>
            </w:tcMar>
          </w:tcPr>
          <w:p>
            <w:r>
              <w:rPr>
                <w:rFonts w:ascii="Calibri" w:cs="Calibri" w:eastAsia="Calibri" w:hAnsi="Calibri"/>
                <w:b w:val="false"/>
                <w:bCs w:val="false"/>
                <w:sz w:val="18"/>
                <w:szCs w:val="18"/>
              </w:rPr>
              <w:t xml:space="preserve">Corporate scrap e-auction service with a manufacturing-scrap offering.</w:t>
            </w:r>
          </w:p>
        </w:tc>
        <w:tc>
          <w:tcPr>
            <w:tcW w:type="dxa" w:w="2100"/>
            <w:tcBorders>
              <w:top w:val="single" w:color="DCDAD4" w:sz="4"/>
              <w:left w:val="single" w:color="DCDAD4" w:sz="4"/>
              <w:bottom w:val="single" w:color="DCDAD4" w:sz="4"/>
              <w:right w:val="single" w:color="DCDAD4" w:sz="4"/>
            </w:tcBorders>
            <w:tcMar>
              <w:top w:type="dxa" w:w="60"/>
              <w:left w:type="dxa" w:w="90"/>
              <w:bottom w:type="dxa" w:w="60"/>
              <w:right w:type="dxa" w:w="90"/>
            </w:tcMar>
          </w:tcPr>
          <w:p>
            <w:r>
              <w:rPr>
                <w:rFonts w:ascii="Calibri" w:cs="Calibri" w:eastAsia="Calibri" w:hAnsi="Calibri"/>
                <w:b w:val="false"/>
                <w:bCs w:val="false"/>
                <w:sz w:val="18"/>
                <w:szCs w:val="18"/>
              </w:rPr>
              <w:t xml:space="preserve">Medium. Process scrap, often turnings and offcuts.</w:t>
            </w:r>
          </w:p>
        </w:tc>
      </w:tr>
      <w:tr>
        <w:trPr>
          <w:cantSplit/>
        </w:trPr>
        <w:tc>
          <w:tcPr>
            <w:tcW w:type="dxa" w:w="1900"/>
            <w:tcBorders>
              <w:top w:val="single" w:color="DCDAD4" w:sz="4"/>
              <w:left w:val="single" w:color="DCDAD4" w:sz="4"/>
              <w:bottom w:val="single" w:color="DCDAD4" w:sz="4"/>
              <w:right w:val="single" w:color="DCDAD4" w:sz="4"/>
            </w:tcBorders>
            <w:tcMar>
              <w:top w:type="dxa" w:w="60"/>
              <w:left w:type="dxa" w:w="90"/>
              <w:bottom w:type="dxa" w:w="60"/>
              <w:right w:type="dxa" w:w="90"/>
            </w:tcMar>
          </w:tcPr>
          <w:p>
            <w:r>
              <w:rPr>
                <w:rFonts w:ascii="Calibri" w:cs="Calibri" w:eastAsia="Calibri" w:hAnsi="Calibri"/>
                <w:b w:val="false"/>
                <w:bCs w:val="false"/>
                <w:sz w:val="18"/>
                <w:szCs w:val="18"/>
              </w:rPr>
              <w:t xml:space="preserve">Salasar Auction (salasarauction.com)</w:t>
            </w:r>
          </w:p>
        </w:tc>
        <w:tc>
          <w:tcPr>
            <w:tcW w:type="dxa" w:w="1700"/>
            <w:tcBorders>
              <w:top w:val="single" w:color="DCDAD4" w:sz="4"/>
              <w:left w:val="single" w:color="DCDAD4" w:sz="4"/>
              <w:bottom w:val="single" w:color="DCDAD4" w:sz="4"/>
              <w:right w:val="single" w:color="DCDAD4" w:sz="4"/>
            </w:tcBorders>
            <w:tcMar>
              <w:top w:type="dxa" w:w="60"/>
              <w:left w:type="dxa" w:w="90"/>
              <w:bottom w:type="dxa" w:w="60"/>
              <w:right w:type="dxa" w:w="90"/>
            </w:tcMar>
          </w:tcPr>
          <w:p>
            <w:r>
              <w:rPr>
                <w:rFonts w:ascii="Calibri" w:cs="Calibri" w:eastAsia="Calibri" w:hAnsi="Calibri"/>
                <w:b w:val="false"/>
                <w:bCs w:val="false"/>
                <w:sz w:val="18"/>
                <w:szCs w:val="18"/>
              </w:rPr>
              <w:t xml:space="preserve">Private operator</w:t>
            </w:r>
          </w:p>
        </w:tc>
        <w:tc>
          <w:tcPr>
            <w:tcW w:type="dxa" w:w="3938"/>
            <w:tcBorders>
              <w:top w:val="single" w:color="DCDAD4" w:sz="4"/>
              <w:left w:val="single" w:color="DCDAD4" w:sz="4"/>
              <w:bottom w:val="single" w:color="DCDAD4" w:sz="4"/>
              <w:right w:val="single" w:color="DCDAD4" w:sz="4"/>
            </w:tcBorders>
            <w:tcMar>
              <w:top w:type="dxa" w:w="60"/>
              <w:left w:type="dxa" w:w="90"/>
              <w:bottom w:type="dxa" w:w="60"/>
              <w:right w:type="dxa" w:w="90"/>
            </w:tcMar>
          </w:tcPr>
          <w:p>
            <w:r>
              <w:rPr>
                <w:rFonts w:ascii="Calibri" w:cs="Calibri" w:eastAsia="Calibri" w:hAnsi="Calibri"/>
                <w:b w:val="false"/>
                <w:bCs w:val="false"/>
                <w:sz w:val="18"/>
                <w:szCs w:val="18"/>
              </w:rPr>
              <w:t xml:space="preserve">Online scrap auctions. Has a general metal scrap price page with a copper category.</w:t>
            </w:r>
          </w:p>
        </w:tc>
        <w:tc>
          <w:tcPr>
            <w:tcW w:type="dxa" w:w="2100"/>
            <w:tcBorders>
              <w:top w:val="single" w:color="DCDAD4" w:sz="4"/>
              <w:left w:val="single" w:color="DCDAD4" w:sz="4"/>
              <w:bottom w:val="single" w:color="DCDAD4" w:sz="4"/>
              <w:right w:val="single" w:color="DCDAD4" w:sz="4"/>
            </w:tcBorders>
            <w:tcMar>
              <w:top w:type="dxa" w:w="60"/>
              <w:left w:type="dxa" w:w="90"/>
              <w:bottom w:type="dxa" w:w="60"/>
              <w:right w:type="dxa" w:w="90"/>
            </w:tcMar>
          </w:tcPr>
          <w:p>
            <w:r>
              <w:rPr>
                <w:rFonts w:ascii="Calibri" w:cs="Calibri" w:eastAsia="Calibri" w:hAnsi="Calibri"/>
                <w:b w:val="false"/>
                <w:bCs w:val="false"/>
                <w:sz w:val="18"/>
                <w:szCs w:val="18"/>
              </w:rPr>
              <w:t xml:space="preserve">Medium. Useful as a price reference.</w:t>
            </w:r>
          </w:p>
        </w:tc>
      </w:tr>
      <w:tr>
        <w:trPr>
          <w:cantSplit/>
        </w:trPr>
        <w:tc>
          <w:tcPr>
            <w:tcW w:type="dxa" w:w="1900"/>
            <w:tcBorders>
              <w:top w:val="single" w:color="DCDAD4" w:sz="4"/>
              <w:left w:val="single" w:color="DCDAD4" w:sz="4"/>
              <w:bottom w:val="single" w:color="DCDAD4" w:sz="4"/>
              <w:right w:val="single" w:color="DCDAD4" w:sz="4"/>
            </w:tcBorders>
            <w:tcMar>
              <w:top w:type="dxa" w:w="60"/>
              <w:left w:type="dxa" w:w="90"/>
              <w:bottom w:type="dxa" w:w="60"/>
              <w:right w:type="dxa" w:w="90"/>
            </w:tcMar>
          </w:tcPr>
          <w:p>
            <w:r>
              <w:rPr>
                <w:rFonts w:ascii="Calibri" w:cs="Calibri" w:eastAsia="Calibri" w:hAnsi="Calibri"/>
                <w:b w:val="false"/>
                <w:bCs w:val="false"/>
                <w:sz w:val="18"/>
                <w:szCs w:val="18"/>
              </w:rPr>
              <w:t xml:space="preserve">Metalbook (metalbook.com)</w:t>
            </w:r>
          </w:p>
        </w:tc>
        <w:tc>
          <w:tcPr>
            <w:tcW w:type="dxa" w:w="1700"/>
            <w:tcBorders>
              <w:top w:val="single" w:color="DCDAD4" w:sz="4"/>
              <w:left w:val="single" w:color="DCDAD4" w:sz="4"/>
              <w:bottom w:val="single" w:color="DCDAD4" w:sz="4"/>
              <w:right w:val="single" w:color="DCDAD4" w:sz="4"/>
            </w:tcBorders>
            <w:tcMar>
              <w:top w:type="dxa" w:w="60"/>
              <w:left w:type="dxa" w:w="90"/>
              <w:bottom w:type="dxa" w:w="60"/>
              <w:right w:type="dxa" w:w="90"/>
            </w:tcMar>
          </w:tcPr>
          <w:p>
            <w:r>
              <w:rPr>
                <w:rFonts w:ascii="Calibri" w:cs="Calibri" w:eastAsia="Calibri" w:hAnsi="Calibri"/>
                <w:b w:val="false"/>
                <w:bCs w:val="false"/>
                <w:sz w:val="18"/>
                <w:szCs w:val="18"/>
              </w:rPr>
              <w:t xml:space="preserve">Private digital marketplace</w:t>
            </w:r>
          </w:p>
        </w:tc>
        <w:tc>
          <w:tcPr>
            <w:tcW w:type="dxa" w:w="3938"/>
            <w:tcBorders>
              <w:top w:val="single" w:color="DCDAD4" w:sz="4"/>
              <w:left w:val="single" w:color="DCDAD4" w:sz="4"/>
              <w:bottom w:val="single" w:color="DCDAD4" w:sz="4"/>
              <w:right w:val="single" w:color="DCDAD4" w:sz="4"/>
            </w:tcBorders>
            <w:tcMar>
              <w:top w:type="dxa" w:w="60"/>
              <w:left w:type="dxa" w:w="90"/>
              <w:bottom w:type="dxa" w:w="60"/>
              <w:right w:type="dxa" w:w="90"/>
            </w:tcMar>
          </w:tcPr>
          <w:p>
            <w:r>
              <w:rPr>
                <w:rFonts w:ascii="Calibri" w:cs="Calibri" w:eastAsia="Calibri" w:hAnsi="Calibri"/>
                <w:b w:val="false"/>
                <w:bCs w:val="false"/>
                <w:sz w:val="18"/>
                <w:szCs w:val="18"/>
              </w:rPr>
              <w:t xml:space="preserve">Marketplace for ferrous and non-ferrous metals including copper and recycled metals. Real-time pricing, logistics and financing. Not an auction house.</w:t>
            </w:r>
          </w:p>
        </w:tc>
        <w:tc>
          <w:tcPr>
            <w:tcW w:type="dxa" w:w="2100"/>
            <w:tcBorders>
              <w:top w:val="single" w:color="DCDAD4" w:sz="4"/>
              <w:left w:val="single" w:color="DCDAD4" w:sz="4"/>
              <w:bottom w:val="single" w:color="DCDAD4" w:sz="4"/>
              <w:right w:val="single" w:color="DCDAD4" w:sz="4"/>
            </w:tcBorders>
            <w:tcMar>
              <w:top w:type="dxa" w:w="60"/>
              <w:left w:type="dxa" w:w="90"/>
              <w:bottom w:type="dxa" w:w="60"/>
              <w:right w:type="dxa" w:w="90"/>
            </w:tcMar>
          </w:tcPr>
          <w:p>
            <w:r>
              <w:rPr>
                <w:rFonts w:ascii="Calibri" w:cs="Calibri" w:eastAsia="Calibri" w:hAnsi="Calibri"/>
                <w:b w:val="false"/>
                <w:bCs w:val="false"/>
                <w:sz w:val="18"/>
                <w:szCs w:val="18"/>
              </w:rPr>
              <w:t xml:space="preserve">Medium. Quote-based buying alongside auctions.</w:t>
            </w:r>
          </w:p>
        </w:tc>
      </w:tr>
      <w:tr>
        <w:trPr>
          <w:cantSplit/>
        </w:trPr>
        <w:tc>
          <w:tcPr>
            <w:tcW w:type="dxa" w:w="1900"/>
            <w:tcBorders>
              <w:top w:val="single" w:color="DCDAD4" w:sz="4"/>
              <w:left w:val="single" w:color="DCDAD4" w:sz="4"/>
              <w:bottom w:val="single" w:color="DCDAD4" w:sz="4"/>
              <w:right w:val="single" w:color="DCDAD4" w:sz="4"/>
            </w:tcBorders>
            <w:tcMar>
              <w:top w:type="dxa" w:w="60"/>
              <w:left w:type="dxa" w:w="90"/>
              <w:bottom w:type="dxa" w:w="60"/>
              <w:right w:type="dxa" w:w="90"/>
            </w:tcMar>
          </w:tcPr>
          <w:p>
            <w:r>
              <w:rPr>
                <w:rFonts w:ascii="Calibri" w:cs="Calibri" w:eastAsia="Calibri" w:hAnsi="Calibri"/>
                <w:b w:val="false"/>
                <w:bCs w:val="false"/>
                <w:sz w:val="18"/>
                <w:szCs w:val="18"/>
              </w:rPr>
              <w:t xml:space="preserve">Auction India (auctionindia.com)</w:t>
            </w:r>
          </w:p>
        </w:tc>
        <w:tc>
          <w:tcPr>
            <w:tcW w:type="dxa" w:w="1700"/>
            <w:tcBorders>
              <w:top w:val="single" w:color="DCDAD4" w:sz="4"/>
              <w:left w:val="single" w:color="DCDAD4" w:sz="4"/>
              <w:bottom w:val="single" w:color="DCDAD4" w:sz="4"/>
              <w:right w:val="single" w:color="DCDAD4" w:sz="4"/>
            </w:tcBorders>
            <w:tcMar>
              <w:top w:type="dxa" w:w="60"/>
              <w:left w:type="dxa" w:w="90"/>
              <w:bottom w:type="dxa" w:w="60"/>
              <w:right w:type="dxa" w:w="90"/>
            </w:tcMar>
          </w:tcPr>
          <w:p>
            <w:r>
              <w:rPr>
                <w:rFonts w:ascii="Calibri" w:cs="Calibri" w:eastAsia="Calibri" w:hAnsi="Calibri"/>
                <w:b w:val="false"/>
                <w:bCs w:val="false"/>
                <w:sz w:val="18"/>
                <w:szCs w:val="18"/>
              </w:rPr>
              <w:t xml:space="preserve">TVS group</w:t>
            </w:r>
          </w:p>
        </w:tc>
        <w:tc>
          <w:tcPr>
            <w:tcW w:type="dxa" w:w="3938"/>
            <w:tcBorders>
              <w:top w:val="single" w:color="DCDAD4" w:sz="4"/>
              <w:left w:val="single" w:color="DCDAD4" w:sz="4"/>
              <w:bottom w:val="single" w:color="DCDAD4" w:sz="4"/>
              <w:right w:val="single" w:color="DCDAD4" w:sz="4"/>
            </w:tcBorders>
            <w:tcMar>
              <w:top w:type="dxa" w:w="60"/>
              <w:left w:type="dxa" w:w="90"/>
              <w:bottom w:type="dxa" w:w="60"/>
              <w:right w:type="dxa" w:w="90"/>
            </w:tcMar>
          </w:tcPr>
          <w:p>
            <w:r>
              <w:rPr>
                <w:rFonts w:ascii="Calibri" w:cs="Calibri" w:eastAsia="Calibri" w:hAnsi="Calibri"/>
                <w:b w:val="false"/>
                <w:bCs w:val="false"/>
                <w:sz w:val="18"/>
                <w:szCs w:val="18"/>
              </w:rPr>
              <w:t xml:space="preserve">Industrial surplus: metal, non-metal, machinery, e-waste, scrap.</w:t>
            </w:r>
          </w:p>
        </w:tc>
        <w:tc>
          <w:tcPr>
            <w:tcW w:type="dxa" w:w="2100"/>
            <w:tcBorders>
              <w:top w:val="single" w:color="DCDAD4" w:sz="4"/>
              <w:left w:val="single" w:color="DCDAD4" w:sz="4"/>
              <w:bottom w:val="single" w:color="DCDAD4" w:sz="4"/>
              <w:right w:val="single" w:color="DCDAD4" w:sz="4"/>
            </w:tcBorders>
            <w:tcMar>
              <w:top w:type="dxa" w:w="60"/>
              <w:left w:type="dxa" w:w="90"/>
              <w:bottom w:type="dxa" w:w="60"/>
              <w:right w:type="dxa" w:w="90"/>
            </w:tcMar>
          </w:tcPr>
          <w:p>
            <w:r>
              <w:rPr>
                <w:rFonts w:ascii="Calibri" w:cs="Calibri" w:eastAsia="Calibri" w:hAnsi="Calibri"/>
                <w:b w:val="false"/>
                <w:bCs w:val="false"/>
                <w:sz w:val="18"/>
                <w:szCs w:val="18"/>
              </w:rPr>
              <w:t xml:space="preserve">Medium. Surplus lots with metal content.</w:t>
            </w:r>
          </w:p>
        </w:tc>
      </w:tr>
      <w:tr>
        <w:trPr>
          <w:cantSplit/>
        </w:trPr>
        <w:tc>
          <w:tcPr>
            <w:tcW w:type="dxa" w:w="1900"/>
            <w:tcBorders>
              <w:top w:val="single" w:color="DCDAD4" w:sz="4"/>
              <w:left w:val="single" w:color="DCDAD4" w:sz="4"/>
              <w:bottom w:val="single" w:color="DCDAD4" w:sz="4"/>
              <w:right w:val="single" w:color="DCDAD4" w:sz="4"/>
            </w:tcBorders>
            <w:tcMar>
              <w:top w:type="dxa" w:w="60"/>
              <w:left w:type="dxa" w:w="90"/>
              <w:bottom w:type="dxa" w:w="60"/>
              <w:right w:type="dxa" w:w="90"/>
            </w:tcMar>
          </w:tcPr>
          <w:p>
            <w:r>
              <w:rPr>
                <w:rFonts w:ascii="Calibri" w:cs="Calibri" w:eastAsia="Calibri" w:hAnsi="Calibri"/>
                <w:b w:val="false"/>
                <w:bCs w:val="false"/>
                <w:sz w:val="18"/>
                <w:szCs w:val="18"/>
              </w:rPr>
              <w:t xml:space="preserve">SteelEZ, MSP Auction</w:t>
            </w:r>
          </w:p>
        </w:tc>
        <w:tc>
          <w:tcPr>
            <w:tcW w:type="dxa" w:w="1700"/>
            <w:tcBorders>
              <w:top w:val="single" w:color="DCDAD4" w:sz="4"/>
              <w:left w:val="single" w:color="DCDAD4" w:sz="4"/>
              <w:bottom w:val="single" w:color="DCDAD4" w:sz="4"/>
              <w:right w:val="single" w:color="DCDAD4" w:sz="4"/>
            </w:tcBorders>
            <w:tcMar>
              <w:top w:type="dxa" w:w="60"/>
              <w:left w:type="dxa" w:w="90"/>
              <w:bottom w:type="dxa" w:w="60"/>
              <w:right w:type="dxa" w:w="90"/>
            </w:tcMar>
          </w:tcPr>
          <w:p>
            <w:r>
              <w:rPr>
                <w:rFonts w:ascii="Calibri" w:cs="Calibri" w:eastAsia="Calibri" w:hAnsi="Calibri"/>
                <w:b w:val="false"/>
                <w:bCs w:val="false"/>
                <w:sz w:val="18"/>
                <w:szCs w:val="18"/>
              </w:rPr>
              <w:t xml:space="preserve">Private operators</w:t>
            </w:r>
          </w:p>
        </w:tc>
        <w:tc>
          <w:tcPr>
            <w:tcW w:type="dxa" w:w="3938"/>
            <w:tcBorders>
              <w:top w:val="single" w:color="DCDAD4" w:sz="4"/>
              <w:left w:val="single" w:color="DCDAD4" w:sz="4"/>
              <w:bottom w:val="single" w:color="DCDAD4" w:sz="4"/>
              <w:right w:val="single" w:color="DCDAD4" w:sz="4"/>
            </w:tcBorders>
            <w:tcMar>
              <w:top w:type="dxa" w:w="60"/>
              <w:left w:type="dxa" w:w="90"/>
              <w:bottom w:type="dxa" w:w="60"/>
              <w:right w:type="dxa" w:w="90"/>
            </w:tcMar>
          </w:tcPr>
          <w:p>
            <w:r>
              <w:rPr>
                <w:rFonts w:ascii="Calibri" w:cs="Calibri" w:eastAsia="Calibri" w:hAnsi="Calibri"/>
                <w:b w:val="false"/>
                <w:bCs w:val="false"/>
                <w:sz w:val="18"/>
                <w:szCs w:val="18"/>
              </w:rPr>
              <w:t xml:space="preserve">Nationwide e-auctions for steel and general scrap.</w:t>
            </w:r>
          </w:p>
        </w:tc>
        <w:tc>
          <w:tcPr>
            <w:tcW w:type="dxa" w:w="2100"/>
            <w:tcBorders>
              <w:top w:val="single" w:color="DCDAD4" w:sz="4"/>
              <w:left w:val="single" w:color="DCDAD4" w:sz="4"/>
              <w:bottom w:val="single" w:color="DCDAD4" w:sz="4"/>
              <w:right w:val="single" w:color="DCDAD4" w:sz="4"/>
            </w:tcBorders>
            <w:tcMar>
              <w:top w:type="dxa" w:w="60"/>
              <w:left w:type="dxa" w:w="90"/>
              <w:bottom w:type="dxa" w:w="60"/>
              <w:right w:type="dxa" w:w="90"/>
            </w:tcMar>
          </w:tcPr>
          <w:p>
            <w:r>
              <w:rPr>
                <w:rFonts w:ascii="Calibri" w:cs="Calibri" w:eastAsia="Calibri" w:hAnsi="Calibri"/>
                <w:b w:val="false"/>
                <w:bCs w:val="false"/>
                <w:sz w:val="18"/>
                <w:szCs w:val="18"/>
              </w:rPr>
              <w:t xml:space="preserve">Low. Mostly ferrous.</w:t>
            </w:r>
          </w:p>
        </w:tc>
      </w:tr>
      <w:tr>
        <w:trPr>
          <w:cantSplit/>
        </w:trPr>
        <w:tc>
          <w:tcPr>
            <w:tcW w:type="dxa" w:w="1900"/>
            <w:tcBorders>
              <w:top w:val="single" w:color="DCDAD4" w:sz="4"/>
              <w:left w:val="single" w:color="DCDAD4" w:sz="4"/>
              <w:bottom w:val="single" w:color="DCDAD4" w:sz="4"/>
              <w:right w:val="single" w:color="DCDAD4" w:sz="4"/>
            </w:tcBorders>
            <w:tcMar>
              <w:top w:type="dxa" w:w="60"/>
              <w:left w:type="dxa" w:w="90"/>
              <w:bottom w:type="dxa" w:w="60"/>
              <w:right w:type="dxa" w:w="90"/>
            </w:tcMar>
          </w:tcPr>
          <w:p>
            <w:r>
              <w:rPr>
                <w:rFonts w:ascii="Calibri" w:cs="Calibri" w:eastAsia="Calibri" w:hAnsi="Calibri"/>
                <w:b w:val="false"/>
                <w:bCs w:val="false"/>
                <w:sz w:val="18"/>
                <w:szCs w:val="18"/>
              </w:rPr>
              <w:t xml:space="preserve">Recykal</w:t>
            </w:r>
          </w:p>
        </w:tc>
        <w:tc>
          <w:tcPr>
            <w:tcW w:type="dxa" w:w="1700"/>
            <w:tcBorders>
              <w:top w:val="single" w:color="DCDAD4" w:sz="4"/>
              <w:left w:val="single" w:color="DCDAD4" w:sz="4"/>
              <w:bottom w:val="single" w:color="DCDAD4" w:sz="4"/>
              <w:right w:val="single" w:color="DCDAD4" w:sz="4"/>
            </w:tcBorders>
            <w:tcMar>
              <w:top w:type="dxa" w:w="60"/>
              <w:left w:type="dxa" w:w="90"/>
              <w:bottom w:type="dxa" w:w="60"/>
              <w:right w:type="dxa" w:w="90"/>
            </w:tcMar>
          </w:tcPr>
          <w:p>
            <w:r>
              <w:rPr>
                <w:rFonts w:ascii="Calibri" w:cs="Calibri" w:eastAsia="Calibri" w:hAnsi="Calibri"/>
                <w:b w:val="false"/>
                <w:bCs w:val="false"/>
                <w:sz w:val="18"/>
                <w:szCs w:val="18"/>
              </w:rPr>
              <w:t xml:space="preserve">Private, Hyderabad, launched 2016</w:t>
            </w:r>
          </w:p>
        </w:tc>
        <w:tc>
          <w:tcPr>
            <w:tcW w:type="dxa" w:w="3938"/>
            <w:tcBorders>
              <w:top w:val="single" w:color="DCDAD4" w:sz="4"/>
              <w:left w:val="single" w:color="DCDAD4" w:sz="4"/>
              <w:bottom w:val="single" w:color="DCDAD4" w:sz="4"/>
              <w:right w:val="single" w:color="DCDAD4" w:sz="4"/>
            </w:tcBorders>
            <w:tcMar>
              <w:top w:type="dxa" w:w="60"/>
              <w:left w:type="dxa" w:w="90"/>
              <w:bottom w:type="dxa" w:w="60"/>
              <w:right w:type="dxa" w:w="90"/>
            </w:tcMar>
          </w:tcPr>
          <w:p>
            <w:r>
              <w:rPr>
                <w:rFonts w:ascii="Calibri" w:cs="Calibri" w:eastAsia="Calibri" w:hAnsi="Calibri"/>
                <w:b w:val="false"/>
                <w:bCs w:val="false"/>
                <w:sz w:val="18"/>
                <w:szCs w:val="18"/>
              </w:rPr>
              <w:t xml:space="preserve">Recyclables marketplace connecting more than 4,000 scrap dealers with recyclers.</w:t>
            </w:r>
          </w:p>
        </w:tc>
        <w:tc>
          <w:tcPr>
            <w:tcW w:type="dxa" w:w="2100"/>
            <w:tcBorders>
              <w:top w:val="single" w:color="DCDAD4" w:sz="4"/>
              <w:left w:val="single" w:color="DCDAD4" w:sz="4"/>
              <w:bottom w:val="single" w:color="DCDAD4" w:sz="4"/>
              <w:right w:val="single" w:color="DCDAD4" w:sz="4"/>
            </w:tcBorders>
            <w:tcMar>
              <w:top w:type="dxa" w:w="60"/>
              <w:left w:type="dxa" w:w="90"/>
              <w:bottom w:type="dxa" w:w="60"/>
              <w:right w:type="dxa" w:w="90"/>
            </w:tcMar>
          </w:tcPr>
          <w:p>
            <w:r>
              <w:rPr>
                <w:rFonts w:ascii="Calibri" w:cs="Calibri" w:eastAsia="Calibri" w:hAnsi="Calibri"/>
                <w:b w:val="false"/>
                <w:bCs w:val="false"/>
                <w:sz w:val="18"/>
                <w:szCs w:val="18"/>
              </w:rPr>
              <w:t xml:space="preserve">Low. Dealer-level, small lots.</w:t>
            </w:r>
          </w:p>
        </w:tc>
      </w:tr>
    </w:tbl>
    <w:p>
      <w:pPr>
        <w:spacing w:before="100"/>
      </w:pPr>
      <w:r>
        <w:rPr>
          <w:rFonts w:ascii="Calibri" w:cs="Calibri" w:eastAsia="Calibri" w:hAnsi="Calibri"/>
          <w:color w:val="6F6D68"/>
          <w:sz w:val="18"/>
          <w:szCs w:val="18"/>
        </w:rPr>
        <w:t xml:space="preserve">ScrapUncle was also found. It is a doorstep pickup service for households, not a bulk industrial source, so it is left out of the shortlist.</w:t>
      </w:r>
    </w:p>
    <w:p>
      <w:pPr>
        <w:pStyle w:val="Heading1"/>
        <w:keepNext/>
        <w:spacing w:after="120" w:before="320"/>
      </w:pPr>
      <w:r>
        <w:rPr>
          <w:rFonts w:ascii="Calibri" w:cs="Calibri" w:eastAsia="Calibri" w:hAnsi="Calibri"/>
        </w:rPr>
        <w:t xml:space="preserve">4. Government scrap auction platforms</w:t>
      </w:r>
    </w:p>
    <w:p>
      <w:pPr>
        <w:spacing w:after="100" w:line="276"/>
      </w:pPr>
      <w:r>
        <w:rPr>
          <w:rFonts w:ascii="Calibri" w:cs="Calibri" w:eastAsia="Calibri" w:hAnsi="Calibri"/>
        </w:rPr>
        <w:t xml:space="preserve">Central ministries, PSUs, railways and defence units dispose of scrap by e-auction. Lots are large and terms are published.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1900"/>
        <w:gridCol w:w="3838"/>
        <w:gridCol w:w="2000"/>
      </w:tblGrid>
      <w:tr>
        <w:trPr>
          <w:cantSplit/>
          <w:tblHeader/>
        </w:trPr>
        <w:tc>
          <w:tcPr>
            <w:tcW w:type="dxa" w:w="1900"/>
            <w:tcBorders>
              <w:top w:val="single" w:color="DCDAD4" w:sz="4"/>
              <w:left w:val="single" w:color="DCDAD4" w:sz="4"/>
              <w:bottom w:val="single" w:color="DCDAD4" w:sz="4"/>
              <w:right w:val="single" w:color="DCDAD4" w:sz="4"/>
            </w:tcBorders>
            <w:shd w:fill="EDE6DF" w:val="clear"/>
            <w:tcMar>
              <w:top w:type="dxa" w:w="60"/>
              <w:left w:type="dxa" w:w="90"/>
              <w:bottom w:type="dxa" w:w="60"/>
              <w:right w:type="dxa" w:w="90"/>
            </w:tcMar>
          </w:tcPr>
          <w:p>
            <w:r>
              <w:rPr>
                <w:rFonts w:ascii="Calibri" w:cs="Calibri" w:eastAsia="Calibri" w:hAnsi="Calibri"/>
                <w:b/>
                <w:bCs/>
                <w:sz w:val="18"/>
                <w:szCs w:val="18"/>
              </w:rPr>
              <w:t xml:space="preserve">Platform</w:t>
            </w:r>
          </w:p>
        </w:tc>
        <w:tc>
          <w:tcPr>
            <w:tcW w:type="dxa" w:w="1900"/>
            <w:tcBorders>
              <w:top w:val="single" w:color="DCDAD4" w:sz="4"/>
              <w:left w:val="single" w:color="DCDAD4" w:sz="4"/>
              <w:bottom w:val="single" w:color="DCDAD4" w:sz="4"/>
              <w:right w:val="single" w:color="DCDAD4" w:sz="4"/>
            </w:tcBorders>
            <w:shd w:fill="EDE6DF" w:val="clear"/>
            <w:tcMar>
              <w:top w:type="dxa" w:w="60"/>
              <w:left w:type="dxa" w:w="90"/>
              <w:bottom w:type="dxa" w:w="60"/>
              <w:right w:type="dxa" w:w="90"/>
            </w:tcMar>
          </w:tcPr>
          <w:p>
            <w:r>
              <w:rPr>
                <w:rFonts w:ascii="Calibri" w:cs="Calibri" w:eastAsia="Calibri" w:hAnsi="Calibri"/>
                <w:b/>
                <w:bCs/>
                <w:sz w:val="18"/>
                <w:szCs w:val="18"/>
              </w:rPr>
              <w:t xml:space="preserve">Run by</w:t>
            </w:r>
          </w:p>
        </w:tc>
        <w:tc>
          <w:tcPr>
            <w:tcW w:type="dxa" w:w="3838"/>
            <w:tcBorders>
              <w:top w:val="single" w:color="DCDAD4" w:sz="4"/>
              <w:left w:val="single" w:color="DCDAD4" w:sz="4"/>
              <w:bottom w:val="single" w:color="DCDAD4" w:sz="4"/>
              <w:right w:val="single" w:color="DCDAD4" w:sz="4"/>
            </w:tcBorders>
            <w:shd w:fill="EDE6DF" w:val="clear"/>
            <w:tcMar>
              <w:top w:type="dxa" w:w="60"/>
              <w:left w:type="dxa" w:w="90"/>
              <w:bottom w:type="dxa" w:w="60"/>
              <w:right w:type="dxa" w:w="90"/>
            </w:tcMar>
          </w:tcPr>
          <w:p>
            <w:r>
              <w:rPr>
                <w:rFonts w:ascii="Calibri" w:cs="Calibri" w:eastAsia="Calibri" w:hAnsi="Calibri"/>
                <w:b/>
                <w:bCs/>
                <w:sz w:val="18"/>
                <w:szCs w:val="18"/>
              </w:rPr>
              <w:t xml:space="preserve">What the sources say</w:t>
            </w:r>
          </w:p>
        </w:tc>
        <w:tc>
          <w:tcPr>
            <w:tcW w:type="dxa" w:w="2000"/>
            <w:tcBorders>
              <w:top w:val="single" w:color="DCDAD4" w:sz="4"/>
              <w:left w:val="single" w:color="DCDAD4" w:sz="4"/>
              <w:bottom w:val="single" w:color="DCDAD4" w:sz="4"/>
              <w:right w:val="single" w:color="DCDAD4" w:sz="4"/>
            </w:tcBorders>
            <w:shd w:fill="EDE6DF" w:val="clear"/>
            <w:tcMar>
              <w:top w:type="dxa" w:w="60"/>
              <w:left w:type="dxa" w:w="90"/>
              <w:bottom w:type="dxa" w:w="60"/>
              <w:right w:type="dxa" w:w="90"/>
            </w:tcMar>
          </w:tcPr>
          <w:p>
            <w:r>
              <w:rPr>
                <w:rFonts w:ascii="Calibri" w:cs="Calibri" w:eastAsia="Calibri" w:hAnsi="Calibri"/>
                <w:b/>
                <w:bCs/>
                <w:sz w:val="18"/>
                <w:szCs w:val="18"/>
              </w:rPr>
              <w:t xml:space="preserve">Relevance</w:t>
            </w:r>
          </w:p>
        </w:tc>
      </w:tr>
      <w:tr>
        <w:trPr>
          <w:cantSplit/>
        </w:trPr>
        <w:tc>
          <w:tcPr>
            <w:tcW w:type="dxa" w:w="1900"/>
            <w:tcBorders>
              <w:top w:val="single" w:color="DCDAD4" w:sz="4"/>
              <w:left w:val="single" w:color="DCDAD4" w:sz="4"/>
              <w:bottom w:val="single" w:color="DCDAD4" w:sz="4"/>
              <w:right w:val="single" w:color="DCDAD4" w:sz="4"/>
            </w:tcBorders>
            <w:tcMar>
              <w:top w:type="dxa" w:w="60"/>
              <w:left w:type="dxa" w:w="90"/>
              <w:bottom w:type="dxa" w:w="60"/>
              <w:right w:type="dxa" w:w="90"/>
            </w:tcMar>
          </w:tcPr>
          <w:p>
            <w:r>
              <w:rPr>
                <w:rFonts w:ascii="Calibri" w:cs="Calibri" w:eastAsia="Calibri" w:hAnsi="Calibri"/>
                <w:b w:val="false"/>
                <w:bCs w:val="false"/>
                <w:sz w:val="18"/>
                <w:szCs w:val="18"/>
              </w:rPr>
              <w:t xml:space="preserve">MSTC e-Auction (mstcecommerce.com)</w:t>
            </w:r>
          </w:p>
        </w:tc>
        <w:tc>
          <w:tcPr>
            <w:tcW w:type="dxa" w:w="1900"/>
            <w:tcBorders>
              <w:top w:val="single" w:color="DCDAD4" w:sz="4"/>
              <w:left w:val="single" w:color="DCDAD4" w:sz="4"/>
              <w:bottom w:val="single" w:color="DCDAD4" w:sz="4"/>
              <w:right w:val="single" w:color="DCDAD4" w:sz="4"/>
            </w:tcBorders>
            <w:tcMar>
              <w:top w:type="dxa" w:w="60"/>
              <w:left w:type="dxa" w:w="90"/>
              <w:bottom w:type="dxa" w:w="60"/>
              <w:right w:type="dxa" w:w="90"/>
            </w:tcMar>
          </w:tcPr>
          <w:p>
            <w:r>
              <w:rPr>
                <w:rFonts w:ascii="Calibri" w:cs="Calibri" w:eastAsia="Calibri" w:hAnsi="Calibri"/>
                <w:b w:val="false"/>
                <w:bCs w:val="false"/>
                <w:sz w:val="18"/>
                <w:szCs w:val="18"/>
              </w:rPr>
              <w:t xml:space="preserve">MSTC Ltd, Miniratna Cat-I PSU under the Ministry of Steel</w:t>
            </w:r>
          </w:p>
        </w:tc>
        <w:tc>
          <w:tcPr>
            <w:tcW w:type="dxa" w:w="3838"/>
            <w:tcBorders>
              <w:top w:val="single" w:color="DCDAD4" w:sz="4"/>
              <w:left w:val="single" w:color="DCDAD4" w:sz="4"/>
              <w:bottom w:val="single" w:color="DCDAD4" w:sz="4"/>
              <w:right w:val="single" w:color="DCDAD4" w:sz="4"/>
            </w:tcBorders>
            <w:tcMar>
              <w:top w:type="dxa" w:w="60"/>
              <w:left w:type="dxa" w:w="90"/>
              <w:bottom w:type="dxa" w:w="60"/>
              <w:right w:type="dxa" w:w="90"/>
            </w:tcMar>
          </w:tcPr>
          <w:p>
            <w:r>
              <w:rPr>
                <w:rFonts w:ascii="Calibri" w:cs="Calibri" w:eastAsia="Calibri" w:hAnsi="Calibri"/>
                <w:b w:val="false"/>
                <w:bCs w:val="false"/>
                <w:sz w:val="18"/>
                <w:szCs w:val="18"/>
              </w:rPr>
              <w:t xml:space="preserve">Runs scrap, surplus, coal and mineral e-auctions for PSUs, railways, defence and ministries. Scrap is about 50 to 52% of e-commerce revenue. FY2025-26 e-auction and e-sale revenue: Rs 321.29 crore of Rs 329.72 crore e-commerce revenue.</w:t>
            </w:r>
          </w:p>
        </w:tc>
        <w:tc>
          <w:tcPr>
            <w:tcW w:type="dxa" w:w="2000"/>
            <w:tcBorders>
              <w:top w:val="single" w:color="DCDAD4" w:sz="4"/>
              <w:left w:val="single" w:color="DCDAD4" w:sz="4"/>
              <w:bottom w:val="single" w:color="DCDAD4" w:sz="4"/>
              <w:right w:val="single" w:color="DCDAD4" w:sz="4"/>
            </w:tcBorders>
            <w:tcMar>
              <w:top w:type="dxa" w:w="60"/>
              <w:left w:type="dxa" w:w="90"/>
              <w:bottom w:type="dxa" w:w="60"/>
              <w:right w:type="dxa" w:w="90"/>
            </w:tcMar>
          </w:tcPr>
          <w:p>
            <w:r>
              <w:rPr>
                <w:rFonts w:ascii="Calibri" w:cs="Calibri" w:eastAsia="Calibri" w:hAnsi="Calibri"/>
                <w:b w:val="false"/>
                <w:bCs w:val="false"/>
                <w:sz w:val="18"/>
                <w:szCs w:val="18"/>
              </w:rPr>
              <w:t xml:space="preserve">High. First place to register.</w:t>
            </w:r>
          </w:p>
        </w:tc>
      </w:tr>
      <w:tr>
        <w:trPr>
          <w:cantSplit/>
        </w:trPr>
        <w:tc>
          <w:tcPr>
            <w:tcW w:type="dxa" w:w="1900"/>
            <w:tcBorders>
              <w:top w:val="single" w:color="DCDAD4" w:sz="4"/>
              <w:left w:val="single" w:color="DCDAD4" w:sz="4"/>
              <w:bottom w:val="single" w:color="DCDAD4" w:sz="4"/>
              <w:right w:val="single" w:color="DCDAD4" w:sz="4"/>
            </w:tcBorders>
            <w:tcMar>
              <w:top w:type="dxa" w:w="60"/>
              <w:left w:type="dxa" w:w="90"/>
              <w:bottom w:type="dxa" w:w="60"/>
              <w:right w:type="dxa" w:w="90"/>
            </w:tcMar>
          </w:tcPr>
          <w:p>
            <w:r>
              <w:rPr>
                <w:rFonts w:ascii="Calibri" w:cs="Calibri" w:eastAsia="Calibri" w:hAnsi="Calibri"/>
                <w:b w:val="false"/>
                <w:bCs w:val="false"/>
                <w:sz w:val="18"/>
                <w:szCs w:val="18"/>
              </w:rPr>
              <w:t xml:space="preserve">IREPS (ireps.gov.in)</w:t>
            </w:r>
          </w:p>
        </w:tc>
        <w:tc>
          <w:tcPr>
            <w:tcW w:type="dxa" w:w="1900"/>
            <w:tcBorders>
              <w:top w:val="single" w:color="DCDAD4" w:sz="4"/>
              <w:left w:val="single" w:color="DCDAD4" w:sz="4"/>
              <w:bottom w:val="single" w:color="DCDAD4" w:sz="4"/>
              <w:right w:val="single" w:color="DCDAD4" w:sz="4"/>
            </w:tcBorders>
            <w:tcMar>
              <w:top w:type="dxa" w:w="60"/>
              <w:left w:type="dxa" w:w="90"/>
              <w:bottom w:type="dxa" w:w="60"/>
              <w:right w:type="dxa" w:w="90"/>
            </w:tcMar>
          </w:tcPr>
          <w:p>
            <w:r>
              <w:rPr>
                <w:rFonts w:ascii="Calibri" w:cs="Calibri" w:eastAsia="Calibri" w:hAnsi="Calibri"/>
                <w:b w:val="false"/>
                <w:bCs w:val="false"/>
                <w:sz w:val="18"/>
                <w:szCs w:val="18"/>
              </w:rPr>
              <w:t xml:space="preserve">Indian Railways</w:t>
            </w:r>
          </w:p>
        </w:tc>
        <w:tc>
          <w:tcPr>
            <w:tcW w:type="dxa" w:w="3838"/>
            <w:tcBorders>
              <w:top w:val="single" w:color="DCDAD4" w:sz="4"/>
              <w:left w:val="single" w:color="DCDAD4" w:sz="4"/>
              <w:bottom w:val="single" w:color="DCDAD4" w:sz="4"/>
              <w:right w:val="single" w:color="DCDAD4" w:sz="4"/>
            </w:tcBorders>
            <w:tcMar>
              <w:top w:type="dxa" w:w="60"/>
              <w:left w:type="dxa" w:w="90"/>
              <w:bottom w:type="dxa" w:w="60"/>
              <w:right w:type="dxa" w:w="90"/>
            </w:tcMar>
          </w:tcPr>
          <w:p>
            <w:r>
              <w:rPr>
                <w:rFonts w:ascii="Calibri" w:cs="Calibri" w:eastAsia="Calibri" w:hAnsi="Calibri"/>
                <w:b w:val="false"/>
                <w:bCs w:val="false"/>
                <w:sz w:val="18"/>
                <w:szCs w:val="18"/>
              </w:rPr>
              <w:t xml:space="preserve">All railway scrap sold by e-auction, about Rs 3,500 to 4,000 crore a year. Bidders need IREPS registration and a Class III digital signature certificate.</w:t>
            </w:r>
          </w:p>
        </w:tc>
        <w:tc>
          <w:tcPr>
            <w:tcW w:type="dxa" w:w="2000"/>
            <w:tcBorders>
              <w:top w:val="single" w:color="DCDAD4" w:sz="4"/>
              <w:left w:val="single" w:color="DCDAD4" w:sz="4"/>
              <w:bottom w:val="single" w:color="DCDAD4" w:sz="4"/>
              <w:right w:val="single" w:color="DCDAD4" w:sz="4"/>
            </w:tcBorders>
            <w:tcMar>
              <w:top w:type="dxa" w:w="60"/>
              <w:left w:type="dxa" w:w="90"/>
              <w:bottom w:type="dxa" w:w="60"/>
              <w:right w:type="dxa" w:w="90"/>
            </w:tcMar>
          </w:tcPr>
          <w:p>
            <w:r>
              <w:rPr>
                <w:rFonts w:ascii="Calibri" w:cs="Calibri" w:eastAsia="Calibri" w:hAnsi="Calibri"/>
                <w:b w:val="false"/>
                <w:bCs w:val="false"/>
                <w:sz w:val="18"/>
                <w:szCs w:val="18"/>
              </w:rPr>
              <w:t xml:space="preserve">High. Brass and copper items from depots and workshops.</w:t>
            </w:r>
          </w:p>
        </w:tc>
      </w:tr>
      <w:tr>
        <w:trPr>
          <w:cantSplit/>
        </w:trPr>
        <w:tc>
          <w:tcPr>
            <w:tcW w:type="dxa" w:w="1900"/>
            <w:tcBorders>
              <w:top w:val="single" w:color="DCDAD4" w:sz="4"/>
              <w:left w:val="single" w:color="DCDAD4" w:sz="4"/>
              <w:bottom w:val="single" w:color="DCDAD4" w:sz="4"/>
              <w:right w:val="single" w:color="DCDAD4" w:sz="4"/>
            </w:tcBorders>
            <w:tcMar>
              <w:top w:type="dxa" w:w="60"/>
              <w:left w:type="dxa" w:w="90"/>
              <w:bottom w:type="dxa" w:w="60"/>
              <w:right w:type="dxa" w:w="90"/>
            </w:tcMar>
          </w:tcPr>
          <w:p>
            <w:r>
              <w:rPr>
                <w:rFonts w:ascii="Calibri" w:cs="Calibri" w:eastAsia="Calibri" w:hAnsi="Calibri"/>
                <w:b w:val="false"/>
                <w:bCs w:val="false"/>
                <w:sz w:val="18"/>
                <w:szCs w:val="18"/>
              </w:rPr>
              <w:t xml:space="preserve">GeM Forward Auction (gem.gov.in)</w:t>
            </w:r>
          </w:p>
        </w:tc>
        <w:tc>
          <w:tcPr>
            <w:tcW w:type="dxa" w:w="1900"/>
            <w:tcBorders>
              <w:top w:val="single" w:color="DCDAD4" w:sz="4"/>
              <w:left w:val="single" w:color="DCDAD4" w:sz="4"/>
              <w:bottom w:val="single" w:color="DCDAD4" w:sz="4"/>
              <w:right w:val="single" w:color="DCDAD4" w:sz="4"/>
            </w:tcBorders>
            <w:tcMar>
              <w:top w:type="dxa" w:w="60"/>
              <w:left w:type="dxa" w:w="90"/>
              <w:bottom w:type="dxa" w:w="60"/>
              <w:right w:type="dxa" w:w="90"/>
            </w:tcMar>
          </w:tcPr>
          <w:p>
            <w:r>
              <w:rPr>
                <w:rFonts w:ascii="Calibri" w:cs="Calibri" w:eastAsia="Calibri" w:hAnsi="Calibri"/>
                <w:b w:val="false"/>
                <w:bCs w:val="false"/>
                <w:sz w:val="18"/>
                <w:szCs w:val="18"/>
              </w:rPr>
              <w:t xml:space="preserve">Government e-Marketplace</w:t>
            </w:r>
          </w:p>
        </w:tc>
        <w:tc>
          <w:tcPr>
            <w:tcW w:type="dxa" w:w="3838"/>
            <w:tcBorders>
              <w:top w:val="single" w:color="DCDAD4" w:sz="4"/>
              <w:left w:val="single" w:color="DCDAD4" w:sz="4"/>
              <w:bottom w:val="single" w:color="DCDAD4" w:sz="4"/>
              <w:right w:val="single" w:color="DCDAD4" w:sz="4"/>
            </w:tcBorders>
            <w:tcMar>
              <w:top w:type="dxa" w:w="60"/>
              <w:left w:type="dxa" w:w="90"/>
              <w:bottom w:type="dxa" w:w="60"/>
              <w:right w:type="dxa" w:w="90"/>
            </w:tcMar>
          </w:tcPr>
          <w:p>
            <w:r>
              <w:rPr>
                <w:rFonts w:ascii="Calibri" w:cs="Calibri" w:eastAsia="Calibri" w:hAnsi="Calibri"/>
                <w:b w:val="false"/>
                <w:bCs w:val="false"/>
                <w:sz w:val="18"/>
                <w:szCs w:val="18"/>
              </w:rPr>
              <w:t xml:space="preserve">Disposal of government assets, including vehicles, by registered buyers. Growing across central ministries.</w:t>
            </w:r>
          </w:p>
        </w:tc>
        <w:tc>
          <w:tcPr>
            <w:tcW w:type="dxa" w:w="2000"/>
            <w:tcBorders>
              <w:top w:val="single" w:color="DCDAD4" w:sz="4"/>
              <w:left w:val="single" w:color="DCDAD4" w:sz="4"/>
              <w:bottom w:val="single" w:color="DCDAD4" w:sz="4"/>
              <w:right w:val="single" w:color="DCDAD4" w:sz="4"/>
            </w:tcBorders>
            <w:tcMar>
              <w:top w:type="dxa" w:w="60"/>
              <w:left w:type="dxa" w:w="90"/>
              <w:bottom w:type="dxa" w:w="60"/>
              <w:right w:type="dxa" w:w="90"/>
            </w:tcMar>
          </w:tcPr>
          <w:p>
            <w:r>
              <w:rPr>
                <w:rFonts w:ascii="Calibri" w:cs="Calibri" w:eastAsia="Calibri" w:hAnsi="Calibri"/>
                <w:b w:val="false"/>
                <w:bCs w:val="false"/>
                <w:sz w:val="18"/>
                <w:szCs w:val="18"/>
              </w:rPr>
              <w:t xml:space="preserve">Medium. Occasional metal lots.</w:t>
            </w:r>
          </w:p>
        </w:tc>
      </w:tr>
      <w:tr>
        <w:trPr>
          <w:cantSplit/>
        </w:trPr>
        <w:tc>
          <w:tcPr>
            <w:tcW w:type="dxa" w:w="1900"/>
            <w:tcBorders>
              <w:top w:val="single" w:color="DCDAD4" w:sz="4"/>
              <w:left w:val="single" w:color="DCDAD4" w:sz="4"/>
              <w:bottom w:val="single" w:color="DCDAD4" w:sz="4"/>
              <w:right w:val="single" w:color="DCDAD4" w:sz="4"/>
            </w:tcBorders>
            <w:tcMar>
              <w:top w:type="dxa" w:w="60"/>
              <w:left w:type="dxa" w:w="90"/>
              <w:bottom w:type="dxa" w:w="60"/>
              <w:right w:type="dxa" w:w="90"/>
            </w:tcMar>
          </w:tcPr>
          <w:p>
            <w:r>
              <w:rPr>
                <w:rFonts w:ascii="Calibri" w:cs="Calibri" w:eastAsia="Calibri" w:hAnsi="Calibri"/>
                <w:b w:val="false"/>
                <w:bCs w:val="false"/>
                <w:sz w:val="18"/>
                <w:szCs w:val="18"/>
              </w:rPr>
              <w:t xml:space="preserve">Institute and PSU own portals</w:t>
            </w:r>
          </w:p>
        </w:tc>
        <w:tc>
          <w:tcPr>
            <w:tcW w:type="dxa" w:w="1900"/>
            <w:tcBorders>
              <w:top w:val="single" w:color="DCDAD4" w:sz="4"/>
              <w:left w:val="single" w:color="DCDAD4" w:sz="4"/>
              <w:bottom w:val="single" w:color="DCDAD4" w:sz="4"/>
              <w:right w:val="single" w:color="DCDAD4" w:sz="4"/>
            </w:tcBorders>
            <w:tcMar>
              <w:top w:type="dxa" w:w="60"/>
              <w:left w:type="dxa" w:w="90"/>
              <w:bottom w:type="dxa" w:w="60"/>
              <w:right w:type="dxa" w:w="90"/>
            </w:tcMar>
          </w:tcPr>
          <w:p>
            <w:r>
              <w:rPr>
                <w:rFonts w:ascii="Calibri" w:cs="Calibri" w:eastAsia="Calibri" w:hAnsi="Calibri"/>
                <w:b w:val="false"/>
                <w:bCs w:val="false"/>
                <w:sz w:val="18"/>
                <w:szCs w:val="18"/>
              </w:rPr>
              <w:t xml:space="preserve">Individual departments</w:t>
            </w:r>
          </w:p>
        </w:tc>
        <w:tc>
          <w:tcPr>
            <w:tcW w:type="dxa" w:w="3838"/>
            <w:tcBorders>
              <w:top w:val="single" w:color="DCDAD4" w:sz="4"/>
              <w:left w:val="single" w:color="DCDAD4" w:sz="4"/>
              <w:bottom w:val="single" w:color="DCDAD4" w:sz="4"/>
              <w:right w:val="single" w:color="DCDAD4" w:sz="4"/>
            </w:tcBorders>
            <w:tcMar>
              <w:top w:type="dxa" w:w="60"/>
              <w:left w:type="dxa" w:w="90"/>
              <w:bottom w:type="dxa" w:w="60"/>
              <w:right w:type="dxa" w:w="90"/>
            </w:tcMar>
          </w:tcPr>
          <w:p>
            <w:r>
              <w:rPr>
                <w:rFonts w:ascii="Calibri" w:cs="Calibri" w:eastAsia="Calibri" w:hAnsi="Calibri"/>
                <w:b w:val="false"/>
                <w:bCs w:val="false"/>
                <w:sz w:val="18"/>
                <w:szCs w:val="18"/>
              </w:rPr>
              <w:t xml:space="preserve">Some bodies publish their own scrap e-auctions. Others route through MSTC.</w:t>
            </w:r>
          </w:p>
        </w:tc>
        <w:tc>
          <w:tcPr>
            <w:tcW w:type="dxa" w:w="2000"/>
            <w:tcBorders>
              <w:top w:val="single" w:color="DCDAD4" w:sz="4"/>
              <w:left w:val="single" w:color="DCDAD4" w:sz="4"/>
              <w:bottom w:val="single" w:color="DCDAD4" w:sz="4"/>
              <w:right w:val="single" w:color="DCDAD4" w:sz="4"/>
            </w:tcBorders>
            <w:tcMar>
              <w:top w:type="dxa" w:w="60"/>
              <w:left w:type="dxa" w:w="90"/>
              <w:bottom w:type="dxa" w:w="60"/>
              <w:right w:type="dxa" w:w="90"/>
            </w:tcMar>
          </w:tcPr>
          <w:p>
            <w:r>
              <w:rPr>
                <w:rFonts w:ascii="Calibri" w:cs="Calibri" w:eastAsia="Calibri" w:hAnsi="Calibri"/>
                <w:b w:val="false"/>
                <w:bCs w:val="false"/>
                <w:sz w:val="18"/>
                <w:szCs w:val="18"/>
              </w:rPr>
              <w:t xml:space="preserve">Low. Case by case. Monitor via tender aggregators.</w:t>
            </w:r>
          </w:p>
        </w:tc>
      </w:tr>
    </w:tbl>
    <w:p>
      <w:pPr>
        <w:pStyle w:val="Heading1"/>
        <w:keepNext/>
        <w:spacing w:after="120" w:before="320"/>
      </w:pPr>
      <w:r>
        <w:rPr>
          <w:rFonts w:ascii="Calibri" w:cs="Calibri" w:eastAsia="Calibri" w:hAnsi="Calibri"/>
        </w:rPr>
        <w:t xml:space="preserve">5. Platform comparison</w:t>
      </w:r>
    </w:p>
    <w:p>
      <w:pPr>
        <w:spacing w:after="100" w:line="276"/>
      </w:pPr>
      <w:r>
        <w:rPr>
          <w:rFonts w:ascii="Calibri" w:cs="Calibri" w:eastAsia="Calibri" w:hAnsi="Calibri"/>
        </w:rPr>
        <w:t xml:space="preserve">What each source states about the platform. S = stated, I = implied, - = not shown. This is a reading of the sources, not measured data.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38"/>
        <w:gridCol w:w="1100"/>
        <w:gridCol w:w="1550"/>
        <w:gridCol w:w="1550"/>
        <w:gridCol w:w="1550"/>
        <w:gridCol w:w="1550"/>
      </w:tblGrid>
      <w:tr>
        <w:trPr>
          <w:tblHeader/>
        </w:trPr>
        <w:tc>
          <w:tcPr>
            <w:tcW w:type="dxa" w:w="2338"/>
            <w:tcBorders>
              <w:top w:val="single" w:color="DCDAD4" w:sz="4"/>
              <w:left w:val="single" w:color="DCDAD4" w:sz="4"/>
              <w:bottom w:val="single" w:color="DCDAD4" w:sz="4"/>
              <w:right w:val="single" w:color="DCDAD4" w:sz="4"/>
            </w:tcBorders>
            <w:shd w:fill="EDE6DF" w:val="clear"/>
            <w:tcMar>
              <w:top w:type="dxa" w:w="60"/>
              <w:left w:type="dxa" w:w="90"/>
              <w:bottom w:type="dxa" w:w="60"/>
              <w:right w:type="dxa" w:w="90"/>
            </w:tcMar>
          </w:tcPr>
          <w:p>
            <w:pPr>
              <w:jc w:val="left"/>
            </w:pPr>
            <w:r>
              <w:rPr>
                <w:rFonts w:ascii="Calibri" w:cs="Calibri" w:eastAsia="Calibri" w:hAnsi="Calibri"/>
                <w:b/>
                <w:bCs/>
                <w:sz w:val="18"/>
                <w:szCs w:val="18"/>
              </w:rPr>
              <w:t xml:space="preserve">Platform</w:t>
            </w:r>
          </w:p>
        </w:tc>
        <w:tc>
          <w:tcPr>
            <w:tcW w:type="dxa" w:w="1100"/>
            <w:tcBorders>
              <w:top w:val="single" w:color="DCDAD4" w:sz="4"/>
              <w:left w:val="single" w:color="DCDAD4" w:sz="4"/>
              <w:bottom w:val="single" w:color="DCDAD4" w:sz="4"/>
              <w:right w:val="single" w:color="DCDAD4" w:sz="4"/>
            </w:tcBorders>
            <w:shd w:fill="EDE6DF" w:val="clear"/>
            <w:tcMar>
              <w:top w:type="dxa" w:w="60"/>
              <w:left w:type="dxa" w:w="90"/>
              <w:bottom w:type="dxa" w:w="60"/>
              <w:right w:type="dxa" w:w="90"/>
            </w:tcMar>
          </w:tcPr>
          <w:p>
            <w:pPr>
              <w:jc w:val="left"/>
            </w:pPr>
            <w:r>
              <w:rPr>
                <w:rFonts w:ascii="Calibri" w:cs="Calibri" w:eastAsia="Calibri" w:hAnsi="Calibri"/>
                <w:b/>
                <w:bCs/>
                <w:sz w:val="18"/>
                <w:szCs w:val="18"/>
              </w:rPr>
              <w:t xml:space="preserve">Type</w:t>
            </w:r>
          </w:p>
        </w:tc>
        <w:tc>
          <w:tcPr>
            <w:tcW w:type="dxa" w:w="1550"/>
            <w:tcBorders>
              <w:top w:val="single" w:color="DCDAD4" w:sz="4"/>
              <w:left w:val="single" w:color="DCDAD4" w:sz="4"/>
              <w:bottom w:val="single" w:color="DCDAD4" w:sz="4"/>
              <w:right w:val="single" w:color="DCDAD4" w:sz="4"/>
            </w:tcBorders>
            <w:shd w:fill="EDE6DF" w:val="clear"/>
            <w:tcMar>
              <w:top w:type="dxa" w:w="60"/>
              <w:left w:type="dxa" w:w="90"/>
              <w:bottom w:type="dxa" w:w="60"/>
              <w:right w:type="dxa" w:w="90"/>
            </w:tcMar>
          </w:tcPr>
          <w:p>
            <w:pPr>
              <w:jc w:val="center"/>
            </w:pPr>
            <w:r>
              <w:rPr>
                <w:rFonts w:ascii="Calibri" w:cs="Calibri" w:eastAsia="Calibri" w:hAnsi="Calibri"/>
                <w:b/>
                <w:bCs/>
                <w:sz w:val="18"/>
                <w:szCs w:val="18"/>
              </w:rPr>
              <w:t xml:space="preserve">Non-ferrous / copper shown</w:t>
            </w:r>
          </w:p>
        </w:tc>
        <w:tc>
          <w:tcPr>
            <w:tcW w:type="dxa" w:w="1550"/>
            <w:tcBorders>
              <w:top w:val="single" w:color="DCDAD4" w:sz="4"/>
              <w:left w:val="single" w:color="DCDAD4" w:sz="4"/>
              <w:bottom w:val="single" w:color="DCDAD4" w:sz="4"/>
              <w:right w:val="single" w:color="DCDAD4" w:sz="4"/>
            </w:tcBorders>
            <w:shd w:fill="EDE6DF" w:val="clear"/>
            <w:tcMar>
              <w:top w:type="dxa" w:w="60"/>
              <w:left w:type="dxa" w:w="90"/>
              <w:bottom w:type="dxa" w:w="60"/>
              <w:right w:type="dxa" w:w="90"/>
            </w:tcMar>
          </w:tcPr>
          <w:p>
            <w:pPr>
              <w:jc w:val="center"/>
            </w:pPr>
            <w:r>
              <w:rPr>
                <w:rFonts w:ascii="Calibri" w:cs="Calibri" w:eastAsia="Calibri" w:hAnsi="Calibri"/>
                <w:b/>
                <w:bCs/>
                <w:sz w:val="18"/>
                <w:szCs w:val="18"/>
              </w:rPr>
              <w:t xml:space="preserve">Corporate sellers</w:t>
            </w:r>
          </w:p>
        </w:tc>
        <w:tc>
          <w:tcPr>
            <w:tcW w:type="dxa" w:w="1550"/>
            <w:tcBorders>
              <w:top w:val="single" w:color="DCDAD4" w:sz="4"/>
              <w:left w:val="single" w:color="DCDAD4" w:sz="4"/>
              <w:bottom w:val="single" w:color="DCDAD4" w:sz="4"/>
              <w:right w:val="single" w:color="DCDAD4" w:sz="4"/>
            </w:tcBorders>
            <w:shd w:fill="EDE6DF" w:val="clear"/>
            <w:tcMar>
              <w:top w:type="dxa" w:w="60"/>
              <w:left w:type="dxa" w:w="90"/>
              <w:bottom w:type="dxa" w:w="60"/>
              <w:right w:type="dxa" w:w="90"/>
            </w:tcMar>
          </w:tcPr>
          <w:p>
            <w:pPr>
              <w:jc w:val="center"/>
            </w:pPr>
            <w:r>
              <w:rPr>
                <w:rFonts w:ascii="Calibri" w:cs="Calibri" w:eastAsia="Calibri" w:hAnsi="Calibri"/>
                <w:b/>
                <w:bCs/>
                <w:sz w:val="18"/>
                <w:szCs w:val="18"/>
              </w:rPr>
              <w:t xml:space="preserve">Govt / PSU sellers</w:t>
            </w:r>
          </w:p>
        </w:tc>
        <w:tc>
          <w:tcPr>
            <w:tcW w:type="dxa" w:w="1550"/>
            <w:tcBorders>
              <w:top w:val="single" w:color="DCDAD4" w:sz="4"/>
              <w:left w:val="single" w:color="DCDAD4" w:sz="4"/>
              <w:bottom w:val="single" w:color="DCDAD4" w:sz="4"/>
              <w:right w:val="single" w:color="DCDAD4" w:sz="4"/>
            </w:tcBorders>
            <w:shd w:fill="EDE6DF" w:val="clear"/>
            <w:tcMar>
              <w:top w:type="dxa" w:w="60"/>
              <w:left w:type="dxa" w:w="90"/>
              <w:bottom w:type="dxa" w:w="60"/>
              <w:right w:type="dxa" w:w="90"/>
            </w:tcMar>
          </w:tcPr>
          <w:p>
            <w:pPr>
              <w:jc w:val="center"/>
            </w:pPr>
            <w:r>
              <w:rPr>
                <w:rFonts w:ascii="Calibri" w:cs="Calibri" w:eastAsia="Calibri" w:hAnsi="Calibri"/>
                <w:b/>
                <w:bCs/>
                <w:sz w:val="18"/>
                <w:szCs w:val="18"/>
              </w:rPr>
              <w:t xml:space="preserve">Public listings or price page</w:t>
            </w:r>
          </w:p>
        </w:tc>
      </w:tr>
      <w:tr>
        <w:trPr>
          <w:cantSplit/>
        </w:trPr>
        <w:tc>
          <w:tcPr>
            <w:tcW w:type="dxa" w:w="2338"/>
            <w:tcBorders>
              <w:top w:val="single" w:color="DCDAD4" w:sz="4"/>
              <w:left w:val="single" w:color="DCDAD4" w:sz="4"/>
              <w:bottom w:val="single" w:color="DCDAD4" w:sz="4"/>
              <w:right w:val="single" w:color="DCDAD4" w:sz="4"/>
            </w:tcBorders>
            <w:tcMar>
              <w:top w:type="dxa" w:w="60"/>
              <w:left w:type="dxa" w:w="90"/>
              <w:bottom w:type="dxa" w:w="60"/>
              <w:right w:type="dxa" w:w="90"/>
            </w:tcMar>
          </w:tcPr>
          <w:p>
            <w:pPr>
              <w:jc w:val="left"/>
            </w:pPr>
            <w:r>
              <w:rPr>
                <w:rFonts w:ascii="Calibri" w:cs="Calibri" w:eastAsia="Calibri" w:hAnsi="Calibri"/>
                <w:b w:val="false"/>
                <w:bCs w:val="false"/>
                <w:sz w:val="18"/>
                <w:szCs w:val="18"/>
              </w:rPr>
              <w:t xml:space="preserve">MSTC</w:t>
            </w:r>
          </w:p>
        </w:tc>
        <w:tc>
          <w:tcPr>
            <w:tcW w:type="dxa" w:w="1100"/>
            <w:tcBorders>
              <w:top w:val="single" w:color="DCDAD4" w:sz="4"/>
              <w:left w:val="single" w:color="DCDAD4" w:sz="4"/>
              <w:bottom w:val="single" w:color="DCDAD4" w:sz="4"/>
              <w:right w:val="single" w:color="DCDAD4" w:sz="4"/>
            </w:tcBorders>
            <w:tcMar>
              <w:top w:type="dxa" w:w="60"/>
              <w:left w:type="dxa" w:w="90"/>
              <w:bottom w:type="dxa" w:w="60"/>
              <w:right w:type="dxa" w:w="90"/>
            </w:tcMar>
          </w:tcPr>
          <w:p>
            <w:pPr>
              <w:jc w:val="left"/>
            </w:pPr>
            <w:r>
              <w:rPr>
                <w:rFonts w:ascii="Calibri" w:cs="Calibri" w:eastAsia="Calibri" w:hAnsi="Calibri"/>
                <w:b w:val="false"/>
                <w:bCs w:val="false"/>
                <w:sz w:val="18"/>
                <w:szCs w:val="18"/>
              </w:rPr>
              <w:t xml:space="preserve">Govt</w:t>
            </w:r>
          </w:p>
        </w:tc>
        <w:tc>
          <w:tcPr>
            <w:tcW w:type="dxa" w:w="1550"/>
            <w:tcBorders>
              <w:top w:val="single" w:color="DCDAD4" w:sz="4"/>
              <w:left w:val="single" w:color="DCDAD4" w:sz="4"/>
              <w:bottom w:val="single" w:color="DCDAD4" w:sz="4"/>
              <w:right w:val="single" w:color="DCDAD4" w:sz="4"/>
            </w:tcBorders>
            <w:shd w:fill="EAF2FD" w:val="clear"/>
            <w:tcMar>
              <w:top w:type="dxa" w:w="60"/>
              <w:left w:type="dxa" w:w="90"/>
              <w:bottom w:type="dxa" w:w="60"/>
              <w:right w:type="dxa" w:w="90"/>
            </w:tcMar>
          </w:tcPr>
          <w:p>
            <w:pPr>
              <w:jc w:val="center"/>
            </w:pPr>
            <w:r>
              <w:rPr>
                <w:rFonts w:ascii="Calibri" w:cs="Calibri" w:eastAsia="Calibri" w:hAnsi="Calibri"/>
                <w:b w:val="false"/>
                <w:bCs w:val="false"/>
                <w:sz w:val="18"/>
                <w:szCs w:val="18"/>
              </w:rPr>
              <w:t xml:space="preserve">I</w:t>
            </w:r>
          </w:p>
        </w:tc>
        <w:tc>
          <w:tcPr>
            <w:tcW w:type="dxa" w:w="1550"/>
            <w:tcBorders>
              <w:top w:val="single" w:color="DCDAD4" w:sz="4"/>
              <w:left w:val="single" w:color="DCDAD4" w:sz="4"/>
              <w:bottom w:val="single" w:color="DCDAD4" w:sz="4"/>
              <w:right w:val="single" w:color="DCDAD4" w:sz="4"/>
            </w:tcBorders>
            <w:shd w:fill="CDE2FB" w:val="clear"/>
            <w:tcMar>
              <w:top w:type="dxa" w:w="60"/>
              <w:left w:type="dxa" w:w="90"/>
              <w:bottom w:type="dxa" w:w="60"/>
              <w:right w:type="dxa" w:w="90"/>
            </w:tcMar>
          </w:tcPr>
          <w:p>
            <w:pPr>
              <w:jc w:val="center"/>
            </w:pPr>
            <w:r>
              <w:rPr>
                <w:rFonts w:ascii="Calibri" w:cs="Calibri" w:eastAsia="Calibri" w:hAnsi="Calibri"/>
                <w:b w:val="false"/>
                <w:bCs w:val="false"/>
                <w:sz w:val="18"/>
                <w:szCs w:val="18"/>
              </w:rPr>
              <w:t xml:space="preserve">S</w:t>
            </w:r>
          </w:p>
        </w:tc>
        <w:tc>
          <w:tcPr>
            <w:tcW w:type="dxa" w:w="1550"/>
            <w:tcBorders>
              <w:top w:val="single" w:color="DCDAD4" w:sz="4"/>
              <w:left w:val="single" w:color="DCDAD4" w:sz="4"/>
              <w:bottom w:val="single" w:color="DCDAD4" w:sz="4"/>
              <w:right w:val="single" w:color="DCDAD4" w:sz="4"/>
            </w:tcBorders>
            <w:shd w:fill="CDE2FB" w:val="clear"/>
            <w:tcMar>
              <w:top w:type="dxa" w:w="60"/>
              <w:left w:type="dxa" w:w="90"/>
              <w:bottom w:type="dxa" w:w="60"/>
              <w:right w:type="dxa" w:w="90"/>
            </w:tcMar>
          </w:tcPr>
          <w:p>
            <w:pPr>
              <w:jc w:val="center"/>
            </w:pPr>
            <w:r>
              <w:rPr>
                <w:rFonts w:ascii="Calibri" w:cs="Calibri" w:eastAsia="Calibri" w:hAnsi="Calibri"/>
                <w:b w:val="false"/>
                <w:bCs w:val="false"/>
                <w:sz w:val="18"/>
                <w:szCs w:val="18"/>
              </w:rPr>
              <w:t xml:space="preserve">S</w:t>
            </w:r>
          </w:p>
        </w:tc>
        <w:tc>
          <w:tcPr>
            <w:tcW w:type="dxa" w:w="1550"/>
            <w:tcBorders>
              <w:top w:val="single" w:color="DCDAD4" w:sz="4"/>
              <w:left w:val="single" w:color="DCDAD4" w:sz="4"/>
              <w:bottom w:val="single" w:color="DCDAD4" w:sz="4"/>
              <w:right w:val="single" w:color="DCDAD4" w:sz="4"/>
            </w:tcBorders>
            <w:shd w:fill="CDE2FB" w:val="clear"/>
            <w:tcMar>
              <w:top w:type="dxa" w:w="60"/>
              <w:left w:type="dxa" w:w="90"/>
              <w:bottom w:type="dxa" w:w="60"/>
              <w:right w:type="dxa" w:w="90"/>
            </w:tcMar>
          </w:tcPr>
          <w:p>
            <w:pPr>
              <w:jc w:val="center"/>
            </w:pPr>
            <w:r>
              <w:rPr>
                <w:rFonts w:ascii="Calibri" w:cs="Calibri" w:eastAsia="Calibri" w:hAnsi="Calibri"/>
                <w:b w:val="false"/>
                <w:bCs w:val="false"/>
                <w:sz w:val="18"/>
                <w:szCs w:val="18"/>
              </w:rPr>
              <w:t xml:space="preserve">S</w:t>
            </w:r>
          </w:p>
        </w:tc>
      </w:tr>
      <w:tr>
        <w:trPr>
          <w:cantSplit/>
        </w:trPr>
        <w:tc>
          <w:tcPr>
            <w:tcW w:type="dxa" w:w="2338"/>
            <w:tcBorders>
              <w:top w:val="single" w:color="DCDAD4" w:sz="4"/>
              <w:left w:val="single" w:color="DCDAD4" w:sz="4"/>
              <w:bottom w:val="single" w:color="DCDAD4" w:sz="4"/>
              <w:right w:val="single" w:color="DCDAD4" w:sz="4"/>
            </w:tcBorders>
            <w:tcMar>
              <w:top w:type="dxa" w:w="60"/>
              <w:left w:type="dxa" w:w="90"/>
              <w:bottom w:type="dxa" w:w="60"/>
              <w:right w:type="dxa" w:w="90"/>
            </w:tcMar>
          </w:tcPr>
          <w:p>
            <w:pPr>
              <w:jc w:val="left"/>
            </w:pPr>
            <w:r>
              <w:rPr>
                <w:rFonts w:ascii="Calibri" w:cs="Calibri" w:eastAsia="Calibri" w:hAnsi="Calibri"/>
                <w:b w:val="false"/>
                <w:bCs w:val="false"/>
                <w:sz w:val="18"/>
                <w:szCs w:val="18"/>
              </w:rPr>
              <w:t xml:space="preserve">IREPS</w:t>
            </w:r>
          </w:p>
        </w:tc>
        <w:tc>
          <w:tcPr>
            <w:tcW w:type="dxa" w:w="1100"/>
            <w:tcBorders>
              <w:top w:val="single" w:color="DCDAD4" w:sz="4"/>
              <w:left w:val="single" w:color="DCDAD4" w:sz="4"/>
              <w:bottom w:val="single" w:color="DCDAD4" w:sz="4"/>
              <w:right w:val="single" w:color="DCDAD4" w:sz="4"/>
            </w:tcBorders>
            <w:tcMar>
              <w:top w:type="dxa" w:w="60"/>
              <w:left w:type="dxa" w:w="90"/>
              <w:bottom w:type="dxa" w:w="60"/>
              <w:right w:type="dxa" w:w="90"/>
            </w:tcMar>
          </w:tcPr>
          <w:p>
            <w:pPr>
              <w:jc w:val="left"/>
            </w:pPr>
            <w:r>
              <w:rPr>
                <w:rFonts w:ascii="Calibri" w:cs="Calibri" w:eastAsia="Calibri" w:hAnsi="Calibri"/>
                <w:b w:val="false"/>
                <w:bCs w:val="false"/>
                <w:sz w:val="18"/>
                <w:szCs w:val="18"/>
              </w:rPr>
              <w:t xml:space="preserve">Govt</w:t>
            </w:r>
          </w:p>
        </w:tc>
        <w:tc>
          <w:tcPr>
            <w:tcW w:type="dxa" w:w="1550"/>
            <w:tcBorders>
              <w:top w:val="single" w:color="DCDAD4" w:sz="4"/>
              <w:left w:val="single" w:color="DCDAD4" w:sz="4"/>
              <w:bottom w:val="single" w:color="DCDAD4" w:sz="4"/>
              <w:right w:val="single" w:color="DCDAD4" w:sz="4"/>
            </w:tcBorders>
            <w:shd w:fill="EAF2FD" w:val="clear"/>
            <w:tcMar>
              <w:top w:type="dxa" w:w="60"/>
              <w:left w:type="dxa" w:w="90"/>
              <w:bottom w:type="dxa" w:w="60"/>
              <w:right w:type="dxa" w:w="90"/>
            </w:tcMar>
          </w:tcPr>
          <w:p>
            <w:pPr>
              <w:jc w:val="center"/>
            </w:pPr>
            <w:r>
              <w:rPr>
                <w:rFonts w:ascii="Calibri" w:cs="Calibri" w:eastAsia="Calibri" w:hAnsi="Calibri"/>
                <w:b w:val="false"/>
                <w:bCs w:val="false"/>
                <w:sz w:val="18"/>
                <w:szCs w:val="18"/>
              </w:rPr>
              <w:t xml:space="preserve">I</w:t>
            </w:r>
          </w:p>
        </w:tc>
        <w:tc>
          <w:tcPr>
            <w:tcW w:type="dxa" w:w="1550"/>
            <w:tcBorders>
              <w:top w:val="single" w:color="DCDAD4" w:sz="4"/>
              <w:left w:val="single" w:color="DCDAD4" w:sz="4"/>
              <w:bottom w:val="single" w:color="DCDAD4" w:sz="4"/>
              <w:right w:val="single" w:color="DCDAD4" w:sz="4"/>
            </w:tcBorders>
            <w:tcMar>
              <w:top w:type="dxa" w:w="60"/>
              <w:left w:type="dxa" w:w="90"/>
              <w:bottom w:type="dxa" w:w="60"/>
              <w:right w:type="dxa" w:w="90"/>
            </w:tcMar>
          </w:tcPr>
          <w:p>
            <w:pPr>
              <w:jc w:val="center"/>
            </w:pPr>
            <w:r>
              <w:rPr>
                <w:rFonts w:ascii="Calibri" w:cs="Calibri" w:eastAsia="Calibri" w:hAnsi="Calibri"/>
                <w:b w:val="false"/>
                <w:bCs w:val="false"/>
                <w:sz w:val="18"/>
                <w:szCs w:val="18"/>
              </w:rPr>
              <w:t xml:space="preserve">-</w:t>
            </w:r>
          </w:p>
        </w:tc>
        <w:tc>
          <w:tcPr>
            <w:tcW w:type="dxa" w:w="1550"/>
            <w:tcBorders>
              <w:top w:val="single" w:color="DCDAD4" w:sz="4"/>
              <w:left w:val="single" w:color="DCDAD4" w:sz="4"/>
              <w:bottom w:val="single" w:color="DCDAD4" w:sz="4"/>
              <w:right w:val="single" w:color="DCDAD4" w:sz="4"/>
            </w:tcBorders>
            <w:shd w:fill="CDE2FB" w:val="clear"/>
            <w:tcMar>
              <w:top w:type="dxa" w:w="60"/>
              <w:left w:type="dxa" w:w="90"/>
              <w:bottom w:type="dxa" w:w="60"/>
              <w:right w:type="dxa" w:w="90"/>
            </w:tcMar>
          </w:tcPr>
          <w:p>
            <w:pPr>
              <w:jc w:val="center"/>
            </w:pPr>
            <w:r>
              <w:rPr>
                <w:rFonts w:ascii="Calibri" w:cs="Calibri" w:eastAsia="Calibri" w:hAnsi="Calibri"/>
                <w:b w:val="false"/>
                <w:bCs w:val="false"/>
                <w:sz w:val="18"/>
                <w:szCs w:val="18"/>
              </w:rPr>
              <w:t xml:space="preserve">S</w:t>
            </w:r>
          </w:p>
        </w:tc>
        <w:tc>
          <w:tcPr>
            <w:tcW w:type="dxa" w:w="1550"/>
            <w:tcBorders>
              <w:top w:val="single" w:color="DCDAD4" w:sz="4"/>
              <w:left w:val="single" w:color="DCDAD4" w:sz="4"/>
              <w:bottom w:val="single" w:color="DCDAD4" w:sz="4"/>
              <w:right w:val="single" w:color="DCDAD4" w:sz="4"/>
            </w:tcBorders>
            <w:shd w:fill="CDE2FB" w:val="clear"/>
            <w:tcMar>
              <w:top w:type="dxa" w:w="60"/>
              <w:left w:type="dxa" w:w="90"/>
              <w:bottom w:type="dxa" w:w="60"/>
              <w:right w:type="dxa" w:w="90"/>
            </w:tcMar>
          </w:tcPr>
          <w:p>
            <w:pPr>
              <w:jc w:val="center"/>
            </w:pPr>
            <w:r>
              <w:rPr>
                <w:rFonts w:ascii="Calibri" w:cs="Calibri" w:eastAsia="Calibri" w:hAnsi="Calibri"/>
                <w:b w:val="false"/>
                <w:bCs w:val="false"/>
                <w:sz w:val="18"/>
                <w:szCs w:val="18"/>
              </w:rPr>
              <w:t xml:space="preserve">S</w:t>
            </w:r>
          </w:p>
        </w:tc>
      </w:tr>
      <w:tr>
        <w:trPr>
          <w:cantSplit/>
        </w:trPr>
        <w:tc>
          <w:tcPr>
            <w:tcW w:type="dxa" w:w="2338"/>
            <w:tcBorders>
              <w:top w:val="single" w:color="DCDAD4" w:sz="4"/>
              <w:left w:val="single" w:color="DCDAD4" w:sz="4"/>
              <w:bottom w:val="single" w:color="DCDAD4" w:sz="4"/>
              <w:right w:val="single" w:color="DCDAD4" w:sz="4"/>
            </w:tcBorders>
            <w:tcMar>
              <w:top w:type="dxa" w:w="60"/>
              <w:left w:type="dxa" w:w="90"/>
              <w:bottom w:type="dxa" w:w="60"/>
              <w:right w:type="dxa" w:w="90"/>
            </w:tcMar>
          </w:tcPr>
          <w:p>
            <w:pPr>
              <w:jc w:val="left"/>
            </w:pPr>
            <w:r>
              <w:rPr>
                <w:rFonts w:ascii="Calibri" w:cs="Calibri" w:eastAsia="Calibri" w:hAnsi="Calibri"/>
                <w:b w:val="false"/>
                <w:bCs w:val="false"/>
                <w:sz w:val="18"/>
                <w:szCs w:val="18"/>
              </w:rPr>
              <w:t xml:space="preserve">GeM Forward Auction</w:t>
            </w:r>
          </w:p>
        </w:tc>
        <w:tc>
          <w:tcPr>
            <w:tcW w:type="dxa" w:w="1100"/>
            <w:tcBorders>
              <w:top w:val="single" w:color="DCDAD4" w:sz="4"/>
              <w:left w:val="single" w:color="DCDAD4" w:sz="4"/>
              <w:bottom w:val="single" w:color="DCDAD4" w:sz="4"/>
              <w:right w:val="single" w:color="DCDAD4" w:sz="4"/>
            </w:tcBorders>
            <w:tcMar>
              <w:top w:type="dxa" w:w="60"/>
              <w:left w:type="dxa" w:w="90"/>
              <w:bottom w:type="dxa" w:w="60"/>
              <w:right w:type="dxa" w:w="90"/>
            </w:tcMar>
          </w:tcPr>
          <w:p>
            <w:pPr>
              <w:jc w:val="left"/>
            </w:pPr>
            <w:r>
              <w:rPr>
                <w:rFonts w:ascii="Calibri" w:cs="Calibri" w:eastAsia="Calibri" w:hAnsi="Calibri"/>
                <w:b w:val="false"/>
                <w:bCs w:val="false"/>
                <w:sz w:val="18"/>
                <w:szCs w:val="18"/>
              </w:rPr>
              <w:t xml:space="preserve">Govt</w:t>
            </w:r>
          </w:p>
        </w:tc>
        <w:tc>
          <w:tcPr>
            <w:tcW w:type="dxa" w:w="1550"/>
            <w:tcBorders>
              <w:top w:val="single" w:color="DCDAD4" w:sz="4"/>
              <w:left w:val="single" w:color="DCDAD4" w:sz="4"/>
              <w:bottom w:val="single" w:color="DCDAD4" w:sz="4"/>
              <w:right w:val="single" w:color="DCDAD4" w:sz="4"/>
            </w:tcBorders>
            <w:tcMar>
              <w:top w:type="dxa" w:w="60"/>
              <w:left w:type="dxa" w:w="90"/>
              <w:bottom w:type="dxa" w:w="60"/>
              <w:right w:type="dxa" w:w="90"/>
            </w:tcMar>
          </w:tcPr>
          <w:p>
            <w:pPr>
              <w:jc w:val="center"/>
            </w:pPr>
            <w:r>
              <w:rPr>
                <w:rFonts w:ascii="Calibri" w:cs="Calibri" w:eastAsia="Calibri" w:hAnsi="Calibri"/>
                <w:b w:val="false"/>
                <w:bCs w:val="false"/>
                <w:sz w:val="18"/>
                <w:szCs w:val="18"/>
              </w:rPr>
              <w:t xml:space="preserve">-</w:t>
            </w:r>
          </w:p>
        </w:tc>
        <w:tc>
          <w:tcPr>
            <w:tcW w:type="dxa" w:w="1550"/>
            <w:tcBorders>
              <w:top w:val="single" w:color="DCDAD4" w:sz="4"/>
              <w:left w:val="single" w:color="DCDAD4" w:sz="4"/>
              <w:bottom w:val="single" w:color="DCDAD4" w:sz="4"/>
              <w:right w:val="single" w:color="DCDAD4" w:sz="4"/>
            </w:tcBorders>
            <w:tcMar>
              <w:top w:type="dxa" w:w="60"/>
              <w:left w:type="dxa" w:w="90"/>
              <w:bottom w:type="dxa" w:w="60"/>
              <w:right w:type="dxa" w:w="90"/>
            </w:tcMar>
          </w:tcPr>
          <w:p>
            <w:pPr>
              <w:jc w:val="center"/>
            </w:pPr>
            <w:r>
              <w:rPr>
                <w:rFonts w:ascii="Calibri" w:cs="Calibri" w:eastAsia="Calibri" w:hAnsi="Calibri"/>
                <w:b w:val="false"/>
                <w:bCs w:val="false"/>
                <w:sz w:val="18"/>
                <w:szCs w:val="18"/>
              </w:rPr>
              <w:t xml:space="preserve">-</w:t>
            </w:r>
          </w:p>
        </w:tc>
        <w:tc>
          <w:tcPr>
            <w:tcW w:type="dxa" w:w="1550"/>
            <w:tcBorders>
              <w:top w:val="single" w:color="DCDAD4" w:sz="4"/>
              <w:left w:val="single" w:color="DCDAD4" w:sz="4"/>
              <w:bottom w:val="single" w:color="DCDAD4" w:sz="4"/>
              <w:right w:val="single" w:color="DCDAD4" w:sz="4"/>
            </w:tcBorders>
            <w:shd w:fill="CDE2FB" w:val="clear"/>
            <w:tcMar>
              <w:top w:type="dxa" w:w="60"/>
              <w:left w:type="dxa" w:w="90"/>
              <w:bottom w:type="dxa" w:w="60"/>
              <w:right w:type="dxa" w:w="90"/>
            </w:tcMar>
          </w:tcPr>
          <w:p>
            <w:pPr>
              <w:jc w:val="center"/>
            </w:pPr>
            <w:r>
              <w:rPr>
                <w:rFonts w:ascii="Calibri" w:cs="Calibri" w:eastAsia="Calibri" w:hAnsi="Calibri"/>
                <w:b w:val="false"/>
                <w:bCs w:val="false"/>
                <w:sz w:val="18"/>
                <w:szCs w:val="18"/>
              </w:rPr>
              <w:t xml:space="preserve">S</w:t>
            </w:r>
          </w:p>
        </w:tc>
        <w:tc>
          <w:tcPr>
            <w:tcW w:type="dxa" w:w="1550"/>
            <w:tcBorders>
              <w:top w:val="single" w:color="DCDAD4" w:sz="4"/>
              <w:left w:val="single" w:color="DCDAD4" w:sz="4"/>
              <w:bottom w:val="single" w:color="DCDAD4" w:sz="4"/>
              <w:right w:val="single" w:color="DCDAD4" w:sz="4"/>
            </w:tcBorders>
            <w:shd w:fill="EAF2FD" w:val="clear"/>
            <w:tcMar>
              <w:top w:type="dxa" w:w="60"/>
              <w:left w:type="dxa" w:w="90"/>
              <w:bottom w:type="dxa" w:w="60"/>
              <w:right w:type="dxa" w:w="90"/>
            </w:tcMar>
          </w:tcPr>
          <w:p>
            <w:pPr>
              <w:jc w:val="center"/>
            </w:pPr>
            <w:r>
              <w:rPr>
                <w:rFonts w:ascii="Calibri" w:cs="Calibri" w:eastAsia="Calibri" w:hAnsi="Calibri"/>
                <w:b w:val="false"/>
                <w:bCs w:val="false"/>
                <w:sz w:val="18"/>
                <w:szCs w:val="18"/>
              </w:rPr>
              <w:t xml:space="preserve">I</w:t>
            </w:r>
          </w:p>
        </w:tc>
      </w:tr>
      <w:tr>
        <w:trPr>
          <w:cantSplit/>
        </w:trPr>
        <w:tc>
          <w:tcPr>
            <w:tcW w:type="dxa" w:w="2338"/>
            <w:tcBorders>
              <w:top w:val="single" w:color="DCDAD4" w:sz="4"/>
              <w:left w:val="single" w:color="DCDAD4" w:sz="4"/>
              <w:bottom w:val="single" w:color="DCDAD4" w:sz="4"/>
              <w:right w:val="single" w:color="DCDAD4" w:sz="4"/>
            </w:tcBorders>
            <w:tcMar>
              <w:top w:type="dxa" w:w="60"/>
              <w:left w:type="dxa" w:w="90"/>
              <w:bottom w:type="dxa" w:w="60"/>
              <w:right w:type="dxa" w:w="90"/>
            </w:tcMar>
          </w:tcPr>
          <w:p>
            <w:pPr>
              <w:jc w:val="left"/>
            </w:pPr>
            <w:r>
              <w:rPr>
                <w:rFonts w:ascii="Calibri" w:cs="Calibri" w:eastAsia="Calibri" w:hAnsi="Calibri"/>
                <w:b w:val="false"/>
                <w:bCs w:val="false"/>
                <w:sz w:val="18"/>
                <w:szCs w:val="18"/>
              </w:rPr>
              <w:t xml:space="preserve">mjunction</w:t>
            </w:r>
          </w:p>
        </w:tc>
        <w:tc>
          <w:tcPr>
            <w:tcW w:type="dxa" w:w="1100"/>
            <w:tcBorders>
              <w:top w:val="single" w:color="DCDAD4" w:sz="4"/>
              <w:left w:val="single" w:color="DCDAD4" w:sz="4"/>
              <w:bottom w:val="single" w:color="DCDAD4" w:sz="4"/>
              <w:right w:val="single" w:color="DCDAD4" w:sz="4"/>
            </w:tcBorders>
            <w:tcMar>
              <w:top w:type="dxa" w:w="60"/>
              <w:left w:type="dxa" w:w="90"/>
              <w:bottom w:type="dxa" w:w="60"/>
              <w:right w:type="dxa" w:w="90"/>
            </w:tcMar>
          </w:tcPr>
          <w:p>
            <w:pPr>
              <w:jc w:val="left"/>
            </w:pPr>
            <w:r>
              <w:rPr>
                <w:rFonts w:ascii="Calibri" w:cs="Calibri" w:eastAsia="Calibri" w:hAnsi="Calibri"/>
                <w:b w:val="false"/>
                <w:bCs w:val="false"/>
                <w:sz w:val="18"/>
                <w:szCs w:val="18"/>
              </w:rPr>
              <w:t xml:space="preserve">Private</w:t>
            </w:r>
          </w:p>
        </w:tc>
        <w:tc>
          <w:tcPr>
            <w:tcW w:type="dxa" w:w="1550"/>
            <w:tcBorders>
              <w:top w:val="single" w:color="DCDAD4" w:sz="4"/>
              <w:left w:val="single" w:color="DCDAD4" w:sz="4"/>
              <w:bottom w:val="single" w:color="DCDAD4" w:sz="4"/>
              <w:right w:val="single" w:color="DCDAD4" w:sz="4"/>
            </w:tcBorders>
            <w:shd w:fill="EAF2FD" w:val="clear"/>
            <w:tcMar>
              <w:top w:type="dxa" w:w="60"/>
              <w:left w:type="dxa" w:w="90"/>
              <w:bottom w:type="dxa" w:w="60"/>
              <w:right w:type="dxa" w:w="90"/>
            </w:tcMar>
          </w:tcPr>
          <w:p>
            <w:pPr>
              <w:jc w:val="center"/>
            </w:pPr>
            <w:r>
              <w:rPr>
                <w:rFonts w:ascii="Calibri" w:cs="Calibri" w:eastAsia="Calibri" w:hAnsi="Calibri"/>
                <w:b w:val="false"/>
                <w:bCs w:val="false"/>
                <w:sz w:val="18"/>
                <w:szCs w:val="18"/>
              </w:rPr>
              <w:t xml:space="preserve">I</w:t>
            </w:r>
          </w:p>
        </w:tc>
        <w:tc>
          <w:tcPr>
            <w:tcW w:type="dxa" w:w="1550"/>
            <w:tcBorders>
              <w:top w:val="single" w:color="DCDAD4" w:sz="4"/>
              <w:left w:val="single" w:color="DCDAD4" w:sz="4"/>
              <w:bottom w:val="single" w:color="DCDAD4" w:sz="4"/>
              <w:right w:val="single" w:color="DCDAD4" w:sz="4"/>
            </w:tcBorders>
            <w:shd w:fill="CDE2FB" w:val="clear"/>
            <w:tcMar>
              <w:top w:type="dxa" w:w="60"/>
              <w:left w:type="dxa" w:w="90"/>
              <w:bottom w:type="dxa" w:w="60"/>
              <w:right w:type="dxa" w:w="90"/>
            </w:tcMar>
          </w:tcPr>
          <w:p>
            <w:pPr>
              <w:jc w:val="center"/>
            </w:pPr>
            <w:r>
              <w:rPr>
                <w:rFonts w:ascii="Calibri" w:cs="Calibri" w:eastAsia="Calibri" w:hAnsi="Calibri"/>
                <w:b w:val="false"/>
                <w:bCs w:val="false"/>
                <w:sz w:val="18"/>
                <w:szCs w:val="18"/>
              </w:rPr>
              <w:t xml:space="preserve">S</w:t>
            </w:r>
          </w:p>
        </w:tc>
        <w:tc>
          <w:tcPr>
            <w:tcW w:type="dxa" w:w="1550"/>
            <w:tcBorders>
              <w:top w:val="single" w:color="DCDAD4" w:sz="4"/>
              <w:left w:val="single" w:color="DCDAD4" w:sz="4"/>
              <w:bottom w:val="single" w:color="DCDAD4" w:sz="4"/>
              <w:right w:val="single" w:color="DCDAD4" w:sz="4"/>
            </w:tcBorders>
            <w:tcMar>
              <w:top w:type="dxa" w:w="60"/>
              <w:left w:type="dxa" w:w="90"/>
              <w:bottom w:type="dxa" w:w="60"/>
              <w:right w:type="dxa" w:w="90"/>
            </w:tcMar>
          </w:tcPr>
          <w:p>
            <w:pPr>
              <w:jc w:val="center"/>
            </w:pPr>
            <w:r>
              <w:rPr>
                <w:rFonts w:ascii="Calibri" w:cs="Calibri" w:eastAsia="Calibri" w:hAnsi="Calibri"/>
                <w:b w:val="false"/>
                <w:bCs w:val="false"/>
                <w:sz w:val="18"/>
                <w:szCs w:val="18"/>
              </w:rPr>
              <w:t xml:space="preserve">-</w:t>
            </w:r>
          </w:p>
        </w:tc>
        <w:tc>
          <w:tcPr>
            <w:tcW w:type="dxa" w:w="1550"/>
            <w:tcBorders>
              <w:top w:val="single" w:color="DCDAD4" w:sz="4"/>
              <w:left w:val="single" w:color="DCDAD4" w:sz="4"/>
              <w:bottom w:val="single" w:color="DCDAD4" w:sz="4"/>
              <w:right w:val="single" w:color="DCDAD4" w:sz="4"/>
            </w:tcBorders>
            <w:shd w:fill="EAF2FD" w:val="clear"/>
            <w:tcMar>
              <w:top w:type="dxa" w:w="60"/>
              <w:left w:type="dxa" w:w="90"/>
              <w:bottom w:type="dxa" w:w="60"/>
              <w:right w:type="dxa" w:w="90"/>
            </w:tcMar>
          </w:tcPr>
          <w:p>
            <w:pPr>
              <w:jc w:val="center"/>
            </w:pPr>
            <w:r>
              <w:rPr>
                <w:rFonts w:ascii="Calibri" w:cs="Calibri" w:eastAsia="Calibri" w:hAnsi="Calibri"/>
                <w:b w:val="false"/>
                <w:bCs w:val="false"/>
                <w:sz w:val="18"/>
                <w:szCs w:val="18"/>
              </w:rPr>
              <w:t xml:space="preserve">I</w:t>
            </w:r>
          </w:p>
        </w:tc>
      </w:tr>
      <w:tr>
        <w:trPr>
          <w:cantSplit/>
        </w:trPr>
        <w:tc>
          <w:tcPr>
            <w:tcW w:type="dxa" w:w="2338"/>
            <w:tcBorders>
              <w:top w:val="single" w:color="DCDAD4" w:sz="4"/>
              <w:left w:val="single" w:color="DCDAD4" w:sz="4"/>
              <w:bottom w:val="single" w:color="DCDAD4" w:sz="4"/>
              <w:right w:val="single" w:color="DCDAD4" w:sz="4"/>
            </w:tcBorders>
            <w:tcMar>
              <w:top w:type="dxa" w:w="60"/>
              <w:left w:type="dxa" w:w="90"/>
              <w:bottom w:type="dxa" w:w="60"/>
              <w:right w:type="dxa" w:w="90"/>
            </w:tcMar>
          </w:tcPr>
          <w:p>
            <w:pPr>
              <w:jc w:val="left"/>
            </w:pPr>
            <w:r>
              <w:rPr>
                <w:rFonts w:ascii="Calibri" w:cs="Calibri" w:eastAsia="Calibri" w:hAnsi="Calibri"/>
                <w:b w:val="false"/>
                <w:bCs w:val="false"/>
                <w:sz w:val="18"/>
                <w:szCs w:val="18"/>
              </w:rPr>
              <w:t xml:space="preserve">Metaljunction</w:t>
            </w:r>
          </w:p>
        </w:tc>
        <w:tc>
          <w:tcPr>
            <w:tcW w:type="dxa" w:w="1100"/>
            <w:tcBorders>
              <w:top w:val="single" w:color="DCDAD4" w:sz="4"/>
              <w:left w:val="single" w:color="DCDAD4" w:sz="4"/>
              <w:bottom w:val="single" w:color="DCDAD4" w:sz="4"/>
              <w:right w:val="single" w:color="DCDAD4" w:sz="4"/>
            </w:tcBorders>
            <w:tcMar>
              <w:top w:type="dxa" w:w="60"/>
              <w:left w:type="dxa" w:w="90"/>
              <w:bottom w:type="dxa" w:w="60"/>
              <w:right w:type="dxa" w:w="90"/>
            </w:tcMar>
          </w:tcPr>
          <w:p>
            <w:pPr>
              <w:jc w:val="left"/>
            </w:pPr>
            <w:r>
              <w:rPr>
                <w:rFonts w:ascii="Calibri" w:cs="Calibri" w:eastAsia="Calibri" w:hAnsi="Calibri"/>
                <w:b w:val="false"/>
                <w:bCs w:val="false"/>
                <w:sz w:val="18"/>
                <w:szCs w:val="18"/>
              </w:rPr>
              <w:t xml:space="preserve">Private</w:t>
            </w:r>
          </w:p>
        </w:tc>
        <w:tc>
          <w:tcPr>
            <w:tcW w:type="dxa" w:w="1550"/>
            <w:tcBorders>
              <w:top w:val="single" w:color="DCDAD4" w:sz="4"/>
              <w:left w:val="single" w:color="DCDAD4" w:sz="4"/>
              <w:bottom w:val="single" w:color="DCDAD4" w:sz="4"/>
              <w:right w:val="single" w:color="DCDAD4" w:sz="4"/>
            </w:tcBorders>
            <w:shd w:fill="CDE2FB" w:val="clear"/>
            <w:tcMar>
              <w:top w:type="dxa" w:w="60"/>
              <w:left w:type="dxa" w:w="90"/>
              <w:bottom w:type="dxa" w:w="60"/>
              <w:right w:type="dxa" w:w="90"/>
            </w:tcMar>
          </w:tcPr>
          <w:p>
            <w:pPr>
              <w:jc w:val="center"/>
            </w:pPr>
            <w:r>
              <w:rPr>
                <w:rFonts w:ascii="Calibri" w:cs="Calibri" w:eastAsia="Calibri" w:hAnsi="Calibri"/>
                <w:b w:val="false"/>
                <w:bCs w:val="false"/>
                <w:sz w:val="18"/>
                <w:szCs w:val="18"/>
              </w:rPr>
              <w:t xml:space="preserve">S</w:t>
            </w:r>
          </w:p>
        </w:tc>
        <w:tc>
          <w:tcPr>
            <w:tcW w:type="dxa" w:w="1550"/>
            <w:tcBorders>
              <w:top w:val="single" w:color="DCDAD4" w:sz="4"/>
              <w:left w:val="single" w:color="DCDAD4" w:sz="4"/>
              <w:bottom w:val="single" w:color="DCDAD4" w:sz="4"/>
              <w:right w:val="single" w:color="DCDAD4" w:sz="4"/>
            </w:tcBorders>
            <w:shd w:fill="CDE2FB" w:val="clear"/>
            <w:tcMar>
              <w:top w:type="dxa" w:w="60"/>
              <w:left w:type="dxa" w:w="90"/>
              <w:bottom w:type="dxa" w:w="60"/>
              <w:right w:type="dxa" w:w="90"/>
            </w:tcMar>
          </w:tcPr>
          <w:p>
            <w:pPr>
              <w:jc w:val="center"/>
            </w:pPr>
            <w:r>
              <w:rPr>
                <w:rFonts w:ascii="Calibri" w:cs="Calibri" w:eastAsia="Calibri" w:hAnsi="Calibri"/>
                <w:b w:val="false"/>
                <w:bCs w:val="false"/>
                <w:sz w:val="18"/>
                <w:szCs w:val="18"/>
              </w:rPr>
              <w:t xml:space="preserve">S</w:t>
            </w:r>
          </w:p>
        </w:tc>
        <w:tc>
          <w:tcPr>
            <w:tcW w:type="dxa" w:w="1550"/>
            <w:tcBorders>
              <w:top w:val="single" w:color="DCDAD4" w:sz="4"/>
              <w:left w:val="single" w:color="DCDAD4" w:sz="4"/>
              <w:bottom w:val="single" w:color="DCDAD4" w:sz="4"/>
              <w:right w:val="single" w:color="DCDAD4" w:sz="4"/>
            </w:tcBorders>
            <w:tcMar>
              <w:top w:type="dxa" w:w="60"/>
              <w:left w:type="dxa" w:w="90"/>
              <w:bottom w:type="dxa" w:w="60"/>
              <w:right w:type="dxa" w:w="90"/>
            </w:tcMar>
          </w:tcPr>
          <w:p>
            <w:pPr>
              <w:jc w:val="center"/>
            </w:pPr>
            <w:r>
              <w:rPr>
                <w:rFonts w:ascii="Calibri" w:cs="Calibri" w:eastAsia="Calibri" w:hAnsi="Calibri"/>
                <w:b w:val="false"/>
                <w:bCs w:val="false"/>
                <w:sz w:val="18"/>
                <w:szCs w:val="18"/>
              </w:rPr>
              <w:t xml:space="preserve">-</w:t>
            </w:r>
          </w:p>
        </w:tc>
        <w:tc>
          <w:tcPr>
            <w:tcW w:type="dxa" w:w="1550"/>
            <w:tcBorders>
              <w:top w:val="single" w:color="DCDAD4" w:sz="4"/>
              <w:left w:val="single" w:color="DCDAD4" w:sz="4"/>
              <w:bottom w:val="single" w:color="DCDAD4" w:sz="4"/>
              <w:right w:val="single" w:color="DCDAD4" w:sz="4"/>
            </w:tcBorders>
            <w:shd w:fill="CDE2FB" w:val="clear"/>
            <w:tcMar>
              <w:top w:type="dxa" w:w="60"/>
              <w:left w:type="dxa" w:w="90"/>
              <w:bottom w:type="dxa" w:w="60"/>
              <w:right w:type="dxa" w:w="90"/>
            </w:tcMar>
          </w:tcPr>
          <w:p>
            <w:pPr>
              <w:jc w:val="center"/>
            </w:pPr>
            <w:r>
              <w:rPr>
                <w:rFonts w:ascii="Calibri" w:cs="Calibri" w:eastAsia="Calibri" w:hAnsi="Calibri"/>
                <w:b w:val="false"/>
                <w:bCs w:val="false"/>
                <w:sz w:val="18"/>
                <w:szCs w:val="18"/>
              </w:rPr>
              <w:t xml:space="preserve">S</w:t>
            </w:r>
          </w:p>
        </w:tc>
      </w:tr>
      <w:tr>
        <w:trPr>
          <w:cantSplit/>
        </w:trPr>
        <w:tc>
          <w:tcPr>
            <w:tcW w:type="dxa" w:w="2338"/>
            <w:tcBorders>
              <w:top w:val="single" w:color="DCDAD4" w:sz="4"/>
              <w:left w:val="single" w:color="DCDAD4" w:sz="4"/>
              <w:bottom w:val="single" w:color="DCDAD4" w:sz="4"/>
              <w:right w:val="single" w:color="DCDAD4" w:sz="4"/>
            </w:tcBorders>
            <w:tcMar>
              <w:top w:type="dxa" w:w="60"/>
              <w:left w:type="dxa" w:w="90"/>
              <w:bottom w:type="dxa" w:w="60"/>
              <w:right w:type="dxa" w:w="90"/>
            </w:tcMar>
          </w:tcPr>
          <w:p>
            <w:pPr>
              <w:jc w:val="left"/>
            </w:pPr>
            <w:r>
              <w:rPr>
                <w:rFonts w:ascii="Calibri" w:cs="Calibri" w:eastAsia="Calibri" w:hAnsi="Calibri"/>
                <w:b w:val="false"/>
                <w:bCs w:val="false"/>
                <w:sz w:val="18"/>
                <w:szCs w:val="18"/>
              </w:rPr>
              <w:t xml:space="preserve">BidMyScrap</w:t>
            </w:r>
          </w:p>
        </w:tc>
        <w:tc>
          <w:tcPr>
            <w:tcW w:type="dxa" w:w="1100"/>
            <w:tcBorders>
              <w:top w:val="single" w:color="DCDAD4" w:sz="4"/>
              <w:left w:val="single" w:color="DCDAD4" w:sz="4"/>
              <w:bottom w:val="single" w:color="DCDAD4" w:sz="4"/>
              <w:right w:val="single" w:color="DCDAD4" w:sz="4"/>
            </w:tcBorders>
            <w:tcMar>
              <w:top w:type="dxa" w:w="60"/>
              <w:left w:type="dxa" w:w="90"/>
              <w:bottom w:type="dxa" w:w="60"/>
              <w:right w:type="dxa" w:w="90"/>
            </w:tcMar>
          </w:tcPr>
          <w:p>
            <w:pPr>
              <w:jc w:val="left"/>
            </w:pPr>
            <w:r>
              <w:rPr>
                <w:rFonts w:ascii="Calibri" w:cs="Calibri" w:eastAsia="Calibri" w:hAnsi="Calibri"/>
                <w:b w:val="false"/>
                <w:bCs w:val="false"/>
                <w:sz w:val="18"/>
                <w:szCs w:val="18"/>
              </w:rPr>
              <w:t xml:space="preserve">Private</w:t>
            </w:r>
          </w:p>
        </w:tc>
        <w:tc>
          <w:tcPr>
            <w:tcW w:type="dxa" w:w="1550"/>
            <w:tcBorders>
              <w:top w:val="single" w:color="DCDAD4" w:sz="4"/>
              <w:left w:val="single" w:color="DCDAD4" w:sz="4"/>
              <w:bottom w:val="single" w:color="DCDAD4" w:sz="4"/>
              <w:right w:val="single" w:color="DCDAD4" w:sz="4"/>
            </w:tcBorders>
            <w:shd w:fill="EAF2FD" w:val="clear"/>
            <w:tcMar>
              <w:top w:type="dxa" w:w="60"/>
              <w:left w:type="dxa" w:w="90"/>
              <w:bottom w:type="dxa" w:w="60"/>
              <w:right w:type="dxa" w:w="90"/>
            </w:tcMar>
          </w:tcPr>
          <w:p>
            <w:pPr>
              <w:jc w:val="center"/>
            </w:pPr>
            <w:r>
              <w:rPr>
                <w:rFonts w:ascii="Calibri" w:cs="Calibri" w:eastAsia="Calibri" w:hAnsi="Calibri"/>
                <w:b w:val="false"/>
                <w:bCs w:val="false"/>
                <w:sz w:val="18"/>
                <w:szCs w:val="18"/>
              </w:rPr>
              <w:t xml:space="preserve">I</w:t>
            </w:r>
          </w:p>
        </w:tc>
        <w:tc>
          <w:tcPr>
            <w:tcW w:type="dxa" w:w="1550"/>
            <w:tcBorders>
              <w:top w:val="single" w:color="DCDAD4" w:sz="4"/>
              <w:left w:val="single" w:color="DCDAD4" w:sz="4"/>
              <w:bottom w:val="single" w:color="DCDAD4" w:sz="4"/>
              <w:right w:val="single" w:color="DCDAD4" w:sz="4"/>
            </w:tcBorders>
            <w:shd w:fill="CDE2FB" w:val="clear"/>
            <w:tcMar>
              <w:top w:type="dxa" w:w="60"/>
              <w:left w:type="dxa" w:w="90"/>
              <w:bottom w:type="dxa" w:w="60"/>
              <w:right w:type="dxa" w:w="90"/>
            </w:tcMar>
          </w:tcPr>
          <w:p>
            <w:pPr>
              <w:jc w:val="center"/>
            </w:pPr>
            <w:r>
              <w:rPr>
                <w:rFonts w:ascii="Calibri" w:cs="Calibri" w:eastAsia="Calibri" w:hAnsi="Calibri"/>
                <w:b w:val="false"/>
                <w:bCs w:val="false"/>
                <w:sz w:val="18"/>
                <w:szCs w:val="18"/>
              </w:rPr>
              <w:t xml:space="preserve">S</w:t>
            </w:r>
          </w:p>
        </w:tc>
        <w:tc>
          <w:tcPr>
            <w:tcW w:type="dxa" w:w="1550"/>
            <w:tcBorders>
              <w:top w:val="single" w:color="DCDAD4" w:sz="4"/>
              <w:left w:val="single" w:color="DCDAD4" w:sz="4"/>
              <w:bottom w:val="single" w:color="DCDAD4" w:sz="4"/>
              <w:right w:val="single" w:color="DCDAD4" w:sz="4"/>
            </w:tcBorders>
            <w:tcMar>
              <w:top w:type="dxa" w:w="60"/>
              <w:left w:type="dxa" w:w="90"/>
              <w:bottom w:type="dxa" w:w="60"/>
              <w:right w:type="dxa" w:w="90"/>
            </w:tcMar>
          </w:tcPr>
          <w:p>
            <w:pPr>
              <w:jc w:val="center"/>
            </w:pPr>
            <w:r>
              <w:rPr>
                <w:rFonts w:ascii="Calibri" w:cs="Calibri" w:eastAsia="Calibri" w:hAnsi="Calibri"/>
                <w:b w:val="false"/>
                <w:bCs w:val="false"/>
                <w:sz w:val="18"/>
                <w:szCs w:val="18"/>
              </w:rPr>
              <w:t xml:space="preserve">-</w:t>
            </w:r>
          </w:p>
        </w:tc>
        <w:tc>
          <w:tcPr>
            <w:tcW w:type="dxa" w:w="1550"/>
            <w:tcBorders>
              <w:top w:val="single" w:color="DCDAD4" w:sz="4"/>
              <w:left w:val="single" w:color="DCDAD4" w:sz="4"/>
              <w:bottom w:val="single" w:color="DCDAD4" w:sz="4"/>
              <w:right w:val="single" w:color="DCDAD4" w:sz="4"/>
            </w:tcBorders>
            <w:shd w:fill="EAF2FD" w:val="clear"/>
            <w:tcMar>
              <w:top w:type="dxa" w:w="60"/>
              <w:left w:type="dxa" w:w="90"/>
              <w:bottom w:type="dxa" w:w="60"/>
              <w:right w:type="dxa" w:w="90"/>
            </w:tcMar>
          </w:tcPr>
          <w:p>
            <w:pPr>
              <w:jc w:val="center"/>
            </w:pPr>
            <w:r>
              <w:rPr>
                <w:rFonts w:ascii="Calibri" w:cs="Calibri" w:eastAsia="Calibri" w:hAnsi="Calibri"/>
                <w:b w:val="false"/>
                <w:bCs w:val="false"/>
                <w:sz w:val="18"/>
                <w:szCs w:val="18"/>
              </w:rPr>
              <w:t xml:space="preserve">I</w:t>
            </w:r>
          </w:p>
        </w:tc>
      </w:tr>
      <w:tr>
        <w:trPr>
          <w:cantSplit/>
        </w:trPr>
        <w:tc>
          <w:tcPr>
            <w:tcW w:type="dxa" w:w="2338"/>
            <w:tcBorders>
              <w:top w:val="single" w:color="DCDAD4" w:sz="4"/>
              <w:left w:val="single" w:color="DCDAD4" w:sz="4"/>
              <w:bottom w:val="single" w:color="DCDAD4" w:sz="4"/>
              <w:right w:val="single" w:color="DCDAD4" w:sz="4"/>
            </w:tcBorders>
            <w:tcMar>
              <w:top w:type="dxa" w:w="60"/>
              <w:left w:type="dxa" w:w="90"/>
              <w:bottom w:type="dxa" w:w="60"/>
              <w:right w:type="dxa" w:w="90"/>
            </w:tcMar>
          </w:tcPr>
          <w:p>
            <w:pPr>
              <w:jc w:val="left"/>
            </w:pPr>
            <w:r>
              <w:rPr>
                <w:rFonts w:ascii="Calibri" w:cs="Calibri" w:eastAsia="Calibri" w:hAnsi="Calibri"/>
                <w:b w:val="false"/>
                <w:bCs w:val="false"/>
                <w:sz w:val="18"/>
                <w:szCs w:val="18"/>
              </w:rPr>
              <w:t xml:space="preserve">Salasar Auction</w:t>
            </w:r>
          </w:p>
        </w:tc>
        <w:tc>
          <w:tcPr>
            <w:tcW w:type="dxa" w:w="1100"/>
            <w:tcBorders>
              <w:top w:val="single" w:color="DCDAD4" w:sz="4"/>
              <w:left w:val="single" w:color="DCDAD4" w:sz="4"/>
              <w:bottom w:val="single" w:color="DCDAD4" w:sz="4"/>
              <w:right w:val="single" w:color="DCDAD4" w:sz="4"/>
            </w:tcBorders>
            <w:tcMar>
              <w:top w:type="dxa" w:w="60"/>
              <w:left w:type="dxa" w:w="90"/>
              <w:bottom w:type="dxa" w:w="60"/>
              <w:right w:type="dxa" w:w="90"/>
            </w:tcMar>
          </w:tcPr>
          <w:p>
            <w:pPr>
              <w:jc w:val="left"/>
            </w:pPr>
            <w:r>
              <w:rPr>
                <w:rFonts w:ascii="Calibri" w:cs="Calibri" w:eastAsia="Calibri" w:hAnsi="Calibri"/>
                <w:b w:val="false"/>
                <w:bCs w:val="false"/>
                <w:sz w:val="18"/>
                <w:szCs w:val="18"/>
              </w:rPr>
              <w:t xml:space="preserve">Private</w:t>
            </w:r>
          </w:p>
        </w:tc>
        <w:tc>
          <w:tcPr>
            <w:tcW w:type="dxa" w:w="1550"/>
            <w:tcBorders>
              <w:top w:val="single" w:color="DCDAD4" w:sz="4"/>
              <w:left w:val="single" w:color="DCDAD4" w:sz="4"/>
              <w:bottom w:val="single" w:color="DCDAD4" w:sz="4"/>
              <w:right w:val="single" w:color="DCDAD4" w:sz="4"/>
            </w:tcBorders>
            <w:shd w:fill="CDE2FB" w:val="clear"/>
            <w:tcMar>
              <w:top w:type="dxa" w:w="60"/>
              <w:left w:type="dxa" w:w="90"/>
              <w:bottom w:type="dxa" w:w="60"/>
              <w:right w:type="dxa" w:w="90"/>
            </w:tcMar>
          </w:tcPr>
          <w:p>
            <w:pPr>
              <w:jc w:val="center"/>
            </w:pPr>
            <w:r>
              <w:rPr>
                <w:rFonts w:ascii="Calibri" w:cs="Calibri" w:eastAsia="Calibri" w:hAnsi="Calibri"/>
                <w:b w:val="false"/>
                <w:bCs w:val="false"/>
                <w:sz w:val="18"/>
                <w:szCs w:val="18"/>
              </w:rPr>
              <w:t xml:space="preserve">S</w:t>
            </w:r>
          </w:p>
        </w:tc>
        <w:tc>
          <w:tcPr>
            <w:tcW w:type="dxa" w:w="1550"/>
            <w:tcBorders>
              <w:top w:val="single" w:color="DCDAD4" w:sz="4"/>
              <w:left w:val="single" w:color="DCDAD4" w:sz="4"/>
              <w:bottom w:val="single" w:color="DCDAD4" w:sz="4"/>
              <w:right w:val="single" w:color="DCDAD4" w:sz="4"/>
            </w:tcBorders>
            <w:shd w:fill="EAF2FD" w:val="clear"/>
            <w:tcMar>
              <w:top w:type="dxa" w:w="60"/>
              <w:left w:type="dxa" w:w="90"/>
              <w:bottom w:type="dxa" w:w="60"/>
              <w:right w:type="dxa" w:w="90"/>
            </w:tcMar>
          </w:tcPr>
          <w:p>
            <w:pPr>
              <w:jc w:val="center"/>
            </w:pPr>
            <w:r>
              <w:rPr>
                <w:rFonts w:ascii="Calibri" w:cs="Calibri" w:eastAsia="Calibri" w:hAnsi="Calibri"/>
                <w:b w:val="false"/>
                <w:bCs w:val="false"/>
                <w:sz w:val="18"/>
                <w:szCs w:val="18"/>
              </w:rPr>
              <w:t xml:space="preserve">I</w:t>
            </w:r>
          </w:p>
        </w:tc>
        <w:tc>
          <w:tcPr>
            <w:tcW w:type="dxa" w:w="1550"/>
            <w:tcBorders>
              <w:top w:val="single" w:color="DCDAD4" w:sz="4"/>
              <w:left w:val="single" w:color="DCDAD4" w:sz="4"/>
              <w:bottom w:val="single" w:color="DCDAD4" w:sz="4"/>
              <w:right w:val="single" w:color="DCDAD4" w:sz="4"/>
            </w:tcBorders>
            <w:tcMar>
              <w:top w:type="dxa" w:w="60"/>
              <w:left w:type="dxa" w:w="90"/>
              <w:bottom w:type="dxa" w:w="60"/>
              <w:right w:type="dxa" w:w="90"/>
            </w:tcMar>
          </w:tcPr>
          <w:p>
            <w:pPr>
              <w:jc w:val="center"/>
            </w:pPr>
            <w:r>
              <w:rPr>
                <w:rFonts w:ascii="Calibri" w:cs="Calibri" w:eastAsia="Calibri" w:hAnsi="Calibri"/>
                <w:b w:val="false"/>
                <w:bCs w:val="false"/>
                <w:sz w:val="18"/>
                <w:szCs w:val="18"/>
              </w:rPr>
              <w:t xml:space="preserve">-</w:t>
            </w:r>
          </w:p>
        </w:tc>
        <w:tc>
          <w:tcPr>
            <w:tcW w:type="dxa" w:w="1550"/>
            <w:tcBorders>
              <w:top w:val="single" w:color="DCDAD4" w:sz="4"/>
              <w:left w:val="single" w:color="DCDAD4" w:sz="4"/>
              <w:bottom w:val="single" w:color="DCDAD4" w:sz="4"/>
              <w:right w:val="single" w:color="DCDAD4" w:sz="4"/>
            </w:tcBorders>
            <w:shd w:fill="CDE2FB" w:val="clear"/>
            <w:tcMar>
              <w:top w:type="dxa" w:w="60"/>
              <w:left w:type="dxa" w:w="90"/>
              <w:bottom w:type="dxa" w:w="60"/>
              <w:right w:type="dxa" w:w="90"/>
            </w:tcMar>
          </w:tcPr>
          <w:p>
            <w:pPr>
              <w:jc w:val="center"/>
            </w:pPr>
            <w:r>
              <w:rPr>
                <w:rFonts w:ascii="Calibri" w:cs="Calibri" w:eastAsia="Calibri" w:hAnsi="Calibri"/>
                <w:b w:val="false"/>
                <w:bCs w:val="false"/>
                <w:sz w:val="18"/>
                <w:szCs w:val="18"/>
              </w:rPr>
              <w:t xml:space="preserve">S</w:t>
            </w:r>
          </w:p>
        </w:tc>
      </w:tr>
      <w:tr>
        <w:trPr>
          <w:cantSplit/>
        </w:trPr>
        <w:tc>
          <w:tcPr>
            <w:tcW w:type="dxa" w:w="2338"/>
            <w:tcBorders>
              <w:top w:val="single" w:color="DCDAD4" w:sz="4"/>
              <w:left w:val="single" w:color="DCDAD4" w:sz="4"/>
              <w:bottom w:val="single" w:color="DCDAD4" w:sz="4"/>
              <w:right w:val="single" w:color="DCDAD4" w:sz="4"/>
            </w:tcBorders>
            <w:tcMar>
              <w:top w:type="dxa" w:w="60"/>
              <w:left w:type="dxa" w:w="90"/>
              <w:bottom w:type="dxa" w:w="60"/>
              <w:right w:type="dxa" w:w="90"/>
            </w:tcMar>
          </w:tcPr>
          <w:p>
            <w:pPr>
              <w:jc w:val="left"/>
            </w:pPr>
            <w:r>
              <w:rPr>
                <w:rFonts w:ascii="Calibri" w:cs="Calibri" w:eastAsia="Calibri" w:hAnsi="Calibri"/>
                <w:b w:val="false"/>
                <w:bCs w:val="false"/>
                <w:sz w:val="18"/>
                <w:szCs w:val="18"/>
              </w:rPr>
              <w:t xml:space="preserve">Metalbook</w:t>
            </w:r>
          </w:p>
        </w:tc>
        <w:tc>
          <w:tcPr>
            <w:tcW w:type="dxa" w:w="1100"/>
            <w:tcBorders>
              <w:top w:val="single" w:color="DCDAD4" w:sz="4"/>
              <w:left w:val="single" w:color="DCDAD4" w:sz="4"/>
              <w:bottom w:val="single" w:color="DCDAD4" w:sz="4"/>
              <w:right w:val="single" w:color="DCDAD4" w:sz="4"/>
            </w:tcBorders>
            <w:tcMar>
              <w:top w:type="dxa" w:w="60"/>
              <w:left w:type="dxa" w:w="90"/>
              <w:bottom w:type="dxa" w:w="60"/>
              <w:right w:type="dxa" w:w="90"/>
            </w:tcMar>
          </w:tcPr>
          <w:p>
            <w:pPr>
              <w:jc w:val="left"/>
            </w:pPr>
            <w:r>
              <w:rPr>
                <w:rFonts w:ascii="Calibri" w:cs="Calibri" w:eastAsia="Calibri" w:hAnsi="Calibri"/>
                <w:b w:val="false"/>
                <w:bCs w:val="false"/>
                <w:sz w:val="18"/>
                <w:szCs w:val="18"/>
              </w:rPr>
              <w:t xml:space="preserve">Private</w:t>
            </w:r>
          </w:p>
        </w:tc>
        <w:tc>
          <w:tcPr>
            <w:tcW w:type="dxa" w:w="1550"/>
            <w:tcBorders>
              <w:top w:val="single" w:color="DCDAD4" w:sz="4"/>
              <w:left w:val="single" w:color="DCDAD4" w:sz="4"/>
              <w:bottom w:val="single" w:color="DCDAD4" w:sz="4"/>
              <w:right w:val="single" w:color="DCDAD4" w:sz="4"/>
            </w:tcBorders>
            <w:shd w:fill="CDE2FB" w:val="clear"/>
            <w:tcMar>
              <w:top w:type="dxa" w:w="60"/>
              <w:left w:type="dxa" w:w="90"/>
              <w:bottom w:type="dxa" w:w="60"/>
              <w:right w:type="dxa" w:w="90"/>
            </w:tcMar>
          </w:tcPr>
          <w:p>
            <w:pPr>
              <w:jc w:val="center"/>
            </w:pPr>
            <w:r>
              <w:rPr>
                <w:rFonts w:ascii="Calibri" w:cs="Calibri" w:eastAsia="Calibri" w:hAnsi="Calibri"/>
                <w:b w:val="false"/>
                <w:bCs w:val="false"/>
                <w:sz w:val="18"/>
                <w:szCs w:val="18"/>
              </w:rPr>
              <w:t xml:space="preserve">S</w:t>
            </w:r>
          </w:p>
        </w:tc>
        <w:tc>
          <w:tcPr>
            <w:tcW w:type="dxa" w:w="1550"/>
            <w:tcBorders>
              <w:top w:val="single" w:color="DCDAD4" w:sz="4"/>
              <w:left w:val="single" w:color="DCDAD4" w:sz="4"/>
              <w:bottom w:val="single" w:color="DCDAD4" w:sz="4"/>
              <w:right w:val="single" w:color="DCDAD4" w:sz="4"/>
            </w:tcBorders>
            <w:shd w:fill="EAF2FD" w:val="clear"/>
            <w:tcMar>
              <w:top w:type="dxa" w:w="60"/>
              <w:left w:type="dxa" w:w="90"/>
              <w:bottom w:type="dxa" w:w="60"/>
              <w:right w:type="dxa" w:w="90"/>
            </w:tcMar>
          </w:tcPr>
          <w:p>
            <w:pPr>
              <w:jc w:val="center"/>
            </w:pPr>
            <w:r>
              <w:rPr>
                <w:rFonts w:ascii="Calibri" w:cs="Calibri" w:eastAsia="Calibri" w:hAnsi="Calibri"/>
                <w:b w:val="false"/>
                <w:bCs w:val="false"/>
                <w:sz w:val="18"/>
                <w:szCs w:val="18"/>
              </w:rPr>
              <w:t xml:space="preserve">I</w:t>
            </w:r>
          </w:p>
        </w:tc>
        <w:tc>
          <w:tcPr>
            <w:tcW w:type="dxa" w:w="1550"/>
            <w:tcBorders>
              <w:top w:val="single" w:color="DCDAD4" w:sz="4"/>
              <w:left w:val="single" w:color="DCDAD4" w:sz="4"/>
              <w:bottom w:val="single" w:color="DCDAD4" w:sz="4"/>
              <w:right w:val="single" w:color="DCDAD4" w:sz="4"/>
            </w:tcBorders>
            <w:tcMar>
              <w:top w:type="dxa" w:w="60"/>
              <w:left w:type="dxa" w:w="90"/>
              <w:bottom w:type="dxa" w:w="60"/>
              <w:right w:type="dxa" w:w="90"/>
            </w:tcMar>
          </w:tcPr>
          <w:p>
            <w:pPr>
              <w:jc w:val="center"/>
            </w:pPr>
            <w:r>
              <w:rPr>
                <w:rFonts w:ascii="Calibri" w:cs="Calibri" w:eastAsia="Calibri" w:hAnsi="Calibri"/>
                <w:b w:val="false"/>
                <w:bCs w:val="false"/>
                <w:sz w:val="18"/>
                <w:szCs w:val="18"/>
              </w:rPr>
              <w:t xml:space="preserve">-</w:t>
            </w:r>
          </w:p>
        </w:tc>
        <w:tc>
          <w:tcPr>
            <w:tcW w:type="dxa" w:w="1550"/>
            <w:tcBorders>
              <w:top w:val="single" w:color="DCDAD4" w:sz="4"/>
              <w:left w:val="single" w:color="DCDAD4" w:sz="4"/>
              <w:bottom w:val="single" w:color="DCDAD4" w:sz="4"/>
              <w:right w:val="single" w:color="DCDAD4" w:sz="4"/>
            </w:tcBorders>
            <w:shd w:fill="CDE2FB" w:val="clear"/>
            <w:tcMar>
              <w:top w:type="dxa" w:w="60"/>
              <w:left w:type="dxa" w:w="90"/>
              <w:bottom w:type="dxa" w:w="60"/>
              <w:right w:type="dxa" w:w="90"/>
            </w:tcMar>
          </w:tcPr>
          <w:p>
            <w:pPr>
              <w:jc w:val="center"/>
            </w:pPr>
            <w:r>
              <w:rPr>
                <w:rFonts w:ascii="Calibri" w:cs="Calibri" w:eastAsia="Calibri" w:hAnsi="Calibri"/>
                <w:b w:val="false"/>
                <w:bCs w:val="false"/>
                <w:sz w:val="18"/>
                <w:szCs w:val="18"/>
              </w:rPr>
              <w:t xml:space="preserve">S</w:t>
            </w:r>
          </w:p>
        </w:tc>
      </w:tr>
      <w:tr>
        <w:trPr>
          <w:cantSplit/>
        </w:trPr>
        <w:tc>
          <w:tcPr>
            <w:tcW w:type="dxa" w:w="2338"/>
            <w:tcBorders>
              <w:top w:val="single" w:color="DCDAD4" w:sz="4"/>
              <w:left w:val="single" w:color="DCDAD4" w:sz="4"/>
              <w:bottom w:val="single" w:color="DCDAD4" w:sz="4"/>
              <w:right w:val="single" w:color="DCDAD4" w:sz="4"/>
            </w:tcBorders>
            <w:tcMar>
              <w:top w:type="dxa" w:w="60"/>
              <w:left w:type="dxa" w:w="90"/>
              <w:bottom w:type="dxa" w:w="60"/>
              <w:right w:type="dxa" w:w="90"/>
            </w:tcMar>
          </w:tcPr>
          <w:p>
            <w:pPr>
              <w:jc w:val="left"/>
            </w:pPr>
            <w:r>
              <w:rPr>
                <w:rFonts w:ascii="Calibri" w:cs="Calibri" w:eastAsia="Calibri" w:hAnsi="Calibri"/>
                <w:b w:val="false"/>
                <w:bCs w:val="false"/>
                <w:sz w:val="18"/>
                <w:szCs w:val="18"/>
              </w:rPr>
              <w:t xml:space="preserve">Auction India (TVS)</w:t>
            </w:r>
          </w:p>
        </w:tc>
        <w:tc>
          <w:tcPr>
            <w:tcW w:type="dxa" w:w="1100"/>
            <w:tcBorders>
              <w:top w:val="single" w:color="DCDAD4" w:sz="4"/>
              <w:left w:val="single" w:color="DCDAD4" w:sz="4"/>
              <w:bottom w:val="single" w:color="DCDAD4" w:sz="4"/>
              <w:right w:val="single" w:color="DCDAD4" w:sz="4"/>
            </w:tcBorders>
            <w:tcMar>
              <w:top w:type="dxa" w:w="60"/>
              <w:left w:type="dxa" w:w="90"/>
              <w:bottom w:type="dxa" w:w="60"/>
              <w:right w:type="dxa" w:w="90"/>
            </w:tcMar>
          </w:tcPr>
          <w:p>
            <w:pPr>
              <w:jc w:val="left"/>
            </w:pPr>
            <w:r>
              <w:rPr>
                <w:rFonts w:ascii="Calibri" w:cs="Calibri" w:eastAsia="Calibri" w:hAnsi="Calibri"/>
                <w:b w:val="false"/>
                <w:bCs w:val="false"/>
                <w:sz w:val="18"/>
                <w:szCs w:val="18"/>
              </w:rPr>
              <w:t xml:space="preserve">Private</w:t>
            </w:r>
          </w:p>
        </w:tc>
        <w:tc>
          <w:tcPr>
            <w:tcW w:type="dxa" w:w="1550"/>
            <w:tcBorders>
              <w:top w:val="single" w:color="DCDAD4" w:sz="4"/>
              <w:left w:val="single" w:color="DCDAD4" w:sz="4"/>
              <w:bottom w:val="single" w:color="DCDAD4" w:sz="4"/>
              <w:right w:val="single" w:color="DCDAD4" w:sz="4"/>
            </w:tcBorders>
            <w:shd w:fill="EAF2FD" w:val="clear"/>
            <w:tcMar>
              <w:top w:type="dxa" w:w="60"/>
              <w:left w:type="dxa" w:w="90"/>
              <w:bottom w:type="dxa" w:w="60"/>
              <w:right w:type="dxa" w:w="90"/>
            </w:tcMar>
          </w:tcPr>
          <w:p>
            <w:pPr>
              <w:jc w:val="center"/>
            </w:pPr>
            <w:r>
              <w:rPr>
                <w:rFonts w:ascii="Calibri" w:cs="Calibri" w:eastAsia="Calibri" w:hAnsi="Calibri"/>
                <w:b w:val="false"/>
                <w:bCs w:val="false"/>
                <w:sz w:val="18"/>
                <w:szCs w:val="18"/>
              </w:rPr>
              <w:t xml:space="preserve">I</w:t>
            </w:r>
          </w:p>
        </w:tc>
        <w:tc>
          <w:tcPr>
            <w:tcW w:type="dxa" w:w="1550"/>
            <w:tcBorders>
              <w:top w:val="single" w:color="DCDAD4" w:sz="4"/>
              <w:left w:val="single" w:color="DCDAD4" w:sz="4"/>
              <w:bottom w:val="single" w:color="DCDAD4" w:sz="4"/>
              <w:right w:val="single" w:color="DCDAD4" w:sz="4"/>
            </w:tcBorders>
            <w:shd w:fill="CDE2FB" w:val="clear"/>
            <w:tcMar>
              <w:top w:type="dxa" w:w="60"/>
              <w:left w:type="dxa" w:w="90"/>
              <w:bottom w:type="dxa" w:w="60"/>
              <w:right w:type="dxa" w:w="90"/>
            </w:tcMar>
          </w:tcPr>
          <w:p>
            <w:pPr>
              <w:jc w:val="center"/>
            </w:pPr>
            <w:r>
              <w:rPr>
                <w:rFonts w:ascii="Calibri" w:cs="Calibri" w:eastAsia="Calibri" w:hAnsi="Calibri"/>
                <w:b w:val="false"/>
                <w:bCs w:val="false"/>
                <w:sz w:val="18"/>
                <w:szCs w:val="18"/>
              </w:rPr>
              <w:t xml:space="preserve">S</w:t>
            </w:r>
          </w:p>
        </w:tc>
        <w:tc>
          <w:tcPr>
            <w:tcW w:type="dxa" w:w="1550"/>
            <w:tcBorders>
              <w:top w:val="single" w:color="DCDAD4" w:sz="4"/>
              <w:left w:val="single" w:color="DCDAD4" w:sz="4"/>
              <w:bottom w:val="single" w:color="DCDAD4" w:sz="4"/>
              <w:right w:val="single" w:color="DCDAD4" w:sz="4"/>
            </w:tcBorders>
            <w:tcMar>
              <w:top w:type="dxa" w:w="60"/>
              <w:left w:type="dxa" w:w="90"/>
              <w:bottom w:type="dxa" w:w="60"/>
              <w:right w:type="dxa" w:w="90"/>
            </w:tcMar>
          </w:tcPr>
          <w:p>
            <w:pPr>
              <w:jc w:val="center"/>
            </w:pPr>
            <w:r>
              <w:rPr>
                <w:rFonts w:ascii="Calibri" w:cs="Calibri" w:eastAsia="Calibri" w:hAnsi="Calibri"/>
                <w:b w:val="false"/>
                <w:bCs w:val="false"/>
                <w:sz w:val="18"/>
                <w:szCs w:val="18"/>
              </w:rPr>
              <w:t xml:space="preserve">-</w:t>
            </w:r>
          </w:p>
        </w:tc>
        <w:tc>
          <w:tcPr>
            <w:tcW w:type="dxa" w:w="1550"/>
            <w:tcBorders>
              <w:top w:val="single" w:color="DCDAD4" w:sz="4"/>
              <w:left w:val="single" w:color="DCDAD4" w:sz="4"/>
              <w:bottom w:val="single" w:color="DCDAD4" w:sz="4"/>
              <w:right w:val="single" w:color="DCDAD4" w:sz="4"/>
            </w:tcBorders>
            <w:shd w:fill="EAF2FD" w:val="clear"/>
            <w:tcMar>
              <w:top w:type="dxa" w:w="60"/>
              <w:left w:type="dxa" w:w="90"/>
              <w:bottom w:type="dxa" w:w="60"/>
              <w:right w:type="dxa" w:w="90"/>
            </w:tcMar>
          </w:tcPr>
          <w:p>
            <w:pPr>
              <w:jc w:val="center"/>
            </w:pPr>
            <w:r>
              <w:rPr>
                <w:rFonts w:ascii="Calibri" w:cs="Calibri" w:eastAsia="Calibri" w:hAnsi="Calibri"/>
                <w:b w:val="false"/>
                <w:bCs w:val="false"/>
                <w:sz w:val="18"/>
                <w:szCs w:val="18"/>
              </w:rPr>
              <w:t xml:space="preserve">I</w:t>
            </w:r>
          </w:p>
        </w:tc>
      </w:tr>
    </w:tbl>
    <w:p>
      <w:pPr>
        <w:pStyle w:val="Heading1"/>
        <w:keepNext/>
        <w:spacing w:after="120" w:before="320"/>
      </w:pPr>
      <w:r>
        <w:rPr>
          <w:rFonts w:ascii="Calibri" w:cs="Calibri" w:eastAsia="Calibri" w:hAnsi="Calibri"/>
        </w:rPr>
        <w:t xml:space="preserve">6. Suggested sourcing approach</w:t>
      </w:r>
    </w:p>
    <w:p>
      <w:pPr>
        <w:pStyle w:val="ListParagraph"/>
        <w:numPr>
          <w:ilvl w:val="0"/>
          <w:numId w:val="3"/>
        </w:numPr>
        <w:spacing w:after="60"/>
      </w:pPr>
      <w:r>
        <w:rPr>
          <w:rFonts w:ascii="Calibri" w:cs="Calibri" w:eastAsia="Calibri" w:hAnsi="Calibri"/>
        </w:rPr>
        <w:t xml:space="preserve">Register on the government platforms first: MSTC and IREPS. IREPS needs a Class III digital signature certificate. Allow time for approval before the first auction you want.</w:t>
      </w:r>
    </w:p>
    <w:p>
      <w:pPr>
        <w:pStyle w:val="ListParagraph"/>
        <w:numPr>
          <w:ilvl w:val="0"/>
          <w:numId w:val="3"/>
        </w:numPr>
        <w:spacing w:after="60"/>
      </w:pPr>
      <w:r>
        <w:rPr>
          <w:rFonts w:ascii="Calibri" w:cs="Calibri" w:eastAsia="Calibri" w:hAnsi="Calibri"/>
        </w:rPr>
        <w:t xml:space="preserve">Register on the private platforms: mjunction and Metaljunction first, then BidMyScrap. Set keyword alerts for copper, brass, gunmetal, bronze, radiator, cable and turnings.</w:t>
      </w:r>
    </w:p>
    <w:p>
      <w:pPr>
        <w:pStyle w:val="ListParagraph"/>
        <w:numPr>
          <w:ilvl w:val="0"/>
          <w:numId w:val="3"/>
        </w:numPr>
        <w:spacing w:after="60"/>
      </w:pPr>
      <w:r>
        <w:rPr>
          <w:rFonts w:ascii="Calibri" w:cs="Calibri" w:eastAsia="Calibri" w:hAnsi="Calibri"/>
        </w:rPr>
        <w:t xml:space="preserve">Quote the ISRI grade in every bid and PO, for example "Honey, yellow brass solids, clean". Ask for a copper assay on Cu grades. Candy, Birch and Cliff differ by purity.</w:t>
      </w:r>
    </w:p>
    <w:p>
      <w:pPr>
        <w:pStyle w:val="ListParagraph"/>
        <w:numPr>
          <w:ilvl w:val="0"/>
          <w:numId w:val="3"/>
        </w:numPr>
        <w:spacing w:after="60"/>
      </w:pPr>
      <w:r>
        <w:rPr>
          <w:rFonts w:ascii="Calibri" w:cs="Calibri" w:eastAsia="Calibri" w:hAnsi="Calibri"/>
        </w:rPr>
        <w:t xml:space="preserve">Inspect before you bid. Auction lots are normally sold as seen. Visit the yard or request photos and a sample. Check for iron, lead, plastic and moisture.</w:t>
      </w:r>
    </w:p>
    <w:p>
      <w:pPr>
        <w:pStyle w:val="ListParagraph"/>
        <w:numPr>
          <w:ilvl w:val="0"/>
          <w:numId w:val="3"/>
        </w:numPr>
        <w:spacing w:after="60"/>
      </w:pPr>
      <w:r>
        <w:rPr>
          <w:rFonts w:ascii="Calibri" w:cs="Calibri" w:eastAsia="Calibri" w:hAnsi="Calibri"/>
        </w:rPr>
        <w:t xml:space="preserve">Set a ceiling price from LME plus a grade discount. Use the brass range in Section 2 as a cross-check against the local market.</w:t>
      </w:r>
    </w:p>
    <w:p>
      <w:pPr>
        <w:pStyle w:val="ListParagraph"/>
        <w:numPr>
          <w:ilvl w:val="0"/>
          <w:numId w:val="3"/>
        </w:numPr>
        <w:spacing w:after="60"/>
      </w:pPr>
      <w:r>
        <w:rPr>
          <w:rFonts w:ascii="Calibri" w:cs="Calibri" w:eastAsia="Calibri" w:hAnsi="Calibri"/>
        </w:rPr>
        <w:t xml:space="preserve">Include tax and freight: GST on scrap, TCS where applicable, loading, transport to Bhiwadi and deposit lock-up. Compare lots on delivered cost per kg of copper content.</w:t>
      </w:r>
    </w:p>
    <w:p>
      <w:pPr>
        <w:pStyle w:val="ListParagraph"/>
        <w:numPr>
          <w:ilvl w:val="0"/>
          <w:numId w:val="3"/>
        </w:numPr>
        <w:spacing w:after="60"/>
      </w:pPr>
      <w:r>
        <w:rPr>
          <w:rFonts w:ascii="Calibri" w:cs="Calibri" w:eastAsia="Calibri" w:hAnsi="Calibri"/>
        </w:rPr>
        <w:t xml:space="preserve">Keep an import option open. With nil basic customs duty, imported grades from the US, Saudi Arabia and the UAE are comparable with domestic lots on delivered cost.</w:t>
      </w:r>
    </w:p>
    <w:p>
      <w:pPr>
        <w:pStyle w:val="Heading1"/>
        <w:keepNext/>
        <w:spacing w:after="120" w:before="320"/>
      </w:pPr>
      <w:r>
        <w:rPr>
          <w:rFonts w:ascii="Calibri" w:cs="Calibri" w:eastAsia="Calibri" w:hAnsi="Calibri"/>
        </w:rPr>
        <w:t xml:space="preserve">7. Data limits and checks needed</w:t>
      </w:r>
    </w:p>
    <w:p>
      <w:pPr>
        <w:pStyle w:val="ListParagraph"/>
        <w:numPr>
          <w:ilvl w:val="0"/>
          <w:numId w:val="2"/>
        </w:numPr>
        <w:spacing w:after="60"/>
      </w:pPr>
      <w:r>
        <w:rPr>
          <w:rFonts w:ascii="Calibri" w:cs="Calibri" w:eastAsia="Calibri" w:hAnsi="Calibri"/>
          <w:b/>
          <w:bCs/>
        </w:rPr>
        <w:t xml:space="preserve">Direct page access was blocked </w:t>
      </w:r>
      <w:r>
        <w:rPr>
          <w:rFonts w:ascii="Calibri" w:cs="Calibri" w:eastAsia="Calibri" w:hAnsi="Calibri"/>
        </w:rPr>
        <w:t xml:space="preserve">for most price and statistics sites. Figures are from search extracts. Open each source link and confirm before use.</w:t>
      </w:r>
    </w:p>
    <w:p>
      <w:pPr>
        <w:pStyle w:val="ListParagraph"/>
        <w:numPr>
          <w:ilvl w:val="0"/>
          <w:numId w:val="2"/>
        </w:numPr>
        <w:spacing w:after="60"/>
      </w:pPr>
      <w:r>
        <w:rPr>
          <w:rFonts w:ascii="Calibri" w:cs="Calibri" w:eastAsia="Calibri" w:hAnsi="Calibri"/>
          <w:b/>
          <w:bCs/>
        </w:rPr>
        <w:t xml:space="preserve">Duty rate is reported two ways. </w:t>
      </w:r>
      <w:r>
        <w:rPr>
          <w:rFonts w:ascii="Calibri" w:cs="Calibri" w:eastAsia="Calibri" w:hAnsi="Calibri"/>
        </w:rPr>
        <w:t xml:space="preserve">Most sources say basic customs duty is nil on copper scrap. One says 2.5%. Confirm the current rate for HSN 7404 on the CBIC tariff.</w:t>
      </w:r>
    </w:p>
    <w:p>
      <w:pPr>
        <w:pStyle w:val="ListParagraph"/>
        <w:numPr>
          <w:ilvl w:val="0"/>
          <w:numId w:val="2"/>
        </w:numPr>
        <w:spacing w:after="60"/>
      </w:pPr>
      <w:r>
        <w:rPr>
          <w:rFonts w:ascii="Calibri" w:cs="Calibri" w:eastAsia="Calibri" w:hAnsi="Calibri"/>
          <w:b/>
          <w:bCs/>
        </w:rPr>
        <w:t xml:space="preserve">An older brass price conflicts. </w:t>
      </w:r>
      <w:r>
        <w:rPr>
          <w:rFonts w:ascii="Calibri" w:cs="Calibri" w:eastAsia="Calibri" w:hAnsi="Calibri"/>
        </w:rPr>
        <w:t xml:space="preserve">One source quotes brass scrap at Rs 280 to 320 per kg in Jamnagar for Q1 2026. October 2026 quotes are about Rs 890 to 990 per kg. The older figure looks outdated or in a different unit and is not used.</w:t>
      </w:r>
    </w:p>
    <w:p>
      <w:pPr>
        <w:pStyle w:val="ListParagraph"/>
        <w:numPr>
          <w:ilvl w:val="0"/>
          <w:numId w:val="2"/>
        </w:numPr>
        <w:spacing w:after="60"/>
      </w:pPr>
      <w:r>
        <w:rPr>
          <w:rFonts w:ascii="Calibri" w:cs="Calibri" w:eastAsia="Calibri" w:hAnsi="Calibri"/>
          <w:b/>
          <w:bCs/>
        </w:rPr>
        <w:t xml:space="preserve">Price portals publish dealer buy-sell quotes. </w:t>
      </w:r>
      <w:r>
        <w:rPr>
          <w:rFonts w:ascii="Calibri" w:cs="Calibri" w:eastAsia="Calibri" w:hAnsi="Calibri"/>
        </w:rPr>
        <w:t xml:space="preserve">They are indicative. Auction clearing prices differ.</w:t>
      </w:r>
    </w:p>
    <w:p>
      <w:pPr>
        <w:pStyle w:val="ListParagraph"/>
        <w:numPr>
          <w:ilvl w:val="0"/>
          <w:numId w:val="2"/>
        </w:numPr>
        <w:spacing w:after="60"/>
      </w:pPr>
      <w:r>
        <w:rPr>
          <w:rFonts w:ascii="Calibri" w:cs="Calibri" w:eastAsia="Calibri" w:hAnsi="Calibri"/>
          <w:b/>
          <w:bCs/>
        </w:rPr>
        <w:t xml:space="preserve">No auction results data was found. </w:t>
      </w:r>
      <w:r>
        <w:rPr>
          <w:rFonts w:ascii="Calibri" w:cs="Calibri" w:eastAsia="Calibri" w:hAnsi="Calibri"/>
        </w:rPr>
        <w:t xml:space="preserve">Past clearing prices for copper and brass lots on MSTC, IREPS and mjunction are not public in the sources found. Pull them from the live platforms after registration.</w:t>
      </w:r>
    </w:p>
    <w:p>
      <w:pPr>
        <w:pStyle w:val="ListParagraph"/>
        <w:numPr>
          <w:ilvl w:val="0"/>
          <w:numId w:val="2"/>
        </w:numPr>
        <w:spacing w:after="60"/>
      </w:pPr>
      <w:r>
        <w:rPr>
          <w:rFonts w:ascii="Calibri" w:cs="Calibri" w:eastAsia="Calibri" w:hAnsi="Calibri"/>
          <w:b/>
          <w:bCs/>
        </w:rPr>
        <w:t xml:space="preserve">Ocean, Cocoa, Clove, Drove and Tone </w:t>
      </w:r>
      <w:r>
        <w:rPr>
          <w:rFonts w:ascii="Calibri" w:cs="Calibri" w:eastAsia="Calibri" w:hAnsi="Calibri"/>
        </w:rPr>
        <w:t xml:space="preserve">were searched but no verified specification text was found, so they are not listed. Take them from the current ISRI Circular.</w:t>
      </w:r>
    </w:p>
    <w:p>
      <w:pPr>
        <w:pStyle w:val="ListParagraph"/>
        <w:numPr>
          <w:ilvl w:val="0"/>
          <w:numId w:val="2"/>
        </w:numPr>
        <w:spacing w:after="60"/>
      </w:pPr>
      <w:r>
        <w:rPr>
          <w:rFonts w:ascii="Calibri" w:cs="Calibri" w:eastAsia="Calibri" w:hAnsi="Calibri"/>
          <w:b/>
          <w:bCs/>
        </w:rPr>
        <w:t xml:space="preserve">Bajaj Alloys' own requirement </w:t>
      </w:r>
      <w:r>
        <w:rPr>
          <w:rFonts w:ascii="Calibri" w:cs="Calibri" w:eastAsia="Calibri" w:hAnsi="Calibri"/>
        </w:rPr>
        <w:t xml:space="preserve">(tonnes per month, grades used, products) is needed to size bids and rank the platforms.</w:t>
      </w:r>
    </w:p>
    <w:p>
      <w:pPr>
        <w:pStyle w:val="Heading1"/>
        <w:keepNext/>
        <w:spacing w:after="120" w:before="320"/>
      </w:pPr>
      <w:r>
        <w:rPr>
          <w:rFonts w:ascii="Calibri" w:cs="Calibri" w:eastAsia="Calibri" w:hAnsi="Calibri"/>
        </w:rPr>
        <w:t xml:space="preserve">8. Sources</w:t>
      </w:r>
    </w:p>
    <w:p>
      <w:pPr>
        <w:pStyle w:val="ListParagraph"/>
        <w:numPr>
          <w:ilvl w:val="0"/>
          <w:numId w:val="2"/>
        </w:numPr>
        <w:spacing w:after="30"/>
      </w:pPr>
      <w:hyperlink w:history="1" r:id="rId5p79r-eggvfsb6orulgsg">
        <w:r>
          <w:rPr>
            <w:rFonts w:ascii="Calibri" w:cs="Calibri" w:eastAsia="Calibri" w:hAnsi="Calibri"/>
            <w:color w:val="1C5CAB"/>
            <w:u w:val="single"/>
          </w:rPr>
          <w:t xml:space="preserve">ISRI Scrap Specifications Circular (Scribd copy)</w:t>
        </w:r>
      </w:hyperlink>
    </w:p>
    <w:p>
      <w:pPr>
        <w:pStyle w:val="ListParagraph"/>
        <w:numPr>
          <w:ilvl w:val="0"/>
          <w:numId w:val="2"/>
        </w:numPr>
        <w:spacing w:after="30"/>
      </w:pPr>
      <w:hyperlink w:history="1" r:id="rIdicgei67ue3fogtey_g-v_">
        <w:r>
          <w:rPr>
            <w:rFonts w:ascii="Calibri" w:cs="Calibri" w:eastAsia="Calibri" w:hAnsi="Calibri"/>
            <w:color w:val="1C5CAB"/>
            <w:u w:val="single"/>
          </w:rPr>
          <w:t xml:space="preserve">ISRI Circular 2007 edition (Columbia)</w:t>
        </w:r>
      </w:hyperlink>
    </w:p>
    <w:p>
      <w:pPr>
        <w:pStyle w:val="ListParagraph"/>
        <w:numPr>
          <w:ilvl w:val="0"/>
          <w:numId w:val="2"/>
        </w:numPr>
        <w:spacing w:after="30"/>
      </w:pPr>
      <w:hyperlink w:history="1" r:id="rIdu2d3cxfw8wd4v1dxrcku6">
        <w:r>
          <w:rPr>
            <w:rFonts w:ascii="Calibri" w:cs="Calibri" w:eastAsia="Calibri" w:hAnsi="Calibri"/>
            <w:color w:val="1C5CAB"/>
            <w:u w:val="single"/>
          </w:rPr>
          <w:t xml:space="preserve">ISRI Circular 2008 edition</w:t>
        </w:r>
      </w:hyperlink>
    </w:p>
    <w:p>
      <w:pPr>
        <w:pStyle w:val="ListParagraph"/>
        <w:numPr>
          <w:ilvl w:val="0"/>
          <w:numId w:val="2"/>
        </w:numPr>
        <w:spacing w:after="30"/>
      </w:pPr>
      <w:hyperlink w:history="1" r:id="rIdmauj3rq1pfbr-zmru5j-o">
        <w:r>
          <w:rPr>
            <w:rFonts w:ascii="Calibri" w:cs="Calibri" w:eastAsia="Calibri" w:hAnsi="Calibri"/>
            <w:color w:val="1C5CAB"/>
            <w:u w:val="single"/>
          </w:rPr>
          <w:t xml:space="preserve">MercatoMetalli: ISRI specifications</w:t>
        </w:r>
      </w:hyperlink>
    </w:p>
    <w:p>
      <w:pPr>
        <w:pStyle w:val="ListParagraph"/>
        <w:numPr>
          <w:ilvl w:val="0"/>
          <w:numId w:val="2"/>
        </w:numPr>
        <w:spacing w:after="30"/>
      </w:pPr>
      <w:hyperlink w:history="1" r:id="rId3s8zb2wz6mt6kkrg5lpea">
        <w:r>
          <w:rPr>
            <w:rFonts w:ascii="Calibri" w:cs="Calibri" w:eastAsia="Calibri" w:hAnsi="Calibri"/>
            <w:color w:val="1C5CAB"/>
            <w:u w:val="single"/>
          </w:rPr>
          <w:t xml:space="preserve">Trading Economics: copper</w:t>
        </w:r>
      </w:hyperlink>
    </w:p>
    <w:p>
      <w:pPr>
        <w:pStyle w:val="ListParagraph"/>
        <w:numPr>
          <w:ilvl w:val="0"/>
          <w:numId w:val="2"/>
        </w:numPr>
        <w:spacing w:after="30"/>
      </w:pPr>
      <w:hyperlink w:history="1" r:id="rIdbm8x7urz7msfajz6c2l4d">
        <w:r>
          <w:rPr>
            <w:rFonts w:ascii="Calibri" w:cs="Calibri" w:eastAsia="Calibri" w:hAnsi="Calibri"/>
            <w:color w:val="1C5CAB"/>
            <w:u w:val="single"/>
          </w:rPr>
          <w:t xml:space="preserve">MetalCharts: LME copper</w:t>
        </w:r>
      </w:hyperlink>
    </w:p>
    <w:p>
      <w:pPr>
        <w:pStyle w:val="ListParagraph"/>
        <w:numPr>
          <w:ilvl w:val="0"/>
          <w:numId w:val="2"/>
        </w:numPr>
        <w:spacing w:after="30"/>
      </w:pPr>
      <w:hyperlink w:history="1" r:id="rIdveu6vuzxxtn74c5mr3mch">
        <w:r>
          <w:rPr>
            <w:rFonts w:ascii="Calibri" w:cs="Calibri" w:eastAsia="Calibri" w:hAnsi="Calibri"/>
            <w:color w:val="1C5CAB"/>
            <w:u w:val="single"/>
          </w:rPr>
          <w:t xml:space="preserve">Shree Metal Prices: Delhi scrap</w:t>
        </w:r>
      </w:hyperlink>
    </w:p>
    <w:p>
      <w:pPr>
        <w:pStyle w:val="ListParagraph"/>
        <w:numPr>
          <w:ilvl w:val="0"/>
          <w:numId w:val="2"/>
        </w:numPr>
        <w:spacing w:after="30"/>
      </w:pPr>
      <w:hyperlink w:history="1" r:id="rIdbsvohr3e-oaz0fjzjaog7">
        <w:r>
          <w:rPr>
            <w:rFonts w:ascii="Calibri" w:cs="Calibri" w:eastAsia="Calibri" w:hAnsi="Calibri"/>
            <w:color w:val="1C5CAB"/>
            <w:u w:val="single"/>
          </w:rPr>
          <w:t xml:space="preserve">ScrapC: Delhi scrap price</w:t>
        </w:r>
      </w:hyperlink>
    </w:p>
    <w:p>
      <w:pPr>
        <w:pStyle w:val="ListParagraph"/>
        <w:numPr>
          <w:ilvl w:val="0"/>
          <w:numId w:val="2"/>
        </w:numPr>
        <w:spacing w:after="30"/>
      </w:pPr>
      <w:hyperlink w:history="1" r:id="rIdyn6ejbifwaavt3uo9d79w">
        <w:r>
          <w:rPr>
            <w:rFonts w:ascii="Calibri" w:cs="Calibri" w:eastAsia="Calibri" w:hAnsi="Calibri"/>
            <w:color w:val="1C5CAB"/>
            <w:u w:val="single"/>
          </w:rPr>
          <w:t xml:space="preserve">Volza: copper scrap imports India</w:t>
        </w:r>
      </w:hyperlink>
    </w:p>
    <w:p>
      <w:pPr>
        <w:pStyle w:val="ListParagraph"/>
        <w:numPr>
          <w:ilvl w:val="0"/>
          <w:numId w:val="2"/>
        </w:numPr>
        <w:spacing w:after="30"/>
      </w:pPr>
      <w:hyperlink w:history="1" r:id="rIdnqybxxleewtpavzh151nc">
        <w:r>
          <w:rPr>
            <w:rFonts w:ascii="Calibri" w:cs="Calibri" w:eastAsia="Calibri" w:hAnsi="Calibri"/>
            <w:color w:val="1C5CAB"/>
            <w:u w:val="single"/>
          </w:rPr>
          <w:t xml:space="preserve">Volza: brass scrap imports India</w:t>
        </w:r>
      </w:hyperlink>
    </w:p>
    <w:p>
      <w:pPr>
        <w:pStyle w:val="ListParagraph"/>
        <w:numPr>
          <w:ilvl w:val="0"/>
          <w:numId w:val="2"/>
        </w:numPr>
        <w:spacing w:after="30"/>
      </w:pPr>
      <w:hyperlink w:history="1" r:id="rIddv7kddz-guejx0ytd0_7i">
        <w:r>
          <w:rPr>
            <w:rFonts w:ascii="Calibri" w:cs="Calibri" w:eastAsia="Calibri" w:hAnsi="Calibri"/>
            <w:color w:val="1C5CAB"/>
            <w:u w:val="single"/>
          </w:rPr>
          <w:t xml:space="preserve">SEAIR: copper scrap import-export</w:t>
        </w:r>
      </w:hyperlink>
    </w:p>
    <w:p>
      <w:pPr>
        <w:pStyle w:val="ListParagraph"/>
        <w:numPr>
          <w:ilvl w:val="0"/>
          <w:numId w:val="2"/>
        </w:numPr>
        <w:spacing w:after="30"/>
      </w:pPr>
      <w:hyperlink w:history="1" r:id="rIdhqc61qwieydl-s2fexrbj">
        <w:r>
          <w:rPr>
            <w:rFonts w:ascii="Calibri" w:cs="Calibri" w:eastAsia="Calibri" w:hAnsi="Calibri"/>
            <w:color w:val="1C5CAB"/>
            <w:u w:val="single"/>
          </w:rPr>
          <w:t xml:space="preserve">Reportlinker: import forecast</w:t>
        </w:r>
      </w:hyperlink>
    </w:p>
    <w:p>
      <w:pPr>
        <w:pStyle w:val="ListParagraph"/>
        <w:numPr>
          <w:ilvl w:val="0"/>
          <w:numId w:val="2"/>
        </w:numPr>
        <w:spacing w:after="30"/>
      </w:pPr>
      <w:hyperlink w:history="1" r:id="rIdsnvus4ipwuj0qrh8sqrhh">
        <w:r>
          <w:rPr>
            <w:rFonts w:ascii="Calibri" w:cs="Calibri" w:eastAsia="Calibri" w:hAnsi="Calibri"/>
            <w:color w:val="1C5CAB"/>
            <w:u w:val="single"/>
          </w:rPr>
          <w:t xml:space="preserve">Indian Copper Association</w:t>
        </w:r>
      </w:hyperlink>
    </w:p>
    <w:p>
      <w:pPr>
        <w:pStyle w:val="ListParagraph"/>
        <w:numPr>
          <w:ilvl w:val="0"/>
          <w:numId w:val="2"/>
        </w:numPr>
        <w:spacing w:after="30"/>
      </w:pPr>
      <w:hyperlink w:history="1" r:id="rIduhpjjzfyzfc_k_adnxvxi">
        <w:r>
          <w:rPr>
            <w:rFonts w:ascii="Calibri" w:cs="Calibri" w:eastAsia="Calibri" w:hAnsi="Calibri"/>
            <w:color w:val="1C5CAB"/>
            <w:u w:val="single"/>
          </w:rPr>
          <w:t xml:space="preserve">Recycling Today: India drops scrap levies</w:t>
        </w:r>
      </w:hyperlink>
    </w:p>
    <w:p>
      <w:pPr>
        <w:pStyle w:val="ListParagraph"/>
        <w:numPr>
          <w:ilvl w:val="0"/>
          <w:numId w:val="2"/>
        </w:numPr>
        <w:spacing w:after="30"/>
      </w:pPr>
      <w:hyperlink w:history="1" r:id="rIdbsc1gq5or5mvfy0yjrvc9">
        <w:r>
          <w:rPr>
            <w:rFonts w:ascii="Calibri" w:cs="Calibri" w:eastAsia="Calibri" w:hAnsi="Calibri"/>
            <w:color w:val="1C5CAB"/>
            <w:u w:val="single"/>
          </w:rPr>
          <w:t xml:space="preserve">Patron Accounting: copper import duty</w:t>
        </w:r>
      </w:hyperlink>
    </w:p>
    <w:p>
      <w:pPr>
        <w:pStyle w:val="ListParagraph"/>
        <w:numPr>
          <w:ilvl w:val="0"/>
          <w:numId w:val="2"/>
        </w:numPr>
        <w:spacing w:after="30"/>
      </w:pPr>
      <w:hyperlink w:history="1" r:id="rIdahdnmwylchwu9er7exw_n">
        <w:r>
          <w:rPr>
            <w:rFonts w:ascii="Calibri" w:cs="Calibri" w:eastAsia="Calibri" w:hAnsi="Calibri"/>
            <w:color w:val="1C5CAB"/>
            <w:u w:val="single"/>
          </w:rPr>
          <w:t xml:space="preserve">MSTC e-auction services</w:t>
        </w:r>
      </w:hyperlink>
    </w:p>
    <w:p>
      <w:pPr>
        <w:pStyle w:val="ListParagraph"/>
        <w:numPr>
          <w:ilvl w:val="0"/>
          <w:numId w:val="2"/>
        </w:numPr>
        <w:spacing w:after="30"/>
      </w:pPr>
      <w:hyperlink w:history="1" r:id="rIdn-chp4fxwnpmcl8mmdcwl">
        <w:r>
          <w:rPr>
            <w:rFonts w:ascii="Calibri" w:cs="Calibri" w:eastAsia="Calibri" w:hAnsi="Calibri"/>
            <w:color w:val="1C5CAB"/>
            <w:u w:val="single"/>
          </w:rPr>
          <w:t xml:space="preserve">MSTC FY2025-26 results (Multibagg)</w:t>
        </w:r>
      </w:hyperlink>
    </w:p>
    <w:p>
      <w:pPr>
        <w:pStyle w:val="ListParagraph"/>
        <w:numPr>
          <w:ilvl w:val="0"/>
          <w:numId w:val="2"/>
        </w:numPr>
        <w:spacing w:after="30"/>
      </w:pPr>
      <w:hyperlink w:history="1" r:id="rId3kcpjqufbj-2vr0av0lsg">
        <w:r>
          <w:rPr>
            <w:rFonts w:ascii="Calibri" w:cs="Calibri" w:eastAsia="Calibri" w:hAnsi="Calibri"/>
            <w:color w:val="1C5CAB"/>
            <w:u w:val="single"/>
          </w:rPr>
          <w:t xml:space="preserve">Indian Railways e-auction for scrap</w:t>
        </w:r>
      </w:hyperlink>
    </w:p>
    <w:p>
      <w:pPr>
        <w:pStyle w:val="ListParagraph"/>
        <w:numPr>
          <w:ilvl w:val="0"/>
          <w:numId w:val="2"/>
        </w:numPr>
        <w:spacing w:after="30"/>
      </w:pPr>
      <w:hyperlink w:history="1" r:id="rIdlkv9i1zub5jx2y6nqk8lk">
        <w:r>
          <w:rPr>
            <w:rFonts w:ascii="Calibri" w:cs="Calibri" w:eastAsia="Calibri" w:hAnsi="Calibri"/>
            <w:color w:val="1C5CAB"/>
            <w:u w:val="single"/>
          </w:rPr>
          <w:t xml:space="preserve">IREPS</w:t>
        </w:r>
      </w:hyperlink>
    </w:p>
    <w:p>
      <w:pPr>
        <w:pStyle w:val="ListParagraph"/>
        <w:numPr>
          <w:ilvl w:val="0"/>
          <w:numId w:val="2"/>
        </w:numPr>
        <w:spacing w:after="30"/>
      </w:pPr>
      <w:hyperlink w:history="1" r:id="rId_2zbqxr8megg7gygtl6wc">
        <w:r>
          <w:rPr>
            <w:rFonts w:ascii="Calibri" w:cs="Calibri" w:eastAsia="Calibri" w:hAnsi="Calibri"/>
            <w:color w:val="1C5CAB"/>
            <w:u w:val="single"/>
          </w:rPr>
          <w:t xml:space="preserve">mjunction</w:t>
        </w:r>
      </w:hyperlink>
    </w:p>
    <w:p>
      <w:pPr>
        <w:pStyle w:val="ListParagraph"/>
        <w:numPr>
          <w:ilvl w:val="0"/>
          <w:numId w:val="2"/>
        </w:numPr>
        <w:spacing w:after="30"/>
      </w:pPr>
      <w:hyperlink w:history="1" r:id="rIdfrve-wrd7qe-sabkezpjc">
        <w:r>
          <w:rPr>
            <w:rFonts w:ascii="Calibri" w:cs="Calibri" w:eastAsia="Calibri" w:hAnsi="Calibri"/>
            <w:color w:val="1C5CAB"/>
            <w:u w:val="single"/>
          </w:rPr>
          <w:t xml:space="preserve">Metaljunction auctions</w:t>
        </w:r>
      </w:hyperlink>
    </w:p>
    <w:p>
      <w:pPr>
        <w:pStyle w:val="ListParagraph"/>
        <w:numPr>
          <w:ilvl w:val="0"/>
          <w:numId w:val="2"/>
        </w:numPr>
        <w:spacing w:after="30"/>
      </w:pPr>
      <w:hyperlink w:history="1" r:id="rIdkmvwiyuyw0nfahhhd6vlp">
        <w:r>
          <w:rPr>
            <w:rFonts w:ascii="Calibri" w:cs="Calibri" w:eastAsia="Calibri" w:hAnsi="Calibri"/>
            <w:color w:val="1C5CAB"/>
            <w:u w:val="single"/>
          </w:rPr>
          <w:t xml:space="preserve">BidMyScrap</w:t>
        </w:r>
      </w:hyperlink>
    </w:p>
    <w:p>
      <w:pPr>
        <w:pStyle w:val="ListParagraph"/>
        <w:numPr>
          <w:ilvl w:val="0"/>
          <w:numId w:val="2"/>
        </w:numPr>
        <w:spacing w:after="30"/>
      </w:pPr>
      <w:hyperlink w:history="1" r:id="rId69uoemfrrhfabpbxramxp">
        <w:r>
          <w:rPr>
            <w:rFonts w:ascii="Calibri" w:cs="Calibri" w:eastAsia="Calibri" w:hAnsi="Calibri"/>
            <w:color w:val="1C5CAB"/>
            <w:u w:val="single"/>
          </w:rPr>
          <w:t xml:space="preserve">Salasar Auction</w:t>
        </w:r>
      </w:hyperlink>
    </w:p>
    <w:p>
      <w:pPr>
        <w:pStyle w:val="ListParagraph"/>
        <w:numPr>
          <w:ilvl w:val="0"/>
          <w:numId w:val="2"/>
        </w:numPr>
        <w:spacing w:after="30"/>
      </w:pPr>
      <w:hyperlink w:history="1" r:id="rIdj9yyti4ubhqyiwaclp3sn">
        <w:r>
          <w:rPr>
            <w:rFonts w:ascii="Calibri" w:cs="Calibri" w:eastAsia="Calibri" w:hAnsi="Calibri"/>
            <w:color w:val="1C5CAB"/>
            <w:u w:val="single"/>
          </w:rPr>
          <w:t xml:space="preserve">Metalbook</w:t>
        </w:r>
      </w:hyperlink>
    </w:p>
    <w:p>
      <w:pPr>
        <w:pStyle w:val="ListParagraph"/>
        <w:numPr>
          <w:ilvl w:val="0"/>
          <w:numId w:val="2"/>
        </w:numPr>
        <w:spacing w:after="30"/>
      </w:pPr>
      <w:hyperlink w:history="1" r:id="rId4wmfuyevzpy9lc2yufz3-">
        <w:r>
          <w:rPr>
            <w:rFonts w:ascii="Calibri" w:cs="Calibri" w:eastAsia="Calibri" w:hAnsi="Calibri"/>
            <w:color w:val="1C5CAB"/>
            <w:u w:val="single"/>
          </w:rPr>
          <w:t xml:space="preserve">Auction India</w:t>
        </w:r>
      </w:hyperlink>
    </w:p>
    <w:p>
      <w:pPr>
        <w:pStyle w:val="ListParagraph"/>
        <w:numPr>
          <w:ilvl w:val="0"/>
          <w:numId w:val="2"/>
        </w:numPr>
        <w:spacing w:after="30"/>
      </w:pPr>
      <w:hyperlink w:history="1" r:id="rIdtnxekixfsagfxl7qspn-x">
        <w:r>
          <w:rPr>
            <w:rFonts w:ascii="Calibri" w:cs="Calibri" w:eastAsia="Calibri" w:hAnsi="Calibri"/>
            <w:color w:val="1C5CAB"/>
            <w:u w:val="single"/>
          </w:rPr>
          <w:t xml:space="preserve">Recykal (The Better India)</w:t>
        </w:r>
      </w:hyperlink>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F6D68"/>
        <w:sz w:val="16"/>
        <w:szCs w:val="16"/>
      </w:rPr>
      <w:t xml:space="preserve">Bajaj Alloys, Bhiwadi | Copper &amp; Brass Scrap Procurement | Page </w:t>
    </w:r>
    <w:r>
      <w:rPr>
        <w:rFonts w:ascii="Calibri" w:cs="Calibri" w:eastAsia="Calibri" w:hAnsi="Calibri"/>
        <w:color w:val="6F6D6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8A4B2A"/>
      <w:sz w:val="32"/>
      <w:szCs w:val="32"/>
    </w:rPr>
  </w:style>
  <w:style w:type="paragraph" w:styleId="Heading2">
    <w:name w:val="Heading 2"/>
    <w:basedOn w:val="Normal"/>
    <w:next w:val="Normal"/>
    <w:qFormat/>
    <w:pPr>
      <w:outlineLvl w:val="1"/>
    </w:pPr>
    <w:rPr>
      <w:rFonts w:ascii="Calibri" w:cs="Calibri" w:eastAsia="Calibri" w:hAnsi="Calibri"/>
      <w:b/>
      <w:bCs/>
      <w:color w:val="1B1A1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5p79r-eggvfsb6orulgsg" Type="http://schemas.openxmlformats.org/officeDocument/2006/relationships/hyperlink" Target="https://www.scribd.com/document/586841433/ISRI-Scrap-Specifications-Circular" TargetMode="External"/><Relationship Id="rIdicgei67ue3fogtey_g-v_" Type="http://schemas.openxmlformats.org/officeDocument/2006/relationships/hyperlink" Target="http://www.columbia.edu/cu/seas/earth/wtert/newwtert/RRC/documents/scrap-specifications-circular-2007.pdf" TargetMode="External"/><Relationship Id="rIdu2d3cxfw8wd4v1dxrcku6" Type="http://schemas.openxmlformats.org/officeDocument/2006/relationships/hyperlink" Target="https://metscrap.com/isri.pdf" TargetMode="External"/><Relationship Id="rIdmauj3rq1pfbr-zmru5j-o" Type="http://schemas.openxmlformats.org/officeDocument/2006/relationships/hyperlink" Target="https://mercatometalli.com/en/isri-scrap-specifications/" TargetMode="External"/><Relationship Id="rId3s8zb2wz6mt6kkrg5lpea" Type="http://schemas.openxmlformats.org/officeDocument/2006/relationships/hyperlink" Target="https://tradingeconomics.com/commodity/copper" TargetMode="External"/><Relationship Id="rIdbm8x7urz7msfajz6c2l4d" Type="http://schemas.openxmlformats.org/officeDocument/2006/relationships/hyperlink" Target="https://metalcharts.org/lme-copper-price" TargetMode="External"/><Relationship Id="rIdveu6vuzxxtn74c5mr3mch" Type="http://schemas.openxmlformats.org/officeDocument/2006/relationships/hyperlink" Target="https://shreemetalprices.com/delhi-scrap-prices-today/" TargetMode="External"/><Relationship Id="rIdbsvohr3e-oaz0fjzjaog7" Type="http://schemas.openxmlformats.org/officeDocument/2006/relationships/hyperlink" Target="https://scrapc.com/delhi-scrap-price-today/" TargetMode="External"/><Relationship Id="rIdyn6ejbifwaavt3uo9d79w" Type="http://schemas.openxmlformats.org/officeDocument/2006/relationships/hyperlink" Target="https://www.volza.com/p/copper-scrap/import/import-in-india/" TargetMode="External"/><Relationship Id="rIdnqybxxleewtpavzh151nc" Type="http://schemas.openxmlformats.org/officeDocument/2006/relationships/hyperlink" Target="https://www.volza.com/p/brass-scrap/import/import-in-india/" TargetMode="External"/><Relationship Id="rIddv7kddz-guejx0ytd0_7i" Type="http://schemas.openxmlformats.org/officeDocument/2006/relationships/hyperlink" Target="https://www.seair.co.in/blog/copper-scrap-import-export-from-india.aspx" TargetMode="External"/><Relationship Id="rIdhqc61qwieydl-s2fexrbj" Type="http://schemas.openxmlformats.org/officeDocument/2006/relationships/hyperlink" Target="https://www.reportlinker.com/dataset/694e090765c5c3dbe6e1f5c375081f01ae773201" TargetMode="External"/><Relationship Id="rIdsnvus4ipwuj0qrh8sqrhh" Type="http://schemas.openxmlformats.org/officeDocument/2006/relationships/hyperlink" Target="https://copperindia.org/copper-new-copper-alloys-powering-indias-green-industrial-future/" TargetMode="External"/><Relationship Id="rIduhpjjzfyzfc_k_adnxvxi" Type="http://schemas.openxmlformats.org/officeDocument/2006/relationships/hyperlink" Target="https://www.recyclingtoday.com/news/india-copper-lead-scrap-import-levy-dropped-aluminum-not-mrai/" TargetMode="External"/><Relationship Id="rIdbsc1gq5or5mvfy0yjrvc9" Type="http://schemas.openxmlformats.org/officeDocument/2006/relationships/hyperlink" Target="https://www.patronaccounting.com/blog/how-to-import-copper-in-india" TargetMode="External"/><Relationship Id="rIdahdnmwylchwu9er7exw_n" Type="http://schemas.openxmlformats.org/officeDocument/2006/relationships/hyperlink" Target="https://www.mstcindia.co.in/content/eauction_services.aspx" TargetMode="External"/><Relationship Id="rIdn-chp4fxwnpmcl8mmdcwl" Type="http://schemas.openxmlformats.org/officeDocument/2006/relationships/hyperlink" Target="https://www.multibagg.ai/market-pulse/articles/mstc-fy26-95392" TargetMode="External"/><Relationship Id="rId3kcpjqufbj-2vr0av0lsg" Type="http://schemas.openxmlformats.org/officeDocument/2006/relationships/hyperlink" Target="https://www.scrapregister.com/news/1646/indian-railways-switches-over-to-100-e-auction-for-scrap-disposal" TargetMode="External"/><Relationship Id="rIdlkv9i1zub5jx2y6nqk8lk" Type="http://schemas.openxmlformats.org/officeDocument/2006/relationships/hyperlink" Target="https://www.ireps.gov.in/eps/auction/auctionAnonymousHomePage.do" TargetMode="External"/><Relationship Id="rId_2zbqxr8megg7gygtl6wc" Type="http://schemas.openxmlformats.org/officeDocument/2006/relationships/hyperlink" Target="https://www.mjunction.in/" TargetMode="External"/><Relationship Id="rIdfrve-wrd7qe-sabkezpjc" Type="http://schemas.openxmlformats.org/officeDocument/2006/relationships/hyperlink" Target="https://auction1.metaljunction.com/MetalWeb/viewAuctions.do" TargetMode="External"/><Relationship Id="rIdkmvwiyuyw0nfahhhd6vlp" Type="http://schemas.openxmlformats.org/officeDocument/2006/relationships/hyperlink" Target="https://bidmyscrap.com/" TargetMode="External"/><Relationship Id="rId69uoemfrrhfabpbxramxp" Type="http://schemas.openxmlformats.org/officeDocument/2006/relationships/hyperlink" Target="https://salasarauction.com/" TargetMode="External"/><Relationship Id="rIdj9yyti4ubhqyiwaclp3sn" Type="http://schemas.openxmlformats.org/officeDocument/2006/relationships/hyperlink" Target="https://www.metalbook.com/marketplace" TargetMode="External"/><Relationship Id="rId4wmfuyevzpy9lc2yufz3-" Type="http://schemas.openxmlformats.org/officeDocument/2006/relationships/hyperlink" Target="https://www.auctionindia.com/" TargetMode="External"/><Relationship Id="rIdtnxekixfsagfxl7qspn-x" Type="http://schemas.openxmlformats.org/officeDocument/2006/relationships/hyperlink" Target="https://thebetterindia.com/328356/hyderabad-recykal-marketplace-sell-waste-online-empower-scrap-dealers/" TargetMode="External"/><Relationship Id="rId8" Type="http://schemas.openxmlformats.org/officeDocument/2006/relationships/image" Target="media/d14ac77a1f19e2c3d3694940ad7e1fb972d838cb.png"/><Relationship Id="rId9" Type="http://schemas.openxmlformats.org/officeDocument/2006/relationships/image" Target="media/d3780a7ef9d8ea20a8b8c678dd1d85c6787e57d1.png"/><Relationship Id="rId10" Type="http://schemas.openxmlformats.org/officeDocument/2006/relationships/image" Target="media/2e1d5c766bd57c86cc210181dfd1b3d807246d06.png"/><Relationship Id="rId11" Type="http://schemas.openxmlformats.org/officeDocument/2006/relationships/image" Target="media/006ba25d7b70894639f1ca1653ebea135fc9c441.png"/><Relationship Id="rId3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Copper &amp; Brass Scrap Procurement Report</dc:title>
  <dc:creator>Procurement report</dc:creator>
  <cp:lastModifiedBy>Un-named</cp:lastModifiedBy>
  <cp:revision>1</cp:revision>
  <dcterms:created xsi:type="dcterms:W3CDTF">2026-10-04T08:20:40.395Z</dcterms:created>
  <dcterms:modified xsi:type="dcterms:W3CDTF">2026-10-04T08:20:40.395Z</dcterms:modified>
</cp:coreProperties>
</file>

<file path=docProps/custom.xml><?xml version="1.0" encoding="utf-8"?>
<Properties xmlns="http://schemas.openxmlformats.org/officeDocument/2006/custom-properties" xmlns:vt="http://schemas.openxmlformats.org/officeDocument/2006/docPropsVTypes"/>
</file>