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B8860B"/>
          <w:sz w:val="32"/>
        </w:rPr>
        <w:t>BAJAJ ALLOYS, BHIWANI</w:t>
      </w:r>
    </w:p>
    <w:p>
      <w:pPr>
        <w:jc w:val="center"/>
      </w:pPr>
      <w:r>
        <w:rPr>
          <w:b/>
          <w:color w:val="1F2A44"/>
          <w:sz w:val="60"/>
        </w:rPr>
        <w:t>BUSHES</w:t>
      </w:r>
    </w:p>
    <w:p>
      <w:pPr>
        <w:jc w:val="center"/>
      </w:pPr>
      <w:r>
        <w:rPr>
          <w:i/>
          <w:sz w:val="28"/>
        </w:rPr>
        <w:t>Complete Industry &amp; Product Report: Product, Types, Manufacturing, Market, B2B / B2C</w:t>
      </w:r>
    </w:p>
    <w:p/>
    <w:p/>
    <w:p/>
    <w:p>
      <w:pPr>
        <w:jc w:val="center"/>
      </w:pPr>
      <w:r>
        <w:rPr>
          <w:sz w:val="22"/>
        </w:rPr>
        <w:t>Prepared by: Intern, Business Research</w:t>
        <w:br/>
        <w:t>Date: October 2026</w:t>
        <w:br/>
        <w:t>Status: Draft for management review</w:t>
      </w:r>
    </w:p>
    <w:p>
      <w:r>
        <w:br w:type="page"/>
      </w:r>
    </w:p>
    <w:p>
      <w:pPr>
        <w:pStyle w:val="Heading1"/>
      </w:pPr>
      <w:r>
        <w:rPr>
          <w:color w:val="1F2A44"/>
        </w:rPr>
        <w:t>Contents</w:t>
      </w:r>
    </w:p>
    <w:p>
      <w:pPr>
        <w:pStyle w:val="ListBullet"/>
      </w:pPr>
      <w:r>
        <w:t>1. Executive summary</w:t>
      </w:r>
    </w:p>
    <w:p>
      <w:pPr>
        <w:pStyle w:val="ListBullet"/>
      </w:pPr>
      <w:r>
        <w:t>2. What is a bush?</w:t>
      </w:r>
    </w:p>
    <w:p>
      <w:pPr>
        <w:pStyle w:val="ListBullet"/>
      </w:pPr>
      <w:r>
        <w:t>3. Types of bushes</w:t>
      </w:r>
    </w:p>
    <w:p>
      <w:pPr>
        <w:pStyle w:val="ListBullet"/>
      </w:pPr>
      <w:r>
        <w:t>4. Alloys used in making bushes</w:t>
      </w:r>
    </w:p>
    <w:p>
      <w:pPr>
        <w:pStyle w:val="ListBullet"/>
      </w:pPr>
      <w:r>
        <w:t>5. Manufacturing process</w:t>
      </w:r>
    </w:p>
    <w:p>
      <w:pPr>
        <w:pStyle w:val="ListBullet"/>
      </w:pPr>
      <w:r>
        <w:t>6. Quality and standards</w:t>
      </w:r>
    </w:p>
    <w:p>
      <w:pPr>
        <w:pStyle w:val="ListBullet"/>
      </w:pPr>
      <w:r>
        <w:t>7. Market size &amp; growth</w:t>
      </w:r>
    </w:p>
    <w:p>
      <w:pPr>
        <w:pStyle w:val="ListBullet"/>
      </w:pPr>
      <w:r>
        <w:t>8. B2B and B2C market</w:t>
      </w:r>
    </w:p>
    <w:p>
      <w:pPr>
        <w:pStyle w:val="ListBullet"/>
      </w:pPr>
      <w:r>
        <w:t>9. Competition</w:t>
      </w:r>
    </w:p>
    <w:p>
      <w:pPr>
        <w:pStyle w:val="ListBullet"/>
      </w:pPr>
      <w:r>
        <w:t>10. Opportunity &amp; recommendations for Bajaj Alloys</w:t>
      </w:r>
    </w:p>
    <w:p>
      <w:pPr>
        <w:pStyle w:val="ListBullet"/>
      </w:pPr>
      <w:r>
        <w:t>11. Data notes &amp; sources</w:t>
      </w:r>
    </w:p>
    <w:p>
      <w:r>
        <w:br w:type="page"/>
      </w:r>
    </w:p>
    <w:p>
      <w:pPr>
        <w:pStyle w:val="Heading1"/>
      </w:pPr>
      <w:r>
        <w:rPr>
          <w:color w:val="1F2A44"/>
        </w:rPr>
        <w:t>1. Executive summary</w:t>
      </w:r>
    </w:p>
    <w:p>
      <w:pPr>
        <w:spacing w:after="120"/>
      </w:pPr>
      <w:r>
        <w:t>A bush (also called bushing or sleeve bearing) is a cylindrical sleeve placed between a rotating or sliding shaft and its housing. It reduces friction and wear, absorbs vibration and is cheaper to replace than the shaft or housing. Bronze, gunmetal, phosphor bronze and brass bushes are classic products of a copper-alloy foundry.</w:t>
      </w:r>
    </w:p>
    <w:p>
      <w:pPr>
        <w:pStyle w:val="ListBullet"/>
      </w:pPr>
      <w:r>
        <w:rPr>
          <w:b/>
        </w:rPr>
        <w:t xml:space="preserve">Market proxy: </w:t>
      </w:r>
      <w:r>
        <w:t>No source gives a clean India figure for bronze bushes. Proxies: India automotive bearings about USD 503 million in 2024 growing 4.15% a year to about USD 726 million by 2033 (IMARC). Global automotive bushing market USD 172 billion (2025) to USD 218 billion (2030), CAGR 4.83% (Mordor Intelligence).</w:t>
      </w:r>
    </w:p>
    <w:p>
      <w:pPr>
        <w:pStyle w:val="ListBullet"/>
      </w:pPr>
      <w:r>
        <w:rPr>
          <w:b/>
        </w:rPr>
        <w:t xml:space="preserve">Demand: </w:t>
      </w:r>
      <w:r>
        <w:t>Automobiles, tractors, pumps, motors, compressors, steel plants, earth-moving machinery, railways, textile and sugar machinery.</w:t>
      </w:r>
    </w:p>
    <w:p>
      <w:pPr>
        <w:pStyle w:val="ListBullet"/>
      </w:pPr>
      <w:r>
        <w:rPr>
          <w:b/>
        </w:rPr>
        <w:t xml:space="preserve">Strength of aftermarket: </w:t>
      </w:r>
      <w:r>
        <w:t>Bushes wear out and are replaced, so replacement demand is steady. One report puts India bearing aftermarket growth near 14.7% a year.</w:t>
      </w:r>
    </w:p>
    <w:p>
      <w:pPr>
        <w:pStyle w:val="ListBullet"/>
      </w:pPr>
      <w:r>
        <w:rPr>
          <w:b/>
        </w:rPr>
        <w:t xml:space="preserve">Recommendation: </w:t>
      </w:r>
      <w:r>
        <w:t>Focus on centrifugally cast and machined bronze/gunmetal bushes for pumps, motors, tractors and heavy machines; sell to OEMs and through industrial distributors; add standard-size catalogue for retail.</w:t>
      </w:r>
    </w:p>
    <w:p>
      <w:pPr>
        <w:jc w:val="center"/>
      </w:pPr>
      <w:r>
        <w:drawing>
          <wp:inline xmlns:a="http://schemas.openxmlformats.org/drawingml/2006/main" xmlns:pic="http://schemas.openxmlformats.org/drawingml/2006/picture">
            <wp:extent cx="3840480" cy="1997612"/>
            <wp:docPr id="1" name="Picture 1"/>
            <wp:cNvGraphicFramePr>
              <a:graphicFrameLocks noChangeAspect="1"/>
            </wp:cNvGraphicFramePr>
            <a:graphic>
              <a:graphicData uri="http://schemas.openxmlformats.org/drawingml/2006/picture">
                <pic:pic>
                  <pic:nvPicPr>
                    <pic:cNvPr id="0" name="b_section.png"/>
                    <pic:cNvPicPr/>
                  </pic:nvPicPr>
                  <pic:blipFill>
                    <a:blip r:embed="rId9"/>
                    <a:stretch>
                      <a:fillRect/>
                    </a:stretch>
                  </pic:blipFill>
                  <pic:spPr>
                    <a:xfrm>
                      <a:off x="0" y="0"/>
                      <a:ext cx="3840480" cy="1997612"/>
                    </a:xfrm>
                    <a:prstGeom prst="rect"/>
                  </pic:spPr>
                </pic:pic>
              </a:graphicData>
            </a:graphic>
          </wp:inline>
        </w:drawing>
      </w:r>
    </w:p>
    <w:p>
      <w:pPr>
        <w:jc w:val="center"/>
      </w:pPr>
      <w:r>
        <w:rPr>
          <w:i/>
          <w:sz w:val="18"/>
        </w:rPr>
        <w:t>Figure 1: Half-section of a flanged bush</w:t>
      </w:r>
    </w:p>
    <w:p>
      <w:pPr>
        <w:pStyle w:val="Heading1"/>
      </w:pPr>
      <w:r>
        <w:rPr>
          <w:color w:val="1F2A44"/>
        </w:rPr>
        <w:t>2. What is a bush?</w:t>
      </w:r>
    </w:p>
    <w:p>
      <w:pPr>
        <w:spacing w:after="120"/>
      </w:pPr>
      <w:r>
        <w:t>A bush is a hollow cylinder, plain or flanged, press-fitted in a housing so the shaft turns inside it. The softer bush metal wears instead of the costly shaft, and a film of oil or grease keeps surfaces apart.</w:t>
      </w:r>
    </w:p>
    <w:p>
      <w:pPr>
        <w:pStyle w:val="Heading2"/>
      </w:pPr>
      <w:r>
        <w:rPr>
          <w:color w:val="B8860B"/>
        </w:rPr>
        <w:t>Functions</w:t>
      </w:r>
    </w:p>
    <w:p>
      <w:pPr>
        <w:pStyle w:val="ListBullet"/>
      </w:pPr>
      <w:r>
        <w:t>Reduce friction between moving parts.</w:t>
      </w:r>
    </w:p>
    <w:p>
      <w:pPr>
        <w:pStyle w:val="ListBullet"/>
      </w:pPr>
      <w:r>
        <w:t>Carry radial (and with flange, axial) loads.</w:t>
      </w:r>
    </w:p>
    <w:p>
      <w:pPr>
        <w:pStyle w:val="ListBullet"/>
      </w:pPr>
      <w:r>
        <w:t>Dampen noise and vibration (rubber and polymer bushes).</w:t>
      </w:r>
    </w:p>
    <w:p>
      <w:pPr>
        <w:pStyle w:val="ListBullet"/>
      </w:pPr>
      <w:r>
        <w:t>Act as replaceable wear parts.</w:t>
      </w:r>
    </w:p>
    <w:p>
      <w:pPr>
        <w:pStyle w:val="ListBullet"/>
      </w:pPr>
      <w:r>
        <w:t>Guide and align shafts, pins and pivots.</w:t>
      </w:r>
    </w:p>
    <w:p>
      <w:r>
        <w:rPr>
          <w:b/>
          <w:sz w:val="18"/>
        </w:rPr>
        <w:t>Table 1: Basic terminology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
              <w:rPr>
                <w:b/>
                <w:color w:val="FFFFFF"/>
                <w:sz w:val="18"/>
              </w:rPr>
              <w:t>Term</w:t>
            </w:r>
          </w:p>
        </w:tc>
        <w:tc>
          <w:tcPr>
            <w:tcW w:type="dxa" w:w="4824"/>
            <w:shd w:val="clear" w:color="auto" w:fill="1F2A44"/>
          </w:tcPr>
          <w:p>
            <w:r/>
            <w:r>
              <w:rPr>
                <w:b/>
                <w:color w:val="FFFFFF"/>
                <w:sz w:val="18"/>
              </w:rPr>
              <w:t>Meaning</w:t>
            </w:r>
          </w:p>
        </w:tc>
      </w:tr>
      <w:tr>
        <w:tc>
          <w:tcPr>
            <w:tcW w:type="dxa" w:w="4824"/>
          </w:tcPr>
          <w:p>
            <w:r/>
            <w:r>
              <w:rPr>
                <w:sz w:val="18"/>
              </w:rPr>
              <w:t>Bush / bushing</w:t>
            </w:r>
          </w:p>
        </w:tc>
        <w:tc>
          <w:tcPr>
            <w:tcW w:type="dxa" w:w="4824"/>
          </w:tcPr>
          <w:p>
            <w:r/>
            <w:r>
              <w:rPr>
                <w:sz w:val="18"/>
              </w:rPr>
              <w:t>Sleeve-type bearing, no rolling elements</w:t>
            </w:r>
          </w:p>
        </w:tc>
      </w:tr>
      <w:tr>
        <w:tc>
          <w:tcPr>
            <w:tcW w:type="dxa" w:w="4824"/>
            <w:shd w:val="clear" w:color="auto" w:fill="F3EEDC"/>
          </w:tcPr>
          <w:p>
            <w:r/>
            <w:r>
              <w:rPr>
                <w:sz w:val="18"/>
              </w:rPr>
              <w:t>ID / OD / length</w:t>
            </w:r>
          </w:p>
        </w:tc>
        <w:tc>
          <w:tcPr>
            <w:tcW w:type="dxa" w:w="4824"/>
            <w:shd w:val="clear" w:color="auto" w:fill="F3EEDC"/>
          </w:tcPr>
          <w:p>
            <w:r/>
            <w:r>
              <w:rPr>
                <w:sz w:val="18"/>
              </w:rPr>
              <w:t>Inner diameter, outer diameter, length</w:t>
            </w:r>
          </w:p>
        </w:tc>
      </w:tr>
      <w:tr>
        <w:tc>
          <w:tcPr>
            <w:tcW w:type="dxa" w:w="4824"/>
          </w:tcPr>
          <w:p>
            <w:r/>
            <w:r>
              <w:rPr>
                <w:sz w:val="18"/>
              </w:rPr>
              <w:t>Interference fit</w:t>
            </w:r>
          </w:p>
        </w:tc>
        <w:tc>
          <w:tcPr>
            <w:tcW w:type="dxa" w:w="4824"/>
          </w:tcPr>
          <w:p>
            <w:r/>
            <w:r>
              <w:rPr>
                <w:sz w:val="18"/>
              </w:rPr>
              <w:t>OD slightly bigger than housing so it is pressed in</w:t>
            </w:r>
          </w:p>
        </w:tc>
      </w:tr>
      <w:tr>
        <w:tc>
          <w:tcPr>
            <w:tcW w:type="dxa" w:w="4824"/>
            <w:shd w:val="clear" w:color="auto" w:fill="F3EEDC"/>
          </w:tcPr>
          <w:p>
            <w:r/>
            <w:r>
              <w:rPr>
                <w:sz w:val="18"/>
              </w:rPr>
              <w:t>Running clearance</w:t>
            </w:r>
          </w:p>
        </w:tc>
        <w:tc>
          <w:tcPr>
            <w:tcW w:type="dxa" w:w="4824"/>
            <w:shd w:val="clear" w:color="auto" w:fill="F3EEDC"/>
          </w:tcPr>
          <w:p>
            <w:r/>
            <w:r>
              <w:rPr>
                <w:sz w:val="18"/>
              </w:rPr>
              <w:t>Gap between shaft and bush bore, filled with lubricant</w:t>
            </w:r>
          </w:p>
        </w:tc>
      </w:tr>
      <w:tr>
        <w:tc>
          <w:tcPr>
            <w:tcW w:type="dxa" w:w="4824"/>
          </w:tcPr>
          <w:p>
            <w:r/>
            <w:r>
              <w:rPr>
                <w:sz w:val="18"/>
              </w:rPr>
              <w:t>PV value</w:t>
            </w:r>
          </w:p>
        </w:tc>
        <w:tc>
          <w:tcPr>
            <w:tcW w:type="dxa" w:w="4824"/>
          </w:tcPr>
          <w:p>
            <w:r/>
            <w:r>
              <w:rPr>
                <w:sz w:val="18"/>
              </w:rPr>
              <w:t>Pressure x velocity limit of the bush material</w:t>
            </w:r>
          </w:p>
        </w:tc>
      </w:tr>
    </w:tbl>
    <w:p/>
    <w:p>
      <w:pPr>
        <w:pStyle w:val="Heading2"/>
      </w:pPr>
      <w:r>
        <w:rPr>
          <w:color w:val="B8860B"/>
        </w:rPr>
        <w:t>Bush vs ball bearing</w:t>
      </w:r>
    </w:p>
    <w:p>
      <w:r>
        <w:rPr>
          <w:b/>
          <w:sz w:val="18"/>
        </w:rPr>
        <w:t>Table 2: Comparison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Feature</w:t>
            </w:r>
          </w:p>
        </w:tc>
        <w:tc>
          <w:tcPr>
            <w:tcW w:type="dxa" w:w="3216"/>
            <w:shd w:val="clear" w:color="auto" w:fill="1F2A44"/>
          </w:tcPr>
          <w:p>
            <w:r/>
            <w:r>
              <w:rPr>
                <w:b/>
                <w:color w:val="FFFFFF"/>
                <w:sz w:val="18"/>
              </w:rPr>
              <w:t>Bush (plain bearing)</w:t>
            </w:r>
          </w:p>
        </w:tc>
        <w:tc>
          <w:tcPr>
            <w:tcW w:type="dxa" w:w="3216"/>
            <w:shd w:val="clear" w:color="auto" w:fill="1F2A44"/>
          </w:tcPr>
          <w:p>
            <w:r/>
            <w:r>
              <w:rPr>
                <w:b/>
                <w:color w:val="FFFFFF"/>
                <w:sz w:val="18"/>
              </w:rPr>
              <w:t>Ball/roller bearing</w:t>
            </w:r>
          </w:p>
        </w:tc>
      </w:tr>
      <w:tr>
        <w:tc>
          <w:tcPr>
            <w:tcW w:type="dxa" w:w="3216"/>
          </w:tcPr>
          <w:p>
            <w:r/>
            <w:r>
              <w:rPr>
                <w:sz w:val="18"/>
              </w:rPr>
              <w:t>Friction</w:t>
            </w:r>
          </w:p>
        </w:tc>
        <w:tc>
          <w:tcPr>
            <w:tcW w:type="dxa" w:w="3216"/>
          </w:tcPr>
          <w:p>
            <w:r/>
            <w:r>
              <w:rPr>
                <w:sz w:val="18"/>
              </w:rPr>
              <w:t>Higher; needs lubrication</w:t>
            </w:r>
          </w:p>
        </w:tc>
        <w:tc>
          <w:tcPr>
            <w:tcW w:type="dxa" w:w="3216"/>
          </w:tcPr>
          <w:p>
            <w:r/>
            <w:r>
              <w:rPr>
                <w:sz w:val="18"/>
              </w:rPr>
              <w:t>Low</w:t>
            </w:r>
          </w:p>
        </w:tc>
      </w:tr>
      <w:tr>
        <w:tc>
          <w:tcPr>
            <w:tcW w:type="dxa" w:w="3216"/>
            <w:shd w:val="clear" w:color="auto" w:fill="F3EEDC"/>
          </w:tcPr>
          <w:p>
            <w:r/>
            <w:r>
              <w:rPr>
                <w:sz w:val="18"/>
              </w:rPr>
              <w:t>Load</w:t>
            </w:r>
          </w:p>
        </w:tc>
        <w:tc>
          <w:tcPr>
            <w:tcW w:type="dxa" w:w="3216"/>
            <w:shd w:val="clear" w:color="auto" w:fill="F3EEDC"/>
          </w:tcPr>
          <w:p>
            <w:r/>
            <w:r>
              <w:rPr>
                <w:sz w:val="18"/>
              </w:rPr>
              <w:t>High shock and heavy load</w:t>
            </w:r>
          </w:p>
        </w:tc>
        <w:tc>
          <w:tcPr>
            <w:tcW w:type="dxa" w:w="3216"/>
            <w:shd w:val="clear" w:color="auto" w:fill="F3EEDC"/>
          </w:tcPr>
          <w:p>
            <w:r/>
            <w:r>
              <w:rPr>
                <w:sz w:val="18"/>
              </w:rPr>
              <w:t>Moderate, precision</w:t>
            </w:r>
          </w:p>
        </w:tc>
      </w:tr>
      <w:tr>
        <w:tc>
          <w:tcPr>
            <w:tcW w:type="dxa" w:w="3216"/>
          </w:tcPr>
          <w:p>
            <w:r/>
            <w:r>
              <w:rPr>
                <w:sz w:val="18"/>
              </w:rPr>
              <w:t>Cost</w:t>
            </w:r>
          </w:p>
        </w:tc>
        <w:tc>
          <w:tcPr>
            <w:tcW w:type="dxa" w:w="3216"/>
          </w:tcPr>
          <w:p>
            <w:r/>
            <w:r>
              <w:rPr>
                <w:sz w:val="18"/>
              </w:rPr>
              <w:t>Low</w:t>
            </w:r>
          </w:p>
        </w:tc>
        <w:tc>
          <w:tcPr>
            <w:tcW w:type="dxa" w:w="3216"/>
          </w:tcPr>
          <w:p>
            <w:r/>
            <w:r>
              <w:rPr>
                <w:sz w:val="18"/>
              </w:rPr>
              <w:t>Higher</w:t>
            </w:r>
          </w:p>
        </w:tc>
      </w:tr>
      <w:tr>
        <w:tc>
          <w:tcPr>
            <w:tcW w:type="dxa" w:w="3216"/>
            <w:shd w:val="clear" w:color="auto" w:fill="F3EEDC"/>
          </w:tcPr>
          <w:p>
            <w:r/>
            <w:r>
              <w:rPr>
                <w:sz w:val="18"/>
              </w:rPr>
              <w:t>Space</w:t>
            </w:r>
          </w:p>
        </w:tc>
        <w:tc>
          <w:tcPr>
            <w:tcW w:type="dxa" w:w="3216"/>
            <w:shd w:val="clear" w:color="auto" w:fill="F3EEDC"/>
          </w:tcPr>
          <w:p>
            <w:r/>
            <w:r>
              <w:rPr>
                <w:sz w:val="18"/>
              </w:rPr>
              <w:t>Compact</w:t>
            </w:r>
          </w:p>
        </w:tc>
        <w:tc>
          <w:tcPr>
            <w:tcW w:type="dxa" w:w="3216"/>
            <w:shd w:val="clear" w:color="auto" w:fill="F3EEDC"/>
          </w:tcPr>
          <w:p>
            <w:r/>
            <w:r>
              <w:rPr>
                <w:sz w:val="18"/>
              </w:rPr>
              <w:t>Larger</w:t>
            </w:r>
          </w:p>
        </w:tc>
      </w:tr>
      <w:tr>
        <w:tc>
          <w:tcPr>
            <w:tcW w:type="dxa" w:w="3216"/>
          </w:tcPr>
          <w:p>
            <w:r/>
            <w:r>
              <w:rPr>
                <w:sz w:val="18"/>
              </w:rPr>
              <w:t>Noise</w:t>
            </w:r>
          </w:p>
        </w:tc>
        <w:tc>
          <w:tcPr>
            <w:tcW w:type="dxa" w:w="3216"/>
          </w:tcPr>
          <w:p>
            <w:r/>
            <w:r>
              <w:rPr>
                <w:sz w:val="18"/>
              </w:rPr>
              <w:t>Quiet</w:t>
            </w:r>
          </w:p>
        </w:tc>
        <w:tc>
          <w:tcPr>
            <w:tcW w:type="dxa" w:w="3216"/>
          </w:tcPr>
          <w:p>
            <w:r/>
            <w:r>
              <w:rPr>
                <w:sz w:val="18"/>
              </w:rPr>
              <w:t>Can be noisy</w:t>
            </w:r>
          </w:p>
        </w:tc>
      </w:tr>
      <w:tr>
        <w:tc>
          <w:tcPr>
            <w:tcW w:type="dxa" w:w="3216"/>
            <w:shd w:val="clear" w:color="auto" w:fill="F3EEDC"/>
          </w:tcPr>
          <w:p>
            <w:r/>
            <w:r>
              <w:rPr>
                <w:sz w:val="18"/>
              </w:rPr>
              <w:t>Life/replacement</w:t>
            </w:r>
          </w:p>
        </w:tc>
        <w:tc>
          <w:tcPr>
            <w:tcW w:type="dxa" w:w="3216"/>
            <w:shd w:val="clear" w:color="auto" w:fill="F3EEDC"/>
          </w:tcPr>
          <w:p>
            <w:r/>
            <w:r>
              <w:rPr>
                <w:sz w:val="18"/>
              </w:rPr>
              <w:t>Easy and cheap</w:t>
            </w:r>
          </w:p>
        </w:tc>
        <w:tc>
          <w:tcPr>
            <w:tcW w:type="dxa" w:w="3216"/>
            <w:shd w:val="clear" w:color="auto" w:fill="F3EEDC"/>
          </w:tcPr>
          <w:p>
            <w:r/>
            <w:r>
              <w:rPr>
                <w:sz w:val="18"/>
              </w:rPr>
              <w:t>Costlier</w:t>
            </w:r>
          </w:p>
        </w:tc>
      </w:tr>
    </w:tbl>
    <w:p/>
    <w:p>
      <w:pPr>
        <w:pStyle w:val="Heading1"/>
      </w:pPr>
      <w:r>
        <w:rPr>
          <w:color w:val="1F2A44"/>
        </w:rPr>
        <w:t>3. Types of bushes</w:t>
      </w:r>
    </w:p>
    <w:p>
      <w:pPr>
        <w:jc w:val="center"/>
      </w:pPr>
      <w:r>
        <w:drawing>
          <wp:inline xmlns:a="http://schemas.openxmlformats.org/drawingml/2006/main" xmlns:pic="http://schemas.openxmlformats.org/drawingml/2006/picture">
            <wp:extent cx="5486400" cy="4280098"/>
            <wp:docPr id="2" name="Picture 2"/>
            <wp:cNvGraphicFramePr>
              <a:graphicFrameLocks noChangeAspect="1"/>
            </wp:cNvGraphicFramePr>
            <a:graphic>
              <a:graphicData uri="http://schemas.openxmlformats.org/drawingml/2006/picture">
                <pic:pic>
                  <pic:nvPicPr>
                    <pic:cNvPr id="0" name="b_types.png"/>
                    <pic:cNvPicPr/>
                  </pic:nvPicPr>
                  <pic:blipFill>
                    <a:blip r:embed="rId10"/>
                    <a:stretch>
                      <a:fillRect/>
                    </a:stretch>
                  </pic:blipFill>
                  <pic:spPr>
                    <a:xfrm>
                      <a:off x="0" y="0"/>
                      <a:ext cx="5486400" cy="4280098"/>
                    </a:xfrm>
                    <a:prstGeom prst="rect"/>
                  </pic:spPr>
                </pic:pic>
              </a:graphicData>
            </a:graphic>
          </wp:inline>
        </w:drawing>
      </w:r>
    </w:p>
    <w:p>
      <w:pPr>
        <w:jc w:val="center"/>
      </w:pPr>
      <w:r>
        <w:rPr>
          <w:i/>
          <w:sz w:val="18"/>
        </w:rPr>
        <w:t>Figure 2: Front views of six common bush types</w:t>
      </w:r>
    </w:p>
    <w:p>
      <w:r>
        <w:rPr>
          <w:b/>
          <w:sz w:val="18"/>
        </w:rPr>
        <w:t>Table 3: Bush types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Type</w:t>
            </w:r>
          </w:p>
        </w:tc>
        <w:tc>
          <w:tcPr>
            <w:tcW w:type="dxa" w:w="3216"/>
            <w:shd w:val="clear" w:color="auto" w:fill="1F2A44"/>
          </w:tcPr>
          <w:p>
            <w:r/>
            <w:r>
              <w:rPr>
                <w:b/>
                <w:color w:val="FFFFFF"/>
                <w:sz w:val="18"/>
              </w:rPr>
              <w:t>Description</w:t>
            </w:r>
          </w:p>
        </w:tc>
        <w:tc>
          <w:tcPr>
            <w:tcW w:type="dxa" w:w="3216"/>
            <w:shd w:val="clear" w:color="auto" w:fill="1F2A44"/>
          </w:tcPr>
          <w:p>
            <w:r/>
            <w:r>
              <w:rPr>
                <w:b/>
                <w:color w:val="FFFFFF"/>
                <w:sz w:val="18"/>
              </w:rPr>
              <w:t>Used in</w:t>
            </w:r>
          </w:p>
        </w:tc>
      </w:tr>
      <w:tr>
        <w:tc>
          <w:tcPr>
            <w:tcW w:type="dxa" w:w="3216"/>
          </w:tcPr>
          <w:p>
            <w:r/>
            <w:r>
              <w:rPr>
                <w:sz w:val="18"/>
              </w:rPr>
              <w:t>Plain cylindrical</w:t>
            </w:r>
          </w:p>
        </w:tc>
        <w:tc>
          <w:tcPr>
            <w:tcW w:type="dxa" w:w="3216"/>
          </w:tcPr>
          <w:p>
            <w:r/>
            <w:r>
              <w:rPr>
                <w:sz w:val="18"/>
              </w:rPr>
              <w:t>Simple sleeve</w:t>
            </w:r>
          </w:p>
        </w:tc>
        <w:tc>
          <w:tcPr>
            <w:tcW w:type="dxa" w:w="3216"/>
          </w:tcPr>
          <w:p>
            <w:r/>
            <w:r>
              <w:rPr>
                <w:sz w:val="18"/>
              </w:rPr>
              <w:t>Pumps, gearboxes, hinges</w:t>
            </w:r>
          </w:p>
        </w:tc>
      </w:tr>
      <w:tr>
        <w:tc>
          <w:tcPr>
            <w:tcW w:type="dxa" w:w="3216"/>
            <w:shd w:val="clear" w:color="auto" w:fill="F3EEDC"/>
          </w:tcPr>
          <w:p>
            <w:r/>
            <w:r>
              <w:rPr>
                <w:sz w:val="18"/>
              </w:rPr>
              <w:t>Flanged</w:t>
            </w:r>
          </w:p>
        </w:tc>
        <w:tc>
          <w:tcPr>
            <w:tcW w:type="dxa" w:w="3216"/>
            <w:shd w:val="clear" w:color="auto" w:fill="F3EEDC"/>
          </w:tcPr>
          <w:p>
            <w:r/>
            <w:r>
              <w:rPr>
                <w:sz w:val="18"/>
              </w:rPr>
              <w:t>Collar takes axial load</w:t>
            </w:r>
          </w:p>
        </w:tc>
        <w:tc>
          <w:tcPr>
            <w:tcW w:type="dxa" w:w="3216"/>
            <w:shd w:val="clear" w:color="auto" w:fill="F3EEDC"/>
          </w:tcPr>
          <w:p>
            <w:r/>
            <w:r>
              <w:rPr>
                <w:sz w:val="18"/>
              </w:rPr>
              <w:t>Automotive, machine tools</w:t>
            </w:r>
          </w:p>
        </w:tc>
      </w:tr>
      <w:tr>
        <w:tc>
          <w:tcPr>
            <w:tcW w:type="dxa" w:w="3216"/>
          </w:tcPr>
          <w:p>
            <w:r/>
            <w:r>
              <w:rPr>
                <w:sz w:val="18"/>
              </w:rPr>
              <w:t>Split / clench</w:t>
            </w:r>
          </w:p>
        </w:tc>
        <w:tc>
          <w:tcPr>
            <w:tcW w:type="dxa" w:w="3216"/>
          </w:tcPr>
          <w:p>
            <w:r/>
            <w:r>
              <w:rPr>
                <w:sz w:val="18"/>
              </w:rPr>
              <w:t>Rolled strip bush with seam</w:t>
            </w:r>
          </w:p>
        </w:tc>
        <w:tc>
          <w:tcPr>
            <w:tcW w:type="dxa" w:w="3216"/>
          </w:tcPr>
          <w:p>
            <w:r/>
            <w:r>
              <w:rPr>
                <w:sz w:val="18"/>
              </w:rPr>
              <w:t>Engines, compact assemblies</w:t>
            </w:r>
          </w:p>
        </w:tc>
      </w:tr>
      <w:tr>
        <w:tc>
          <w:tcPr>
            <w:tcW w:type="dxa" w:w="3216"/>
            <w:shd w:val="clear" w:color="auto" w:fill="F3EEDC"/>
          </w:tcPr>
          <w:p>
            <w:r/>
            <w:r>
              <w:rPr>
                <w:sz w:val="18"/>
              </w:rPr>
              <w:t>Thrust washer</w:t>
            </w:r>
          </w:p>
        </w:tc>
        <w:tc>
          <w:tcPr>
            <w:tcW w:type="dxa" w:w="3216"/>
            <w:shd w:val="clear" w:color="auto" w:fill="F3EEDC"/>
          </w:tcPr>
          <w:p>
            <w:r/>
            <w:r>
              <w:rPr>
                <w:sz w:val="18"/>
              </w:rPr>
              <w:t>Flat ring for axial load</w:t>
            </w:r>
          </w:p>
        </w:tc>
        <w:tc>
          <w:tcPr>
            <w:tcW w:type="dxa" w:w="3216"/>
            <w:shd w:val="clear" w:color="auto" w:fill="F3EEDC"/>
          </w:tcPr>
          <w:p>
            <w:r/>
            <w:r>
              <w:rPr>
                <w:sz w:val="18"/>
              </w:rPr>
              <w:t>Gearboxes, transmissions</w:t>
            </w:r>
          </w:p>
        </w:tc>
      </w:tr>
      <w:tr>
        <w:tc>
          <w:tcPr>
            <w:tcW w:type="dxa" w:w="3216"/>
          </w:tcPr>
          <w:p>
            <w:r/>
            <w:r>
              <w:rPr>
                <w:sz w:val="18"/>
              </w:rPr>
              <w:t>Spherical / self-aligning</w:t>
            </w:r>
          </w:p>
        </w:tc>
        <w:tc>
          <w:tcPr>
            <w:tcW w:type="dxa" w:w="3216"/>
          </w:tcPr>
          <w:p>
            <w:r/>
            <w:r>
              <w:rPr>
                <w:sz w:val="18"/>
              </w:rPr>
              <w:t>Ball-shaped seat allows misalignment</w:t>
            </w:r>
          </w:p>
        </w:tc>
        <w:tc>
          <w:tcPr>
            <w:tcW w:type="dxa" w:w="3216"/>
          </w:tcPr>
          <w:p>
            <w:r/>
            <w:r>
              <w:rPr>
                <w:sz w:val="18"/>
              </w:rPr>
              <w:t>Linkages, suspension</w:t>
            </w:r>
          </w:p>
        </w:tc>
      </w:tr>
      <w:tr>
        <w:tc>
          <w:tcPr>
            <w:tcW w:type="dxa" w:w="3216"/>
            <w:shd w:val="clear" w:color="auto" w:fill="F3EEDC"/>
          </w:tcPr>
          <w:p>
            <w:r/>
            <w:r>
              <w:rPr>
                <w:sz w:val="18"/>
              </w:rPr>
              <w:t>Sintered (oil-impregnated)</w:t>
            </w:r>
          </w:p>
        </w:tc>
        <w:tc>
          <w:tcPr>
            <w:tcW w:type="dxa" w:w="3216"/>
            <w:shd w:val="clear" w:color="auto" w:fill="F3EEDC"/>
          </w:tcPr>
          <w:p>
            <w:r/>
            <w:r>
              <w:rPr>
                <w:sz w:val="18"/>
              </w:rPr>
              <w:t>Porous metal holds oil; maintenance free</w:t>
            </w:r>
          </w:p>
        </w:tc>
        <w:tc>
          <w:tcPr>
            <w:tcW w:type="dxa" w:w="3216"/>
            <w:shd w:val="clear" w:color="auto" w:fill="F3EEDC"/>
          </w:tcPr>
          <w:p>
            <w:r/>
            <w:r>
              <w:rPr>
                <w:sz w:val="18"/>
              </w:rPr>
              <w:t>Fans, appliances, small motors</w:t>
            </w:r>
          </w:p>
        </w:tc>
      </w:tr>
      <w:tr>
        <w:tc>
          <w:tcPr>
            <w:tcW w:type="dxa" w:w="3216"/>
          </w:tcPr>
          <w:p>
            <w:r/>
            <w:r>
              <w:rPr>
                <w:sz w:val="18"/>
              </w:rPr>
              <w:t>Bi-metal / composite</w:t>
            </w:r>
          </w:p>
        </w:tc>
        <w:tc>
          <w:tcPr>
            <w:tcW w:type="dxa" w:w="3216"/>
          </w:tcPr>
          <w:p>
            <w:r/>
            <w:r>
              <w:rPr>
                <w:sz w:val="18"/>
              </w:rPr>
              <w:t>Steel back with bronze or polymer lining</w:t>
            </w:r>
          </w:p>
        </w:tc>
        <w:tc>
          <w:tcPr>
            <w:tcW w:type="dxa" w:w="3216"/>
          </w:tcPr>
          <w:p>
            <w:r/>
            <w:r>
              <w:rPr>
                <w:sz w:val="18"/>
              </w:rPr>
              <w:t>Heavy machinery, hydraulics</w:t>
            </w:r>
          </w:p>
        </w:tc>
      </w:tr>
      <w:tr>
        <w:tc>
          <w:tcPr>
            <w:tcW w:type="dxa" w:w="3216"/>
            <w:shd w:val="clear" w:color="auto" w:fill="F3EEDC"/>
          </w:tcPr>
          <w:p>
            <w:r/>
            <w:r>
              <w:rPr>
                <w:sz w:val="18"/>
              </w:rPr>
              <w:t>Rubber / polyurethane</w:t>
            </w:r>
          </w:p>
        </w:tc>
        <w:tc>
          <w:tcPr>
            <w:tcW w:type="dxa" w:w="3216"/>
            <w:shd w:val="clear" w:color="auto" w:fill="F3EEDC"/>
          </w:tcPr>
          <w:p>
            <w:r/>
            <w:r>
              <w:rPr>
                <w:sz w:val="18"/>
              </w:rPr>
              <w:t>Elastomer bush for vibration</w:t>
            </w:r>
          </w:p>
        </w:tc>
        <w:tc>
          <w:tcPr>
            <w:tcW w:type="dxa" w:w="3216"/>
            <w:shd w:val="clear" w:color="auto" w:fill="F3EEDC"/>
          </w:tcPr>
          <w:p>
            <w:r/>
            <w:r>
              <w:rPr>
                <w:sz w:val="18"/>
              </w:rPr>
              <w:t>Suspension, stabiliser bars</w:t>
            </w:r>
          </w:p>
        </w:tc>
      </w:tr>
      <w:tr>
        <w:tc>
          <w:tcPr>
            <w:tcW w:type="dxa" w:w="3216"/>
          </w:tcPr>
          <w:p>
            <w:r/>
            <w:r>
              <w:rPr>
                <w:sz w:val="18"/>
              </w:rPr>
              <w:t>Graphite plugged bronze</w:t>
            </w:r>
          </w:p>
        </w:tc>
        <w:tc>
          <w:tcPr>
            <w:tcW w:type="dxa" w:w="3216"/>
          </w:tcPr>
          <w:p>
            <w:r/>
            <w:r>
              <w:rPr>
                <w:sz w:val="18"/>
              </w:rPr>
              <w:t>Solid lubricant plugs in bronze</w:t>
            </w:r>
          </w:p>
        </w:tc>
        <w:tc>
          <w:tcPr>
            <w:tcW w:type="dxa" w:w="3216"/>
          </w:tcPr>
          <w:p>
            <w:r/>
            <w:r>
              <w:rPr>
                <w:sz w:val="18"/>
              </w:rPr>
              <w:t>High temp, slow heavy loads, steel plants</w:t>
            </w:r>
          </w:p>
        </w:tc>
      </w:tr>
    </w:tbl>
    <w:p/>
    <w:p>
      <w:pPr>
        <w:pStyle w:val="Heading2"/>
      </w:pPr>
      <w:r>
        <w:rPr>
          <w:color w:val="B8860B"/>
        </w:rPr>
        <w:t>By material</w:t>
      </w:r>
    </w:p>
    <w:p>
      <w:pPr>
        <w:jc w:val="center"/>
      </w:pPr>
      <w:r>
        <w:drawing>
          <wp:inline xmlns:a="http://schemas.openxmlformats.org/drawingml/2006/main" xmlns:pic="http://schemas.openxmlformats.org/drawingml/2006/picture">
            <wp:extent cx="4572000" cy="2600627"/>
            <wp:docPr id="3" name="Picture 3"/>
            <wp:cNvGraphicFramePr>
              <a:graphicFrameLocks noChangeAspect="1"/>
            </wp:cNvGraphicFramePr>
            <a:graphic>
              <a:graphicData uri="http://schemas.openxmlformats.org/drawingml/2006/picture">
                <pic:pic>
                  <pic:nvPicPr>
                    <pic:cNvPr id="0" name="b_mat.png"/>
                    <pic:cNvPicPr/>
                  </pic:nvPicPr>
                  <pic:blipFill>
                    <a:blip r:embed="rId11"/>
                    <a:stretch>
                      <a:fillRect/>
                    </a:stretch>
                  </pic:blipFill>
                  <pic:spPr>
                    <a:xfrm>
                      <a:off x="0" y="0"/>
                      <a:ext cx="4572000" cy="2600627"/>
                    </a:xfrm>
                    <a:prstGeom prst="rect"/>
                  </pic:spPr>
                </pic:pic>
              </a:graphicData>
            </a:graphic>
          </wp:inline>
        </w:drawing>
      </w:r>
    </w:p>
    <w:p>
      <w:pPr>
        <w:jc w:val="center"/>
      </w:pPr>
      <w:r>
        <w:rPr>
          <w:i/>
          <w:sz w:val="18"/>
        </w:rPr>
        <w:t>Figure 3: Indicative material split (intern estimate)</w:t>
      </w:r>
    </w:p>
    <w:p>
      <w:pPr>
        <w:pStyle w:val="Heading2"/>
      </w:pPr>
      <w:r>
        <w:rPr>
          <w:color w:val="B8860B"/>
        </w:rPr>
        <w:t>By application</w:t>
      </w:r>
    </w:p>
    <w:p>
      <w:pPr>
        <w:pStyle w:val="ListBullet"/>
      </w:pPr>
      <w:r>
        <w:rPr>
          <w:b/>
        </w:rPr>
        <w:t xml:space="preserve">Automotive: </w:t>
      </w:r>
      <w:r>
        <w:t>suspension, engine, steering, gearbox</w:t>
      </w:r>
    </w:p>
    <w:p>
      <w:pPr>
        <w:pStyle w:val="ListBullet"/>
      </w:pPr>
      <w:r>
        <w:rPr>
          <w:b/>
        </w:rPr>
        <w:t xml:space="preserve">Agriculture: </w:t>
      </w:r>
      <w:r>
        <w:t>tractors, harvesters, pumps</w:t>
      </w:r>
    </w:p>
    <w:p>
      <w:pPr>
        <w:pStyle w:val="ListBullet"/>
      </w:pPr>
      <w:r>
        <w:rPr>
          <w:b/>
        </w:rPr>
        <w:t xml:space="preserve">Industrial: </w:t>
      </w:r>
      <w:r>
        <w:t>pumps, compressors, motors, gearboxes, presses</w:t>
      </w:r>
    </w:p>
    <w:p>
      <w:pPr>
        <w:pStyle w:val="ListBullet"/>
      </w:pPr>
      <w:r>
        <w:rPr>
          <w:b/>
        </w:rPr>
        <w:t xml:space="preserve">Heavy equipment: </w:t>
      </w:r>
      <w:r>
        <w:t>excavators, cranes, mining</w:t>
      </w:r>
    </w:p>
    <w:p>
      <w:pPr>
        <w:pStyle w:val="ListBullet"/>
      </w:pPr>
      <w:r>
        <w:rPr>
          <w:b/>
        </w:rPr>
        <w:t xml:space="preserve">Railways: </w:t>
      </w:r>
      <w:r>
        <w:t>wagons, locomotives, axle boxes</w:t>
      </w:r>
    </w:p>
    <w:p>
      <w:pPr>
        <w:pStyle w:val="ListBullet"/>
      </w:pPr>
      <w:r>
        <w:rPr>
          <w:b/>
        </w:rPr>
        <w:t xml:space="preserve">Electrical: </w:t>
      </w:r>
      <w:r>
        <w:t>fans, appliances, small motors</w:t>
      </w:r>
    </w:p>
    <w:p>
      <w:pPr>
        <w:pStyle w:val="Heading1"/>
      </w:pPr>
      <w:r>
        <w:rPr>
          <w:color w:val="1F2A44"/>
        </w:rPr>
        <w:t>4. Alloys used in making bushes</w:t>
      </w:r>
    </w:p>
    <w:p>
      <w:pPr>
        <w:spacing w:after="120"/>
      </w:pPr>
      <w:r>
        <w:t>A bush alloy must be softer than the shaft, hold a lubricant film, resist wear, seizure and fatigue, and carry load at the working speed. Copper-base alloys are the standard choice. Lead gives a self-lubricating, anti-seizure effect, tin adds strength and wear resistance, and aluminium and manganese add load capacity. Grades are quoted as UNS/SAE with indicative Indian designations; confirm the IS grade before certifying. Compositions are nominal percentages.</w:t>
      </w:r>
    </w:p>
    <w:p>
      <w:pPr>
        <w:pStyle w:val="Heading2"/>
      </w:pPr>
      <w:r>
        <w:rPr>
          <w:color w:val="B8860B"/>
        </w:rPr>
        <w:t>4.1 Copper alloys for bushes</w:t>
      </w:r>
    </w:p>
    <w:p>
      <w:r>
        <w:rPr>
          <w:b/>
          <w:sz w:val="18"/>
        </w:rPr>
        <w:t>Table 4: Copper alloys used for bushes (nominal values)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F2A44"/>
          </w:tcPr>
          <w:p>
            <w:r/>
            <w:r>
              <w:rPr>
                <w:b/>
                <w:color w:val="FFFFFF"/>
                <w:sz w:val="18"/>
              </w:rPr>
              <w:t>Alloy family</w:t>
            </w:r>
          </w:p>
        </w:tc>
        <w:tc>
          <w:tcPr>
            <w:tcW w:type="dxa" w:w="1930"/>
            <w:shd w:val="clear" w:color="auto" w:fill="1F2A44"/>
          </w:tcPr>
          <w:p>
            <w:r/>
            <w:r>
              <w:rPr>
                <w:b/>
                <w:color w:val="FFFFFF"/>
                <w:sz w:val="18"/>
              </w:rPr>
              <w:t>Grade (UNS / SAE / IS)</w:t>
            </w:r>
          </w:p>
        </w:tc>
        <w:tc>
          <w:tcPr>
            <w:tcW w:type="dxa" w:w="1930"/>
            <w:shd w:val="clear" w:color="auto" w:fill="1F2A44"/>
          </w:tcPr>
          <w:p>
            <w:r/>
            <w:r>
              <w:rPr>
                <w:b/>
                <w:color w:val="FFFFFF"/>
                <w:sz w:val="18"/>
              </w:rPr>
              <w:t>Nominal composition (%)</w:t>
            </w:r>
          </w:p>
        </w:tc>
        <w:tc>
          <w:tcPr>
            <w:tcW w:type="dxa" w:w="1930"/>
            <w:shd w:val="clear" w:color="auto" w:fill="1F2A44"/>
          </w:tcPr>
          <w:p>
            <w:r/>
            <w:r>
              <w:rPr>
                <w:b/>
                <w:color w:val="FFFFFF"/>
                <w:sz w:val="18"/>
              </w:rPr>
              <w:t>Typical properties</w:t>
            </w:r>
          </w:p>
        </w:tc>
        <w:tc>
          <w:tcPr>
            <w:tcW w:type="dxa" w:w="1930"/>
            <w:shd w:val="clear" w:color="auto" w:fill="1F2A44"/>
          </w:tcPr>
          <w:p>
            <w:r/>
            <w:r>
              <w:rPr>
                <w:b/>
                <w:color w:val="FFFFFF"/>
                <w:sz w:val="18"/>
              </w:rPr>
              <w:t>Typical bushes / applications</w:t>
            </w:r>
          </w:p>
        </w:tc>
      </w:tr>
      <w:tr>
        <w:tc>
          <w:tcPr>
            <w:tcW w:type="dxa" w:w="1930"/>
          </w:tcPr>
          <w:p>
            <w:r/>
            <w:r>
              <w:rPr>
                <w:sz w:val="18"/>
              </w:rPr>
              <w:t>Leaded gunmetal</w:t>
            </w:r>
          </w:p>
        </w:tc>
        <w:tc>
          <w:tcPr>
            <w:tcW w:type="dxa" w:w="1930"/>
          </w:tcPr>
          <w:p>
            <w:r/>
            <w:r>
              <w:rPr>
                <w:sz w:val="18"/>
              </w:rPr>
              <w:t>C83600 (85-5-5-5) / IS 318 LTB2</w:t>
            </w:r>
          </w:p>
        </w:tc>
        <w:tc>
          <w:tcPr>
            <w:tcW w:type="dxa" w:w="1930"/>
          </w:tcPr>
          <w:p>
            <w:r/>
            <w:r>
              <w:rPr>
                <w:sz w:val="18"/>
              </w:rPr>
              <w:t>Cu 85, Sn 5, Pb 5, Zn 5</w:t>
            </w:r>
          </w:p>
        </w:tc>
        <w:tc>
          <w:tcPr>
            <w:tcW w:type="dxa" w:w="1930"/>
          </w:tcPr>
          <w:p>
            <w:r/>
            <w:r>
              <w:rPr>
                <w:sz w:val="18"/>
              </w:rPr>
              <w:t>Hardness about 60 HB; good machining, medium load</w:t>
            </w:r>
          </w:p>
        </w:tc>
        <w:tc>
          <w:tcPr>
            <w:tcW w:type="dxa" w:w="1930"/>
          </w:tcPr>
          <w:p>
            <w:r/>
            <w:r>
              <w:rPr>
                <w:sz w:val="18"/>
              </w:rPr>
              <w:t>Pump, valve, general machinery bushes</w:t>
            </w:r>
          </w:p>
        </w:tc>
      </w:tr>
      <w:tr>
        <w:tc>
          <w:tcPr>
            <w:tcW w:type="dxa" w:w="1930"/>
            <w:shd w:val="clear" w:color="auto" w:fill="F3EEDC"/>
          </w:tcPr>
          <w:p>
            <w:r/>
            <w:r>
              <w:rPr>
                <w:sz w:val="18"/>
              </w:rPr>
              <w:t>Leaded tin bronze (SAE 660)</w:t>
            </w:r>
          </w:p>
        </w:tc>
        <w:tc>
          <w:tcPr>
            <w:tcW w:type="dxa" w:w="1930"/>
            <w:shd w:val="clear" w:color="auto" w:fill="F3EEDC"/>
          </w:tcPr>
          <w:p>
            <w:r/>
            <w:r>
              <w:rPr>
                <w:sz w:val="18"/>
              </w:rPr>
              <w:t>C93200 / SAE 660</w:t>
            </w:r>
          </w:p>
        </w:tc>
        <w:tc>
          <w:tcPr>
            <w:tcW w:type="dxa" w:w="1930"/>
            <w:shd w:val="clear" w:color="auto" w:fill="F3EEDC"/>
          </w:tcPr>
          <w:p>
            <w:r/>
            <w:r>
              <w:rPr>
                <w:sz w:val="18"/>
              </w:rPr>
              <w:t>Cu 83, Sn 7, Pb 7, Zn 3</w:t>
            </w:r>
          </w:p>
        </w:tc>
        <w:tc>
          <w:tcPr>
            <w:tcW w:type="dxa" w:w="1930"/>
            <w:shd w:val="clear" w:color="auto" w:fill="F3EEDC"/>
          </w:tcPr>
          <w:p>
            <w:r/>
            <w:r>
              <w:rPr>
                <w:sz w:val="18"/>
              </w:rPr>
              <w:t>Tensile about 250 MPa; hardness 65 to 70 HB</w:t>
            </w:r>
          </w:p>
        </w:tc>
        <w:tc>
          <w:tcPr>
            <w:tcW w:type="dxa" w:w="1930"/>
            <w:shd w:val="clear" w:color="auto" w:fill="F3EEDC"/>
          </w:tcPr>
          <w:p>
            <w:r/>
            <w:r>
              <w:rPr>
                <w:sz w:val="18"/>
              </w:rPr>
              <w:t>General-purpose bearing bush, most common grade</w:t>
            </w:r>
          </w:p>
        </w:tc>
      </w:tr>
      <w:tr>
        <w:tc>
          <w:tcPr>
            <w:tcW w:type="dxa" w:w="1930"/>
          </w:tcPr>
          <w:p>
            <w:r/>
            <w:r>
              <w:rPr>
                <w:sz w:val="18"/>
              </w:rPr>
              <w:t>High-lead tin bronze</w:t>
            </w:r>
          </w:p>
        </w:tc>
        <w:tc>
          <w:tcPr>
            <w:tcW w:type="dxa" w:w="1930"/>
          </w:tcPr>
          <w:p>
            <w:r/>
            <w:r>
              <w:rPr>
                <w:sz w:val="18"/>
              </w:rPr>
              <w:t>C93700 / SAE 64</w:t>
            </w:r>
          </w:p>
        </w:tc>
        <w:tc>
          <w:tcPr>
            <w:tcW w:type="dxa" w:w="1930"/>
          </w:tcPr>
          <w:p>
            <w:r/>
            <w:r>
              <w:rPr>
                <w:sz w:val="18"/>
              </w:rPr>
              <w:t>Cu 80, Sn 10, Pb 10</w:t>
            </w:r>
          </w:p>
        </w:tc>
        <w:tc>
          <w:tcPr>
            <w:tcW w:type="dxa" w:w="1930"/>
          </w:tcPr>
          <w:p>
            <w:r/>
            <w:r>
              <w:rPr>
                <w:sz w:val="18"/>
              </w:rPr>
              <w:t>Hardness about 60 HB; excellent anti-seizure</w:t>
            </w:r>
          </w:p>
        </w:tc>
        <w:tc>
          <w:tcPr>
            <w:tcW w:type="dxa" w:w="1930"/>
          </w:tcPr>
          <w:p>
            <w:r/>
            <w:r>
              <w:rPr>
                <w:sz w:val="18"/>
              </w:rPr>
              <w:t>High-speed, moderate-load bushes: motors, engines, pumps</w:t>
            </w:r>
          </w:p>
        </w:tc>
      </w:tr>
      <w:tr>
        <w:tc>
          <w:tcPr>
            <w:tcW w:type="dxa" w:w="1930"/>
            <w:shd w:val="clear" w:color="auto" w:fill="F3EEDC"/>
          </w:tcPr>
          <w:p>
            <w:r/>
            <w:r>
              <w:rPr>
                <w:sz w:val="18"/>
              </w:rPr>
              <w:t>Very high-lead bronze</w:t>
            </w:r>
          </w:p>
        </w:tc>
        <w:tc>
          <w:tcPr>
            <w:tcW w:type="dxa" w:w="1930"/>
            <w:shd w:val="clear" w:color="auto" w:fill="F3EEDC"/>
          </w:tcPr>
          <w:p>
            <w:r/>
            <w:r>
              <w:rPr>
                <w:sz w:val="18"/>
              </w:rPr>
              <w:t>C93800 / C94300</w:t>
            </w:r>
          </w:p>
        </w:tc>
        <w:tc>
          <w:tcPr>
            <w:tcW w:type="dxa" w:w="1930"/>
            <w:shd w:val="clear" w:color="auto" w:fill="F3EEDC"/>
          </w:tcPr>
          <w:p>
            <w:r/>
            <w:r>
              <w:rPr>
                <w:sz w:val="18"/>
              </w:rPr>
              <w:t>Cu 78 to 70, Sn 7 to 5, Pb 15 to 25</w:t>
            </w:r>
          </w:p>
        </w:tc>
        <w:tc>
          <w:tcPr>
            <w:tcW w:type="dxa" w:w="1930"/>
            <w:shd w:val="clear" w:color="auto" w:fill="F3EEDC"/>
          </w:tcPr>
          <w:p>
            <w:r/>
            <w:r>
              <w:rPr>
                <w:sz w:val="18"/>
              </w:rPr>
              <w:t>Soft, very good for poor lubrication</w:t>
            </w:r>
          </w:p>
        </w:tc>
        <w:tc>
          <w:tcPr>
            <w:tcW w:type="dxa" w:w="1930"/>
            <w:shd w:val="clear" w:color="auto" w:fill="F3EEDC"/>
          </w:tcPr>
          <w:p>
            <w:r/>
            <w:r>
              <w:rPr>
                <w:sz w:val="18"/>
              </w:rPr>
              <w:t>Light-load, high-speed, marginal-lube bearings</w:t>
            </w:r>
          </w:p>
        </w:tc>
      </w:tr>
      <w:tr>
        <w:tc>
          <w:tcPr>
            <w:tcW w:type="dxa" w:w="1930"/>
          </w:tcPr>
          <w:p>
            <w:r/>
            <w:r>
              <w:rPr>
                <w:sz w:val="18"/>
              </w:rPr>
              <w:t>Tin bronze (gear bronze)</w:t>
            </w:r>
          </w:p>
        </w:tc>
        <w:tc>
          <w:tcPr>
            <w:tcW w:type="dxa" w:w="1930"/>
          </w:tcPr>
          <w:p>
            <w:r/>
            <w:r>
              <w:rPr>
                <w:sz w:val="18"/>
              </w:rPr>
              <w:t>C90700</w:t>
            </w:r>
          </w:p>
        </w:tc>
        <w:tc>
          <w:tcPr>
            <w:tcW w:type="dxa" w:w="1930"/>
          </w:tcPr>
          <w:p>
            <w:r/>
            <w:r>
              <w:rPr>
                <w:sz w:val="18"/>
              </w:rPr>
              <w:t>Cu 89, Sn 11</w:t>
            </w:r>
          </w:p>
        </w:tc>
        <w:tc>
          <w:tcPr>
            <w:tcW w:type="dxa" w:w="1930"/>
          </w:tcPr>
          <w:p>
            <w:r/>
            <w:r>
              <w:rPr>
                <w:sz w:val="18"/>
              </w:rPr>
              <w:t>Tensile about 310 MPa; 80 HB; fatigue resistant</w:t>
            </w:r>
          </w:p>
        </w:tc>
        <w:tc>
          <w:tcPr>
            <w:tcW w:type="dxa" w:w="1930"/>
          </w:tcPr>
          <w:p>
            <w:r/>
            <w:r>
              <w:rPr>
                <w:sz w:val="18"/>
              </w:rPr>
              <w:t>Heavy-load, slow-speed bushes, worm wheels</w:t>
            </w:r>
          </w:p>
        </w:tc>
      </w:tr>
      <w:tr>
        <w:tc>
          <w:tcPr>
            <w:tcW w:type="dxa" w:w="1930"/>
            <w:shd w:val="clear" w:color="auto" w:fill="F3EEDC"/>
          </w:tcPr>
          <w:p>
            <w:r/>
            <w:r>
              <w:rPr>
                <w:sz w:val="18"/>
              </w:rPr>
              <w:t>Phosphor bronze (casting)</w:t>
            </w:r>
          </w:p>
        </w:tc>
        <w:tc>
          <w:tcPr>
            <w:tcW w:type="dxa" w:w="1930"/>
            <w:shd w:val="clear" w:color="auto" w:fill="F3EEDC"/>
          </w:tcPr>
          <w:p>
            <w:r/>
            <w:r>
              <w:rPr>
                <w:sz w:val="18"/>
              </w:rPr>
              <w:t>C90300 / IS 28 PB2</w:t>
            </w:r>
          </w:p>
        </w:tc>
        <w:tc>
          <w:tcPr>
            <w:tcW w:type="dxa" w:w="1930"/>
            <w:shd w:val="clear" w:color="auto" w:fill="F3EEDC"/>
          </w:tcPr>
          <w:p>
            <w:r/>
            <w:r>
              <w:rPr>
                <w:sz w:val="18"/>
              </w:rPr>
              <w:t>Cu 88, Sn 8, Zn 4 (P about 0.2)</w:t>
            </w:r>
          </w:p>
        </w:tc>
        <w:tc>
          <w:tcPr>
            <w:tcW w:type="dxa" w:w="1930"/>
            <w:shd w:val="clear" w:color="auto" w:fill="F3EEDC"/>
          </w:tcPr>
          <w:p>
            <w:r/>
            <w:r>
              <w:rPr>
                <w:sz w:val="18"/>
              </w:rPr>
              <w:t>Hard and tough</w:t>
            </w:r>
          </w:p>
        </w:tc>
        <w:tc>
          <w:tcPr>
            <w:tcW w:type="dxa" w:w="1930"/>
            <w:shd w:val="clear" w:color="auto" w:fill="F3EEDC"/>
          </w:tcPr>
          <w:p>
            <w:r/>
            <w:r>
              <w:rPr>
                <w:sz w:val="18"/>
              </w:rPr>
              <w:t>Gears, bushes for shock load</w:t>
            </w:r>
          </w:p>
        </w:tc>
      </w:tr>
      <w:tr>
        <w:tc>
          <w:tcPr>
            <w:tcW w:type="dxa" w:w="1930"/>
          </w:tcPr>
          <w:p>
            <w:r/>
            <w:r>
              <w:rPr>
                <w:sz w:val="18"/>
              </w:rPr>
              <w:t>Phosphor bronze (strip / rolled)</w:t>
            </w:r>
          </w:p>
        </w:tc>
        <w:tc>
          <w:tcPr>
            <w:tcW w:type="dxa" w:w="1930"/>
          </w:tcPr>
          <w:p>
            <w:r/>
            <w:r>
              <w:rPr>
                <w:sz w:val="18"/>
              </w:rPr>
              <w:t>C51000 / C52100</w:t>
            </w:r>
          </w:p>
        </w:tc>
        <w:tc>
          <w:tcPr>
            <w:tcW w:type="dxa" w:w="1930"/>
          </w:tcPr>
          <w:p>
            <w:r/>
            <w:r>
              <w:rPr>
                <w:sz w:val="18"/>
              </w:rPr>
              <w:t>Cu 92, Sn 8, P 0.2</w:t>
            </w:r>
          </w:p>
        </w:tc>
        <w:tc>
          <w:tcPr>
            <w:tcW w:type="dxa" w:w="1930"/>
          </w:tcPr>
          <w:p>
            <w:r/>
            <w:r>
              <w:rPr>
                <w:sz w:val="18"/>
              </w:rPr>
              <w:t>Springy, fatigue resistant</w:t>
            </w:r>
          </w:p>
        </w:tc>
        <w:tc>
          <w:tcPr>
            <w:tcW w:type="dxa" w:w="1930"/>
          </w:tcPr>
          <w:p>
            <w:r/>
            <w:r>
              <w:rPr>
                <w:sz w:val="18"/>
              </w:rPr>
              <w:t>Rolled, split and clench bushes, thrust washers</w:t>
            </w:r>
          </w:p>
        </w:tc>
      </w:tr>
      <w:tr>
        <w:tc>
          <w:tcPr>
            <w:tcW w:type="dxa" w:w="1930"/>
            <w:shd w:val="clear" w:color="auto" w:fill="F3EEDC"/>
          </w:tcPr>
          <w:p>
            <w:r/>
            <w:r>
              <w:rPr>
                <w:sz w:val="18"/>
              </w:rPr>
              <w:t>Free-cutting phosphor bronze</w:t>
            </w:r>
          </w:p>
        </w:tc>
        <w:tc>
          <w:tcPr>
            <w:tcW w:type="dxa" w:w="1930"/>
            <w:shd w:val="clear" w:color="auto" w:fill="F3EEDC"/>
          </w:tcPr>
          <w:p>
            <w:r/>
            <w:r>
              <w:rPr>
                <w:sz w:val="18"/>
              </w:rPr>
              <w:t>C54400</w:t>
            </w:r>
          </w:p>
        </w:tc>
        <w:tc>
          <w:tcPr>
            <w:tcW w:type="dxa" w:w="1930"/>
            <w:shd w:val="clear" w:color="auto" w:fill="F3EEDC"/>
          </w:tcPr>
          <w:p>
            <w:r/>
            <w:r>
              <w:rPr>
                <w:sz w:val="18"/>
              </w:rPr>
              <w:t>Cu 88, Sn 4, Pb 4, Zn 4</w:t>
            </w:r>
          </w:p>
        </w:tc>
        <w:tc>
          <w:tcPr>
            <w:tcW w:type="dxa" w:w="1930"/>
            <w:shd w:val="clear" w:color="auto" w:fill="F3EEDC"/>
          </w:tcPr>
          <w:p>
            <w:r/>
            <w:r>
              <w:rPr>
                <w:sz w:val="18"/>
              </w:rPr>
              <w:t>Good machinability</w:t>
            </w:r>
          </w:p>
        </w:tc>
        <w:tc>
          <w:tcPr>
            <w:tcW w:type="dxa" w:w="1930"/>
            <w:shd w:val="clear" w:color="auto" w:fill="F3EEDC"/>
          </w:tcPr>
          <w:p>
            <w:r/>
            <w:r>
              <w:rPr>
                <w:sz w:val="18"/>
              </w:rPr>
              <w:t>Small turned bushes and washers</w:t>
            </w:r>
          </w:p>
        </w:tc>
      </w:tr>
      <w:tr>
        <w:tc>
          <w:tcPr>
            <w:tcW w:type="dxa" w:w="1930"/>
          </w:tcPr>
          <w:p>
            <w:r/>
            <w:r>
              <w:rPr>
                <w:sz w:val="18"/>
              </w:rPr>
              <w:t>Aluminium bronze</w:t>
            </w:r>
          </w:p>
        </w:tc>
        <w:tc>
          <w:tcPr>
            <w:tcW w:type="dxa" w:w="1930"/>
          </w:tcPr>
          <w:p>
            <w:r/>
            <w:r>
              <w:rPr>
                <w:sz w:val="18"/>
              </w:rPr>
              <w:t>C95400</w:t>
            </w:r>
          </w:p>
        </w:tc>
        <w:tc>
          <w:tcPr>
            <w:tcW w:type="dxa" w:w="1930"/>
          </w:tcPr>
          <w:p>
            <w:r/>
            <w:r>
              <w:rPr>
                <w:sz w:val="18"/>
              </w:rPr>
              <w:t>Cu 85, Al 11, Fe 4</w:t>
            </w:r>
          </w:p>
        </w:tc>
        <w:tc>
          <w:tcPr>
            <w:tcW w:type="dxa" w:w="1930"/>
          </w:tcPr>
          <w:p>
            <w:r/>
            <w:r>
              <w:rPr>
                <w:sz w:val="18"/>
              </w:rPr>
              <w:t>Tensile about 550 MPa; 110 to 150 HB</w:t>
            </w:r>
          </w:p>
        </w:tc>
        <w:tc>
          <w:tcPr>
            <w:tcW w:type="dxa" w:w="1930"/>
          </w:tcPr>
          <w:p>
            <w:r/>
            <w:r>
              <w:rPr>
                <w:sz w:val="18"/>
              </w:rPr>
              <w:t>Heavy load, high temperature, wear and corrosion</w:t>
            </w:r>
          </w:p>
        </w:tc>
      </w:tr>
      <w:tr>
        <w:tc>
          <w:tcPr>
            <w:tcW w:type="dxa" w:w="1930"/>
            <w:shd w:val="clear" w:color="auto" w:fill="F3EEDC"/>
          </w:tcPr>
          <w:p>
            <w:r/>
            <w:r>
              <w:rPr>
                <w:sz w:val="18"/>
              </w:rPr>
              <w:t>Manganese bronze (high-tensile brass)</w:t>
            </w:r>
          </w:p>
        </w:tc>
        <w:tc>
          <w:tcPr>
            <w:tcW w:type="dxa" w:w="1930"/>
            <w:shd w:val="clear" w:color="auto" w:fill="F3EEDC"/>
          </w:tcPr>
          <w:p>
            <w:r/>
            <w:r>
              <w:rPr>
                <w:sz w:val="18"/>
              </w:rPr>
              <w:t>C86300</w:t>
            </w:r>
          </w:p>
        </w:tc>
        <w:tc>
          <w:tcPr>
            <w:tcW w:type="dxa" w:w="1930"/>
            <w:shd w:val="clear" w:color="auto" w:fill="F3EEDC"/>
          </w:tcPr>
          <w:p>
            <w:r/>
            <w:r>
              <w:rPr>
                <w:sz w:val="18"/>
              </w:rPr>
              <w:t>Cu 63, Zn 25, Al 6, Mn 3, Fe 3</w:t>
            </w:r>
          </w:p>
        </w:tc>
        <w:tc>
          <w:tcPr>
            <w:tcW w:type="dxa" w:w="1930"/>
            <w:shd w:val="clear" w:color="auto" w:fill="F3EEDC"/>
          </w:tcPr>
          <w:p>
            <w:r/>
            <w:r>
              <w:rPr>
                <w:sz w:val="18"/>
              </w:rPr>
              <w:t>Tensile about 760 MPa; very high strength</w:t>
            </w:r>
          </w:p>
        </w:tc>
        <w:tc>
          <w:tcPr>
            <w:tcW w:type="dxa" w:w="1930"/>
            <w:shd w:val="clear" w:color="auto" w:fill="F3EEDC"/>
          </w:tcPr>
          <w:p>
            <w:r/>
            <w:r>
              <w:rPr>
                <w:sz w:val="18"/>
              </w:rPr>
              <w:t>Very heavy load, low speed: presses, rolling mills, crane bushes</w:t>
            </w:r>
          </w:p>
        </w:tc>
      </w:tr>
      <w:tr>
        <w:tc>
          <w:tcPr>
            <w:tcW w:type="dxa" w:w="1930"/>
          </w:tcPr>
          <w:p>
            <w:r/>
            <w:r>
              <w:rPr>
                <w:sz w:val="18"/>
              </w:rPr>
              <w:t>Brass</w:t>
            </w:r>
          </w:p>
        </w:tc>
        <w:tc>
          <w:tcPr>
            <w:tcW w:type="dxa" w:w="1930"/>
          </w:tcPr>
          <w:p>
            <w:r/>
            <w:r>
              <w:rPr>
                <w:sz w:val="18"/>
              </w:rPr>
              <w:t>C36000 / C37700</w:t>
            </w:r>
          </w:p>
        </w:tc>
        <w:tc>
          <w:tcPr>
            <w:tcW w:type="dxa" w:w="1930"/>
          </w:tcPr>
          <w:p>
            <w:r/>
            <w:r>
              <w:rPr>
                <w:sz w:val="18"/>
              </w:rPr>
              <w:t>Cu 60, Zn 38, Pb 2</w:t>
            </w:r>
          </w:p>
        </w:tc>
        <w:tc>
          <w:tcPr>
            <w:tcW w:type="dxa" w:w="1930"/>
          </w:tcPr>
          <w:p>
            <w:r/>
            <w:r>
              <w:rPr>
                <w:sz w:val="18"/>
              </w:rPr>
              <w:t>Economical, medium load</w:t>
            </w:r>
          </w:p>
        </w:tc>
        <w:tc>
          <w:tcPr>
            <w:tcW w:type="dxa" w:w="1930"/>
          </w:tcPr>
          <w:p>
            <w:r/>
            <w:r>
              <w:rPr>
                <w:sz w:val="18"/>
              </w:rPr>
              <w:t>Light-duty and decorative bushes, hinges</w:t>
            </w:r>
          </w:p>
        </w:tc>
      </w:tr>
      <w:tr>
        <w:tc>
          <w:tcPr>
            <w:tcW w:type="dxa" w:w="1930"/>
            <w:shd w:val="clear" w:color="auto" w:fill="F3EEDC"/>
          </w:tcPr>
          <w:p>
            <w:r/>
            <w:r>
              <w:rPr>
                <w:sz w:val="18"/>
              </w:rPr>
              <w:t>Beryllium copper</w:t>
            </w:r>
          </w:p>
        </w:tc>
        <w:tc>
          <w:tcPr>
            <w:tcW w:type="dxa" w:w="1930"/>
            <w:shd w:val="clear" w:color="auto" w:fill="F3EEDC"/>
          </w:tcPr>
          <w:p>
            <w:r/>
            <w:r>
              <w:rPr>
                <w:sz w:val="18"/>
              </w:rPr>
              <w:t>C17200</w:t>
            </w:r>
          </w:p>
        </w:tc>
        <w:tc>
          <w:tcPr>
            <w:tcW w:type="dxa" w:w="1930"/>
            <w:shd w:val="clear" w:color="auto" w:fill="F3EEDC"/>
          </w:tcPr>
          <w:p>
            <w:r/>
            <w:r>
              <w:rPr>
                <w:sz w:val="18"/>
              </w:rPr>
              <w:t>Cu 98, Be 2</w:t>
            </w:r>
          </w:p>
        </w:tc>
        <w:tc>
          <w:tcPr>
            <w:tcW w:type="dxa" w:w="1930"/>
            <w:shd w:val="clear" w:color="auto" w:fill="F3EEDC"/>
          </w:tcPr>
          <w:p>
            <w:r/>
            <w:r>
              <w:rPr>
                <w:sz w:val="18"/>
              </w:rPr>
              <w:t>Very high strength and non-sparking</w:t>
            </w:r>
          </w:p>
        </w:tc>
        <w:tc>
          <w:tcPr>
            <w:tcW w:type="dxa" w:w="1930"/>
            <w:shd w:val="clear" w:color="auto" w:fill="F3EEDC"/>
          </w:tcPr>
          <w:p>
            <w:r/>
            <w:r>
              <w:rPr>
                <w:sz w:val="18"/>
              </w:rPr>
              <w:t>Aerospace, mining, oil and gas safety tools and bushes</w:t>
            </w:r>
          </w:p>
        </w:tc>
      </w:tr>
      <w:tr>
        <w:tc>
          <w:tcPr>
            <w:tcW w:type="dxa" w:w="1930"/>
          </w:tcPr>
          <w:p>
            <w:r/>
            <w:r>
              <w:rPr>
                <w:sz w:val="18"/>
              </w:rPr>
              <w:t>Graphite-plugged bronze</w:t>
            </w:r>
          </w:p>
        </w:tc>
        <w:tc>
          <w:tcPr>
            <w:tcW w:type="dxa" w:w="1930"/>
          </w:tcPr>
          <w:p>
            <w:r/>
            <w:r>
              <w:rPr>
                <w:sz w:val="18"/>
              </w:rPr>
              <w:t>C86300 / C93200 base + graphite</w:t>
            </w:r>
          </w:p>
        </w:tc>
        <w:tc>
          <w:tcPr>
            <w:tcW w:type="dxa" w:w="1930"/>
          </w:tcPr>
          <w:p>
            <w:r/>
            <w:r>
              <w:rPr>
                <w:sz w:val="18"/>
              </w:rPr>
              <w:t>Bronze with 20 to 30 percent graphite plugs</w:t>
            </w:r>
          </w:p>
        </w:tc>
        <w:tc>
          <w:tcPr>
            <w:tcW w:type="dxa" w:w="1930"/>
          </w:tcPr>
          <w:p>
            <w:r/>
            <w:r>
              <w:rPr>
                <w:sz w:val="18"/>
              </w:rPr>
              <w:t>Self-lubricating, runs dry</w:t>
            </w:r>
          </w:p>
        </w:tc>
        <w:tc>
          <w:tcPr>
            <w:tcW w:type="dxa" w:w="1930"/>
          </w:tcPr>
          <w:p>
            <w:r/>
            <w:r>
              <w:rPr>
                <w:sz w:val="18"/>
              </w:rPr>
              <w:t>Steel plants, furnace, high-temperature and slow heavy bushes</w:t>
            </w:r>
          </w:p>
        </w:tc>
      </w:tr>
    </w:tbl>
    <w:p/>
    <w:p>
      <w:pPr>
        <w:pStyle w:val="Heading2"/>
      </w:pPr>
      <w:r>
        <w:rPr>
          <w:color w:val="B8860B"/>
        </w:rPr>
        <w:t>4.2 Other bearing materials (for comparison)</w:t>
      </w:r>
    </w:p>
    <w:p>
      <w:r>
        <w:rPr>
          <w:b/>
          <w:sz w:val="18"/>
        </w:rPr>
        <w:t>Table 5: Non-bronze bearing materials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Material</w:t>
            </w:r>
          </w:p>
        </w:tc>
        <w:tc>
          <w:tcPr>
            <w:tcW w:type="dxa" w:w="3216"/>
            <w:shd w:val="clear" w:color="auto" w:fill="1F2A44"/>
          </w:tcPr>
          <w:p>
            <w:r/>
            <w:r>
              <w:rPr>
                <w:b/>
                <w:color w:val="FFFFFF"/>
                <w:sz w:val="18"/>
              </w:rPr>
              <w:t>Where used</w:t>
            </w:r>
          </w:p>
        </w:tc>
        <w:tc>
          <w:tcPr>
            <w:tcW w:type="dxa" w:w="3216"/>
            <w:shd w:val="clear" w:color="auto" w:fill="1F2A44"/>
          </w:tcPr>
          <w:p>
            <w:r/>
            <w:r>
              <w:rPr>
                <w:b/>
                <w:color w:val="FFFFFF"/>
                <w:sz w:val="18"/>
              </w:rPr>
              <w:t>Why / limitation</w:t>
            </w:r>
          </w:p>
        </w:tc>
      </w:tr>
      <w:tr>
        <w:tc>
          <w:tcPr>
            <w:tcW w:type="dxa" w:w="3216"/>
          </w:tcPr>
          <w:p>
            <w:r/>
            <w:r>
              <w:rPr>
                <w:sz w:val="18"/>
              </w:rPr>
              <w:t>Tin and lead babbitt (white metal)</w:t>
            </w:r>
          </w:p>
        </w:tc>
        <w:tc>
          <w:tcPr>
            <w:tcW w:type="dxa" w:w="3216"/>
          </w:tcPr>
          <w:p>
            <w:r/>
            <w:r>
              <w:rPr>
                <w:sz w:val="18"/>
              </w:rPr>
              <w:t>Large engines, turbines, heavy gearboxes</w:t>
            </w:r>
          </w:p>
        </w:tc>
        <w:tc>
          <w:tcPr>
            <w:tcW w:type="dxa" w:w="3216"/>
          </w:tcPr>
          <w:p>
            <w:r/>
            <w:r>
              <w:rPr>
                <w:sz w:val="18"/>
              </w:rPr>
              <w:t>Excellent embedability; low strength, needs steel backing</w:t>
            </w:r>
          </w:p>
        </w:tc>
      </w:tr>
      <w:tr>
        <w:tc>
          <w:tcPr>
            <w:tcW w:type="dxa" w:w="3216"/>
            <w:shd w:val="clear" w:color="auto" w:fill="F3EEDC"/>
          </w:tcPr>
          <w:p>
            <w:r/>
            <w:r>
              <w:rPr>
                <w:sz w:val="18"/>
              </w:rPr>
              <w:t>Aluminium-tin / aluminium-silicon</w:t>
            </w:r>
          </w:p>
        </w:tc>
        <w:tc>
          <w:tcPr>
            <w:tcW w:type="dxa" w:w="3216"/>
            <w:shd w:val="clear" w:color="auto" w:fill="F3EEDC"/>
          </w:tcPr>
          <w:p>
            <w:r/>
            <w:r>
              <w:rPr>
                <w:sz w:val="18"/>
              </w:rPr>
              <w:t>Automotive engine bearings</w:t>
            </w:r>
          </w:p>
        </w:tc>
        <w:tc>
          <w:tcPr>
            <w:tcW w:type="dxa" w:w="3216"/>
            <w:shd w:val="clear" w:color="auto" w:fill="F3EEDC"/>
          </w:tcPr>
          <w:p>
            <w:r/>
            <w:r>
              <w:rPr>
                <w:sz w:val="18"/>
              </w:rPr>
              <w:t>Fatigue strength, lower cost than bronze</w:t>
            </w:r>
          </w:p>
        </w:tc>
      </w:tr>
      <w:tr>
        <w:tc>
          <w:tcPr>
            <w:tcW w:type="dxa" w:w="3216"/>
          </w:tcPr>
          <w:p>
            <w:r/>
            <w:r>
              <w:rPr>
                <w:sz w:val="18"/>
              </w:rPr>
              <w:t>Steel-backed bimetal (bronze or Al-Sn lining)</w:t>
            </w:r>
          </w:p>
        </w:tc>
        <w:tc>
          <w:tcPr>
            <w:tcW w:type="dxa" w:w="3216"/>
          </w:tcPr>
          <w:p>
            <w:r/>
            <w:r>
              <w:rPr>
                <w:sz w:val="18"/>
              </w:rPr>
              <w:t>Engines, hydraulics, construction machinery</w:t>
            </w:r>
          </w:p>
        </w:tc>
        <w:tc>
          <w:tcPr>
            <w:tcW w:type="dxa" w:w="3216"/>
          </w:tcPr>
          <w:p>
            <w:r/>
            <w:r>
              <w:rPr>
                <w:sz w:val="18"/>
              </w:rPr>
              <w:t>Strong back, thin bearing layer</w:t>
            </w:r>
          </w:p>
        </w:tc>
      </w:tr>
      <w:tr>
        <w:tc>
          <w:tcPr>
            <w:tcW w:type="dxa" w:w="3216"/>
            <w:shd w:val="clear" w:color="auto" w:fill="F3EEDC"/>
          </w:tcPr>
          <w:p>
            <w:r/>
            <w:r>
              <w:rPr>
                <w:sz w:val="18"/>
              </w:rPr>
              <w:t>Sintered bronze (Cu 90, Sn 10) with oil</w:t>
            </w:r>
          </w:p>
        </w:tc>
        <w:tc>
          <w:tcPr>
            <w:tcW w:type="dxa" w:w="3216"/>
            <w:shd w:val="clear" w:color="auto" w:fill="F3EEDC"/>
          </w:tcPr>
          <w:p>
            <w:r/>
            <w:r>
              <w:rPr>
                <w:sz w:val="18"/>
              </w:rPr>
              <w:t>Fans, appliances, small motors</w:t>
            </w:r>
          </w:p>
        </w:tc>
        <w:tc>
          <w:tcPr>
            <w:tcW w:type="dxa" w:w="3216"/>
            <w:shd w:val="clear" w:color="auto" w:fill="F3EEDC"/>
          </w:tcPr>
          <w:p>
            <w:r/>
            <w:r>
              <w:rPr>
                <w:sz w:val="18"/>
              </w:rPr>
              <w:t>Maintenance-free; low load</w:t>
            </w:r>
          </w:p>
        </w:tc>
      </w:tr>
      <w:tr>
        <w:tc>
          <w:tcPr>
            <w:tcW w:type="dxa" w:w="3216"/>
          </w:tcPr>
          <w:p>
            <w:r/>
            <w:r>
              <w:rPr>
                <w:sz w:val="18"/>
              </w:rPr>
              <w:t>Sintered iron / iron-copper</w:t>
            </w:r>
          </w:p>
        </w:tc>
        <w:tc>
          <w:tcPr>
            <w:tcW w:type="dxa" w:w="3216"/>
          </w:tcPr>
          <w:p>
            <w:r/>
            <w:r>
              <w:rPr>
                <w:sz w:val="18"/>
              </w:rPr>
              <w:t>Low-cost light-duty bushes</w:t>
            </w:r>
          </w:p>
        </w:tc>
        <w:tc>
          <w:tcPr>
            <w:tcW w:type="dxa" w:w="3216"/>
          </w:tcPr>
          <w:p>
            <w:r/>
            <w:r>
              <w:rPr>
                <w:sz w:val="18"/>
              </w:rPr>
              <w:t>Cheaper but lower wear resistance</w:t>
            </w:r>
          </w:p>
        </w:tc>
      </w:tr>
      <w:tr>
        <w:tc>
          <w:tcPr>
            <w:tcW w:type="dxa" w:w="3216"/>
            <w:shd w:val="clear" w:color="auto" w:fill="F3EEDC"/>
          </w:tcPr>
          <w:p>
            <w:r/>
            <w:r>
              <w:rPr>
                <w:sz w:val="18"/>
              </w:rPr>
              <w:t>Cast iron (grey, SG)</w:t>
            </w:r>
          </w:p>
        </w:tc>
        <w:tc>
          <w:tcPr>
            <w:tcW w:type="dxa" w:w="3216"/>
            <w:shd w:val="clear" w:color="auto" w:fill="F3EEDC"/>
          </w:tcPr>
          <w:p>
            <w:r/>
            <w:r>
              <w:rPr>
                <w:sz w:val="18"/>
              </w:rPr>
              <w:t>Slow, low-cost applications</w:t>
            </w:r>
          </w:p>
        </w:tc>
        <w:tc>
          <w:tcPr>
            <w:tcW w:type="dxa" w:w="3216"/>
            <w:shd w:val="clear" w:color="auto" w:fill="F3EEDC"/>
          </w:tcPr>
          <w:p>
            <w:r/>
            <w:r>
              <w:rPr>
                <w:sz w:val="18"/>
              </w:rPr>
              <w:t>Self-lubricating graphite flakes</w:t>
            </w:r>
          </w:p>
        </w:tc>
      </w:tr>
      <w:tr>
        <w:tc>
          <w:tcPr>
            <w:tcW w:type="dxa" w:w="3216"/>
          </w:tcPr>
          <w:p>
            <w:r/>
            <w:r>
              <w:rPr>
                <w:sz w:val="18"/>
              </w:rPr>
              <w:t>Polymers (PTFE, nylon, PEEK, POM) and composites</w:t>
            </w:r>
          </w:p>
        </w:tc>
        <w:tc>
          <w:tcPr>
            <w:tcW w:type="dxa" w:w="3216"/>
          </w:tcPr>
          <w:p>
            <w:r/>
            <w:r>
              <w:rPr>
                <w:sz w:val="18"/>
              </w:rPr>
              <w:t>Dry-running, corrosion, food and pharma use</w:t>
            </w:r>
          </w:p>
        </w:tc>
        <w:tc>
          <w:tcPr>
            <w:tcW w:type="dxa" w:w="3216"/>
          </w:tcPr>
          <w:p>
            <w:r/>
            <w:r>
              <w:rPr>
                <w:sz w:val="18"/>
              </w:rPr>
              <w:t>No lubrication needed; limited temperature and load</w:t>
            </w:r>
          </w:p>
        </w:tc>
      </w:tr>
      <w:tr>
        <w:tc>
          <w:tcPr>
            <w:tcW w:type="dxa" w:w="3216"/>
            <w:shd w:val="clear" w:color="auto" w:fill="F3EEDC"/>
          </w:tcPr>
          <w:p>
            <w:r/>
            <w:r>
              <w:rPr>
                <w:sz w:val="18"/>
              </w:rPr>
              <w:t>Rubber and polyurethane</w:t>
            </w:r>
          </w:p>
        </w:tc>
        <w:tc>
          <w:tcPr>
            <w:tcW w:type="dxa" w:w="3216"/>
            <w:shd w:val="clear" w:color="auto" w:fill="F3EEDC"/>
          </w:tcPr>
          <w:p>
            <w:r/>
            <w:r>
              <w:rPr>
                <w:sz w:val="18"/>
              </w:rPr>
              <w:t>Vehicle suspension, vibration isolation</w:t>
            </w:r>
          </w:p>
        </w:tc>
        <w:tc>
          <w:tcPr>
            <w:tcW w:type="dxa" w:w="3216"/>
            <w:shd w:val="clear" w:color="auto" w:fill="F3EEDC"/>
          </w:tcPr>
          <w:p>
            <w:r/>
            <w:r>
              <w:rPr>
                <w:sz w:val="18"/>
              </w:rPr>
              <w:t>Absorbs shock; not for high speed</w:t>
            </w:r>
          </w:p>
        </w:tc>
      </w:tr>
    </w:tbl>
    <w:p/>
    <w:p>
      <w:pPr>
        <w:pStyle w:val="Heading2"/>
      </w:pPr>
      <w:r>
        <w:rPr>
          <w:color w:val="B8860B"/>
        </w:rPr>
        <w:t>4.3 Alloy selection by application</w:t>
      </w:r>
    </w:p>
    <w:p>
      <w:r>
        <w:rPr>
          <w:b/>
          <w:sz w:val="18"/>
        </w:rPr>
        <w:t>Table 6: Alloy recommendations by bush application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F2A44"/>
          </w:tcPr>
          <w:p>
            <w:r/>
            <w:r>
              <w:rPr>
                <w:b/>
                <w:color w:val="FFFFFF"/>
                <w:sz w:val="18"/>
              </w:rPr>
              <w:t>Application</w:t>
            </w:r>
          </w:p>
        </w:tc>
        <w:tc>
          <w:tcPr>
            <w:tcW w:type="dxa" w:w="2412"/>
            <w:shd w:val="clear" w:color="auto" w:fill="1F2A44"/>
          </w:tcPr>
          <w:p>
            <w:r/>
            <w:r>
              <w:rPr>
                <w:b/>
                <w:color w:val="FFFFFF"/>
                <w:sz w:val="18"/>
              </w:rPr>
              <w:t>Load / speed</w:t>
            </w:r>
          </w:p>
        </w:tc>
        <w:tc>
          <w:tcPr>
            <w:tcW w:type="dxa" w:w="2412"/>
            <w:shd w:val="clear" w:color="auto" w:fill="1F2A44"/>
          </w:tcPr>
          <w:p>
            <w:r/>
            <w:r>
              <w:rPr>
                <w:b/>
                <w:color w:val="FFFFFF"/>
                <w:sz w:val="18"/>
              </w:rPr>
              <w:t>Preferred alloy</w:t>
            </w:r>
          </w:p>
        </w:tc>
        <w:tc>
          <w:tcPr>
            <w:tcW w:type="dxa" w:w="2412"/>
            <w:shd w:val="clear" w:color="auto" w:fill="1F2A44"/>
          </w:tcPr>
          <w:p>
            <w:r/>
            <w:r>
              <w:rPr>
                <w:b/>
                <w:color w:val="FFFFFF"/>
                <w:sz w:val="18"/>
              </w:rPr>
              <w:t>Alternative</w:t>
            </w:r>
          </w:p>
        </w:tc>
      </w:tr>
      <w:tr>
        <w:tc>
          <w:tcPr>
            <w:tcW w:type="dxa" w:w="2412"/>
          </w:tcPr>
          <w:p>
            <w:r/>
            <w:r>
              <w:rPr>
                <w:sz w:val="18"/>
              </w:rPr>
              <w:t>Electric motor, fan, pump</w:t>
            </w:r>
          </w:p>
        </w:tc>
        <w:tc>
          <w:tcPr>
            <w:tcW w:type="dxa" w:w="2412"/>
          </w:tcPr>
          <w:p>
            <w:r/>
            <w:r>
              <w:rPr>
                <w:sz w:val="18"/>
              </w:rPr>
              <w:t>Light to medium, high speed</w:t>
            </w:r>
          </w:p>
        </w:tc>
        <w:tc>
          <w:tcPr>
            <w:tcW w:type="dxa" w:w="2412"/>
          </w:tcPr>
          <w:p>
            <w:r/>
            <w:r>
              <w:rPr>
                <w:sz w:val="18"/>
              </w:rPr>
              <w:t>C93700 (80-10-10), SAE 660</w:t>
            </w:r>
          </w:p>
        </w:tc>
        <w:tc>
          <w:tcPr>
            <w:tcW w:type="dxa" w:w="2412"/>
          </w:tcPr>
          <w:p>
            <w:r/>
            <w:r>
              <w:rPr>
                <w:sz w:val="18"/>
              </w:rPr>
              <w:t>Sintered bronze</w:t>
            </w:r>
          </w:p>
        </w:tc>
      </w:tr>
      <w:tr>
        <w:tc>
          <w:tcPr>
            <w:tcW w:type="dxa" w:w="2412"/>
            <w:shd w:val="clear" w:color="auto" w:fill="F3EEDC"/>
          </w:tcPr>
          <w:p>
            <w:r/>
            <w:r>
              <w:rPr>
                <w:sz w:val="18"/>
              </w:rPr>
              <w:t>Tractor and agricultural implement</w:t>
            </w:r>
          </w:p>
        </w:tc>
        <w:tc>
          <w:tcPr>
            <w:tcW w:type="dxa" w:w="2412"/>
            <w:shd w:val="clear" w:color="auto" w:fill="F3EEDC"/>
          </w:tcPr>
          <w:p>
            <w:r/>
            <w:r>
              <w:rPr>
                <w:sz w:val="18"/>
              </w:rPr>
              <w:t>Medium, shock, dirty</w:t>
            </w:r>
          </w:p>
        </w:tc>
        <w:tc>
          <w:tcPr>
            <w:tcW w:type="dxa" w:w="2412"/>
            <w:shd w:val="clear" w:color="auto" w:fill="F3EEDC"/>
          </w:tcPr>
          <w:p>
            <w:r/>
            <w:r>
              <w:rPr>
                <w:sz w:val="18"/>
              </w:rPr>
              <w:t>SAE 660 C93200, phosphor bronze C90300</w:t>
            </w:r>
          </w:p>
        </w:tc>
        <w:tc>
          <w:tcPr>
            <w:tcW w:type="dxa" w:w="2412"/>
            <w:shd w:val="clear" w:color="auto" w:fill="F3EEDC"/>
          </w:tcPr>
          <w:p>
            <w:r/>
            <w:r>
              <w:rPr>
                <w:sz w:val="18"/>
              </w:rPr>
              <w:t>Bimetal</w:t>
            </w:r>
          </w:p>
        </w:tc>
      </w:tr>
      <w:tr>
        <w:tc>
          <w:tcPr>
            <w:tcW w:type="dxa" w:w="2412"/>
          </w:tcPr>
          <w:p>
            <w:r/>
            <w:r>
              <w:rPr>
                <w:sz w:val="18"/>
              </w:rPr>
              <w:t>Automobile suspension and gearbox</w:t>
            </w:r>
          </w:p>
        </w:tc>
        <w:tc>
          <w:tcPr>
            <w:tcW w:type="dxa" w:w="2412"/>
          </w:tcPr>
          <w:p>
            <w:r/>
            <w:r>
              <w:rPr>
                <w:sz w:val="18"/>
              </w:rPr>
              <w:t>Medium, oscillating</w:t>
            </w:r>
          </w:p>
        </w:tc>
        <w:tc>
          <w:tcPr>
            <w:tcW w:type="dxa" w:w="2412"/>
          </w:tcPr>
          <w:p>
            <w:r/>
            <w:r>
              <w:rPr>
                <w:sz w:val="18"/>
              </w:rPr>
              <w:t>C93200 / C52100 rolled</w:t>
            </w:r>
          </w:p>
        </w:tc>
        <w:tc>
          <w:tcPr>
            <w:tcW w:type="dxa" w:w="2412"/>
          </w:tcPr>
          <w:p>
            <w:r/>
            <w:r>
              <w:rPr>
                <w:sz w:val="18"/>
              </w:rPr>
              <w:t>Rubber, polymer composite</w:t>
            </w:r>
          </w:p>
        </w:tc>
      </w:tr>
      <w:tr>
        <w:tc>
          <w:tcPr>
            <w:tcW w:type="dxa" w:w="2412"/>
            <w:shd w:val="clear" w:color="auto" w:fill="F3EEDC"/>
          </w:tcPr>
          <w:p>
            <w:r/>
            <w:r>
              <w:rPr>
                <w:sz w:val="18"/>
              </w:rPr>
              <w:t>Machine tool, press</w:t>
            </w:r>
          </w:p>
        </w:tc>
        <w:tc>
          <w:tcPr>
            <w:tcW w:type="dxa" w:w="2412"/>
            <w:shd w:val="clear" w:color="auto" w:fill="F3EEDC"/>
          </w:tcPr>
          <w:p>
            <w:r/>
            <w:r>
              <w:rPr>
                <w:sz w:val="18"/>
              </w:rPr>
              <w:t>High load, slow</w:t>
            </w:r>
          </w:p>
        </w:tc>
        <w:tc>
          <w:tcPr>
            <w:tcW w:type="dxa" w:w="2412"/>
            <w:shd w:val="clear" w:color="auto" w:fill="F3EEDC"/>
          </w:tcPr>
          <w:p>
            <w:r/>
            <w:r>
              <w:rPr>
                <w:sz w:val="18"/>
              </w:rPr>
              <w:t>C90700, C86300</w:t>
            </w:r>
          </w:p>
        </w:tc>
        <w:tc>
          <w:tcPr>
            <w:tcW w:type="dxa" w:w="2412"/>
            <w:shd w:val="clear" w:color="auto" w:fill="F3EEDC"/>
          </w:tcPr>
          <w:p>
            <w:r/>
            <w:r>
              <w:rPr>
                <w:sz w:val="18"/>
              </w:rPr>
              <w:t>Aluminium bronze C95400</w:t>
            </w:r>
          </w:p>
        </w:tc>
      </w:tr>
      <w:tr>
        <w:tc>
          <w:tcPr>
            <w:tcW w:type="dxa" w:w="2412"/>
          </w:tcPr>
          <w:p>
            <w:r/>
            <w:r>
              <w:rPr>
                <w:sz w:val="18"/>
              </w:rPr>
              <w:t>Steel plant, rolling mill, crane</w:t>
            </w:r>
          </w:p>
        </w:tc>
        <w:tc>
          <w:tcPr>
            <w:tcW w:type="dxa" w:w="2412"/>
          </w:tcPr>
          <w:p>
            <w:r/>
            <w:r>
              <w:rPr>
                <w:sz w:val="18"/>
              </w:rPr>
              <w:t>Very high load, slow, hot</w:t>
            </w:r>
          </w:p>
        </w:tc>
        <w:tc>
          <w:tcPr>
            <w:tcW w:type="dxa" w:w="2412"/>
          </w:tcPr>
          <w:p>
            <w:r/>
            <w:r>
              <w:rPr>
                <w:sz w:val="18"/>
              </w:rPr>
              <w:t>C86300, graphite-plugged bronze</w:t>
            </w:r>
          </w:p>
        </w:tc>
        <w:tc>
          <w:tcPr>
            <w:tcW w:type="dxa" w:w="2412"/>
          </w:tcPr>
          <w:p>
            <w:r/>
            <w:r>
              <w:rPr>
                <w:sz w:val="18"/>
              </w:rPr>
              <w:t>C95400</w:t>
            </w:r>
          </w:p>
        </w:tc>
      </w:tr>
      <w:tr>
        <w:tc>
          <w:tcPr>
            <w:tcW w:type="dxa" w:w="2412"/>
            <w:shd w:val="clear" w:color="auto" w:fill="F3EEDC"/>
          </w:tcPr>
          <w:p>
            <w:r/>
            <w:r>
              <w:rPr>
                <w:sz w:val="18"/>
              </w:rPr>
              <w:t>Worm gear and screw nut</w:t>
            </w:r>
          </w:p>
        </w:tc>
        <w:tc>
          <w:tcPr>
            <w:tcW w:type="dxa" w:w="2412"/>
            <w:shd w:val="clear" w:color="auto" w:fill="F3EEDC"/>
          </w:tcPr>
          <w:p>
            <w:r/>
            <w:r>
              <w:rPr>
                <w:sz w:val="18"/>
              </w:rPr>
              <w:t>High load, sliding</w:t>
            </w:r>
          </w:p>
        </w:tc>
        <w:tc>
          <w:tcPr>
            <w:tcW w:type="dxa" w:w="2412"/>
            <w:shd w:val="clear" w:color="auto" w:fill="F3EEDC"/>
          </w:tcPr>
          <w:p>
            <w:r/>
            <w:r>
              <w:rPr>
                <w:sz w:val="18"/>
              </w:rPr>
              <w:t>C90700, phosphor bronze</w:t>
            </w:r>
          </w:p>
        </w:tc>
        <w:tc>
          <w:tcPr>
            <w:tcW w:type="dxa" w:w="2412"/>
            <w:shd w:val="clear" w:color="auto" w:fill="F3EEDC"/>
          </w:tcPr>
          <w:p>
            <w:r/>
            <w:r>
              <w:rPr>
                <w:sz w:val="18"/>
              </w:rPr>
              <w:t>Aluminium bronze</w:t>
            </w:r>
          </w:p>
        </w:tc>
      </w:tr>
      <w:tr>
        <w:tc>
          <w:tcPr>
            <w:tcW w:type="dxa" w:w="2412"/>
          </w:tcPr>
          <w:p>
            <w:r/>
            <w:r>
              <w:rPr>
                <w:sz w:val="18"/>
              </w:rPr>
              <w:t>Marine, pump in sea water</w:t>
            </w:r>
          </w:p>
        </w:tc>
        <w:tc>
          <w:tcPr>
            <w:tcW w:type="dxa" w:w="2412"/>
          </w:tcPr>
          <w:p>
            <w:r/>
            <w:r>
              <w:rPr>
                <w:sz w:val="18"/>
              </w:rPr>
              <w:t>Medium, corrosive</w:t>
            </w:r>
          </w:p>
        </w:tc>
        <w:tc>
          <w:tcPr>
            <w:tcW w:type="dxa" w:w="2412"/>
          </w:tcPr>
          <w:p>
            <w:r/>
            <w:r>
              <w:rPr>
                <w:sz w:val="18"/>
              </w:rPr>
              <w:t>C95800 NAB, C95400</w:t>
            </w:r>
          </w:p>
        </w:tc>
        <w:tc>
          <w:tcPr>
            <w:tcW w:type="dxa" w:w="2412"/>
          </w:tcPr>
          <w:p>
            <w:r/>
            <w:r>
              <w:rPr>
                <w:sz w:val="18"/>
              </w:rPr>
              <w:t>C90300</w:t>
            </w:r>
          </w:p>
        </w:tc>
      </w:tr>
      <w:tr>
        <w:tc>
          <w:tcPr>
            <w:tcW w:type="dxa" w:w="2412"/>
            <w:shd w:val="clear" w:color="auto" w:fill="F3EEDC"/>
          </w:tcPr>
          <w:p>
            <w:r/>
            <w:r>
              <w:rPr>
                <w:sz w:val="18"/>
              </w:rPr>
              <w:t>Earth-moving machine pins</w:t>
            </w:r>
          </w:p>
        </w:tc>
        <w:tc>
          <w:tcPr>
            <w:tcW w:type="dxa" w:w="2412"/>
            <w:shd w:val="clear" w:color="auto" w:fill="F3EEDC"/>
          </w:tcPr>
          <w:p>
            <w:r/>
            <w:r>
              <w:rPr>
                <w:sz w:val="18"/>
              </w:rPr>
              <w:t>High shock, low speed</w:t>
            </w:r>
          </w:p>
        </w:tc>
        <w:tc>
          <w:tcPr>
            <w:tcW w:type="dxa" w:w="2412"/>
            <w:shd w:val="clear" w:color="auto" w:fill="F3EEDC"/>
          </w:tcPr>
          <w:p>
            <w:r/>
            <w:r>
              <w:rPr>
                <w:sz w:val="18"/>
              </w:rPr>
              <w:t>C95400, steel-backed bimetal</w:t>
            </w:r>
          </w:p>
        </w:tc>
        <w:tc>
          <w:tcPr>
            <w:tcW w:type="dxa" w:w="2412"/>
            <w:shd w:val="clear" w:color="auto" w:fill="F3EEDC"/>
          </w:tcPr>
          <w:p>
            <w:r/>
            <w:r>
              <w:rPr>
                <w:sz w:val="18"/>
              </w:rPr>
              <w:t>C86300</w:t>
            </w:r>
          </w:p>
        </w:tc>
      </w:tr>
      <w:tr>
        <w:tc>
          <w:tcPr>
            <w:tcW w:type="dxa" w:w="2412"/>
          </w:tcPr>
          <w:p>
            <w:r/>
            <w:r>
              <w:rPr>
                <w:sz w:val="18"/>
              </w:rPr>
              <w:t>Railway axle box and wagon</w:t>
            </w:r>
          </w:p>
        </w:tc>
        <w:tc>
          <w:tcPr>
            <w:tcW w:type="dxa" w:w="2412"/>
          </w:tcPr>
          <w:p>
            <w:r/>
            <w:r>
              <w:rPr>
                <w:sz w:val="18"/>
              </w:rPr>
              <w:t>High load, shock</w:t>
            </w:r>
          </w:p>
        </w:tc>
        <w:tc>
          <w:tcPr>
            <w:tcW w:type="dxa" w:w="2412"/>
          </w:tcPr>
          <w:p>
            <w:r/>
            <w:r>
              <w:rPr>
                <w:sz w:val="18"/>
              </w:rPr>
              <w:t>Leaded bronze (LB 5), phosphor bronze</w:t>
            </w:r>
          </w:p>
        </w:tc>
        <w:tc>
          <w:tcPr>
            <w:tcW w:type="dxa" w:w="2412"/>
          </w:tcPr>
          <w:p>
            <w:r/>
            <w:r>
              <w:rPr>
                <w:sz w:val="18"/>
              </w:rPr>
              <w:t>Bimetal</w:t>
            </w:r>
          </w:p>
        </w:tc>
      </w:tr>
      <w:tr>
        <w:tc>
          <w:tcPr>
            <w:tcW w:type="dxa" w:w="2412"/>
            <w:shd w:val="clear" w:color="auto" w:fill="F3EEDC"/>
          </w:tcPr>
          <w:p>
            <w:r/>
            <w:r>
              <w:rPr>
                <w:sz w:val="18"/>
              </w:rPr>
              <w:t>Appliance and office equipment</w:t>
            </w:r>
          </w:p>
        </w:tc>
        <w:tc>
          <w:tcPr>
            <w:tcW w:type="dxa" w:w="2412"/>
            <w:shd w:val="clear" w:color="auto" w:fill="F3EEDC"/>
          </w:tcPr>
          <w:p>
            <w:r/>
            <w:r>
              <w:rPr>
                <w:sz w:val="18"/>
              </w:rPr>
              <w:t>Light, quiet</w:t>
            </w:r>
          </w:p>
        </w:tc>
        <w:tc>
          <w:tcPr>
            <w:tcW w:type="dxa" w:w="2412"/>
            <w:shd w:val="clear" w:color="auto" w:fill="F3EEDC"/>
          </w:tcPr>
          <w:p>
            <w:r/>
            <w:r>
              <w:rPr>
                <w:sz w:val="18"/>
              </w:rPr>
              <w:t>Sintered bronze</w:t>
            </w:r>
          </w:p>
        </w:tc>
        <w:tc>
          <w:tcPr>
            <w:tcW w:type="dxa" w:w="2412"/>
            <w:shd w:val="clear" w:color="auto" w:fill="F3EEDC"/>
          </w:tcPr>
          <w:p>
            <w:r/>
            <w:r>
              <w:rPr>
                <w:sz w:val="18"/>
              </w:rPr>
              <w:t>Polymer</w:t>
            </w:r>
          </w:p>
        </w:tc>
      </w:tr>
    </w:tbl>
    <w:p/>
    <w:p>
      <w:pPr>
        <w:jc w:val="center"/>
      </w:pPr>
      <w:r>
        <w:drawing>
          <wp:inline xmlns:a="http://schemas.openxmlformats.org/drawingml/2006/main" xmlns:pic="http://schemas.openxmlformats.org/drawingml/2006/picture">
            <wp:extent cx="5120640" cy="2579286"/>
            <wp:docPr id="4" name="Picture 4"/>
            <wp:cNvGraphicFramePr>
              <a:graphicFrameLocks noChangeAspect="1"/>
            </wp:cNvGraphicFramePr>
            <a:graphic>
              <a:graphicData uri="http://schemas.openxmlformats.org/drawingml/2006/picture">
                <pic:pic>
                  <pic:nvPicPr>
                    <pic:cNvPr id="0" name="b_hard.png"/>
                    <pic:cNvPicPr/>
                  </pic:nvPicPr>
                  <pic:blipFill>
                    <a:blip r:embed="rId12"/>
                    <a:stretch>
                      <a:fillRect/>
                    </a:stretch>
                  </pic:blipFill>
                  <pic:spPr>
                    <a:xfrm>
                      <a:off x="0" y="0"/>
                      <a:ext cx="5120640" cy="2579286"/>
                    </a:xfrm>
                    <a:prstGeom prst="rect"/>
                  </pic:spPr>
                </pic:pic>
              </a:graphicData>
            </a:graphic>
          </wp:inline>
        </w:drawing>
      </w:r>
    </w:p>
    <w:p>
      <w:pPr>
        <w:jc w:val="center"/>
      </w:pPr>
      <w:r>
        <w:rPr>
          <w:i/>
          <w:sz w:val="18"/>
        </w:rPr>
        <w:t>Figure 4: Typical hardness of selected bush alloys (approximate handbook values, verify with supplier data)</w:t>
      </w:r>
    </w:p>
    <w:p>
      <w:pPr>
        <w:jc w:val="center"/>
      </w:pPr>
      <w:r>
        <w:drawing>
          <wp:inline xmlns:a="http://schemas.openxmlformats.org/drawingml/2006/main" xmlns:pic="http://schemas.openxmlformats.org/drawingml/2006/picture">
            <wp:extent cx="5486400" cy="3031160"/>
            <wp:docPr id="5" name="Picture 5"/>
            <wp:cNvGraphicFramePr>
              <a:graphicFrameLocks noChangeAspect="1"/>
            </wp:cNvGraphicFramePr>
            <a:graphic>
              <a:graphicData uri="http://schemas.openxmlformats.org/drawingml/2006/picture">
                <pic:pic>
                  <pic:nvPicPr>
                    <pic:cNvPr id="0" name="b_alloyscore.png"/>
                    <pic:cNvPicPr/>
                  </pic:nvPicPr>
                  <pic:blipFill>
                    <a:blip r:embed="rId13"/>
                    <a:stretch>
                      <a:fillRect/>
                    </a:stretch>
                  </pic:blipFill>
                  <pic:spPr>
                    <a:xfrm>
                      <a:off x="0" y="0"/>
                      <a:ext cx="5486400" cy="3031160"/>
                    </a:xfrm>
                    <a:prstGeom prst="rect"/>
                  </pic:spPr>
                </pic:pic>
              </a:graphicData>
            </a:graphic>
          </wp:inline>
        </w:drawing>
      </w:r>
    </w:p>
    <w:p>
      <w:pPr>
        <w:jc w:val="center"/>
      </w:pPr>
      <w:r>
        <w:rPr>
          <w:i/>
          <w:sz w:val="18"/>
        </w:rPr>
        <w:t>Figure 5: Relative performance of five key bush alloys (intern judgement from standard references)</w:t>
      </w:r>
    </w:p>
    <w:p>
      <w:pPr>
        <w:pStyle w:val="Heading2"/>
      </w:pPr>
      <w:r>
        <w:rPr>
          <w:color w:val="B8860B"/>
        </w:rPr>
        <w:t>4.4 Key selection issues</w:t>
      </w:r>
    </w:p>
    <w:p>
      <w:pPr>
        <w:pStyle w:val="ListBullet"/>
      </w:pPr>
      <w:r>
        <w:rPr>
          <w:b/>
        </w:rPr>
        <w:t xml:space="preserve">Lead content: </w:t>
      </w:r>
      <w:r>
        <w:t>More lead means better anti-seizure and machining but lower strength. Choose the lowest lead that still protects the shaft.</w:t>
      </w:r>
    </w:p>
    <w:p>
      <w:pPr>
        <w:pStyle w:val="ListBullet"/>
      </w:pPr>
      <w:r>
        <w:rPr>
          <w:b/>
        </w:rPr>
        <w:t xml:space="preserve">Tin price: </w:t>
      </w:r>
      <w:r>
        <w:t>Tin is the costly element; swapping 10 percent tin bronze for 7 percent tin or for lead bronze changes cost noticeably.</w:t>
      </w:r>
    </w:p>
    <w:p>
      <w:pPr>
        <w:pStyle w:val="ListBullet"/>
      </w:pPr>
      <w:r>
        <w:rPr>
          <w:b/>
        </w:rPr>
        <w:t xml:space="preserve">Shaft hardness: </w:t>
      </w:r>
      <w:r>
        <w:t>Bronze bushes suit hardened shafts (about 300 HB or HRC 50 and above for heavy loads); softer shafts need softer bush alloys.</w:t>
      </w:r>
    </w:p>
    <w:p>
      <w:pPr>
        <w:pStyle w:val="ListBullet"/>
      </w:pPr>
      <w:r>
        <w:rPr>
          <w:b/>
        </w:rPr>
        <w:t xml:space="preserve">Casting route: </w:t>
      </w:r>
      <w:r>
        <w:t>Centrifugal and continuous casting give a denser structure than sand casting, and so better wear life.</w:t>
      </w:r>
    </w:p>
    <w:p>
      <w:pPr>
        <w:pStyle w:val="ListBullet"/>
      </w:pPr>
      <w:r>
        <w:rPr>
          <w:b/>
        </w:rPr>
        <w:t xml:space="preserve">Lubrication: </w:t>
      </w:r>
      <w:r>
        <w:t>Marginal or dry lubrication needs high-lead or graphite-plugged bronze; good oil film allows harder bronzes.</w:t>
      </w:r>
    </w:p>
    <w:p>
      <w:pPr>
        <w:pStyle w:val="ListBullet"/>
      </w:pPr>
      <w:r>
        <w:rPr>
          <w:b/>
        </w:rPr>
        <w:t xml:space="preserve">Scrap recycling: </w:t>
      </w:r>
      <w:r>
        <w:t>Mixed bronze scrap must be sorted and corrected to chemistry; spectrometer control is mandatory for bearing grades.</w:t>
      </w:r>
    </w:p>
    <w:p>
      <w:pPr>
        <w:jc w:val="center"/>
      </w:pPr>
      <w:r>
        <w:drawing>
          <wp:inline xmlns:a="http://schemas.openxmlformats.org/drawingml/2006/main" xmlns:pic="http://schemas.openxmlformats.org/drawingml/2006/picture">
            <wp:extent cx="4937760" cy="2375715"/>
            <wp:docPr id="6" name="Picture 6"/>
            <wp:cNvGraphicFramePr>
              <a:graphicFrameLocks noChangeAspect="1"/>
            </wp:cNvGraphicFramePr>
            <a:graphic>
              <a:graphicData uri="http://schemas.openxmlformats.org/drawingml/2006/picture">
                <pic:pic>
                  <pic:nvPicPr>
                    <pic:cNvPr id="0" name="b_cost.png"/>
                    <pic:cNvPicPr/>
                  </pic:nvPicPr>
                  <pic:blipFill>
                    <a:blip r:embed="rId14"/>
                    <a:stretch>
                      <a:fillRect/>
                    </a:stretch>
                  </pic:blipFill>
                  <pic:spPr>
                    <a:xfrm>
                      <a:off x="0" y="0"/>
                      <a:ext cx="4937760" cy="2375715"/>
                    </a:xfrm>
                    <a:prstGeom prst="rect"/>
                  </pic:spPr>
                </pic:pic>
              </a:graphicData>
            </a:graphic>
          </wp:inline>
        </w:drawing>
      </w:r>
    </w:p>
    <w:p>
      <w:pPr>
        <w:jc w:val="center"/>
      </w:pPr>
      <w:r>
        <w:rPr>
          <w:i/>
          <w:sz w:val="18"/>
        </w:rPr>
        <w:t>Figure 6: Indicative cost structure (illustrative)</w:t>
      </w:r>
    </w:p>
    <w:p>
      <w:pPr>
        <w:spacing w:after="120"/>
      </w:pPr>
      <w:r>
        <w:t>Tin is expensive and volatile, so alloy choice (for example LG2 vs PB2) has a large effect on cost. Copper and bronze scrap recycling at Bajaj Alloys gives a cost advantage.</w:t>
      </w:r>
    </w:p>
    <w:p>
      <w:pPr>
        <w:pStyle w:val="Heading1"/>
      </w:pPr>
      <w:r>
        <w:rPr>
          <w:color w:val="1F2A44"/>
        </w:rPr>
        <w:t>5. Manufacturing process</w:t>
      </w:r>
    </w:p>
    <w:p>
      <w:pPr>
        <w:spacing w:after="120"/>
      </w:pPr>
      <w:r>
        <w:t>Bronze bushes are mainly made by (a) centrifugal casting of hollow tubes, (b) continuous casting of rods and tubes, (c) sand/permanent mould casting for special sizes, (d) powder metallurgy for sintered bushes, and (e) rolling from strip for split bushes.</w:t>
      </w:r>
    </w:p>
    <w:p>
      <w:pPr>
        <w:jc w:val="center"/>
      </w:pPr>
      <w:r>
        <w:drawing>
          <wp:inline xmlns:a="http://schemas.openxmlformats.org/drawingml/2006/main" xmlns:pic="http://schemas.openxmlformats.org/drawingml/2006/picture">
            <wp:extent cx="5852160" cy="3991087"/>
            <wp:docPr id="7" name="Picture 7"/>
            <wp:cNvGraphicFramePr>
              <a:graphicFrameLocks noChangeAspect="1"/>
            </wp:cNvGraphicFramePr>
            <a:graphic>
              <a:graphicData uri="http://schemas.openxmlformats.org/drawingml/2006/picture">
                <pic:pic>
                  <pic:nvPicPr>
                    <pic:cNvPr id="0" name="b_flow.png"/>
                    <pic:cNvPicPr/>
                  </pic:nvPicPr>
                  <pic:blipFill>
                    <a:blip r:embed="rId15"/>
                    <a:stretch>
                      <a:fillRect/>
                    </a:stretch>
                  </pic:blipFill>
                  <pic:spPr>
                    <a:xfrm>
                      <a:off x="0" y="0"/>
                      <a:ext cx="5852160" cy="3991087"/>
                    </a:xfrm>
                    <a:prstGeom prst="rect"/>
                  </pic:spPr>
                </pic:pic>
              </a:graphicData>
            </a:graphic>
          </wp:inline>
        </w:drawing>
      </w:r>
    </w:p>
    <w:p>
      <w:pPr>
        <w:jc w:val="center"/>
      </w:pPr>
      <w:r>
        <w:rPr>
          <w:i/>
          <w:sz w:val="18"/>
        </w:rPr>
        <w:t>Figure 7: Process flow for a cast bronze bush</w:t>
      </w:r>
    </w:p>
    <w:p>
      <w:pPr>
        <w:pStyle w:val="ListBullet"/>
      </w:pPr>
      <w:r>
        <w:rPr>
          <w:b/>
        </w:rPr>
        <w:t xml:space="preserve">Step 1: Charge preparation: </w:t>
      </w:r>
      <w:r>
        <w:t>Virgin copper, tin, lead, zinc and clean scrap are weighed to the target alloy.</w:t>
      </w:r>
    </w:p>
    <w:p>
      <w:pPr>
        <w:pStyle w:val="ListBullet"/>
      </w:pPr>
      <w:r>
        <w:rPr>
          <w:b/>
        </w:rPr>
        <w:t xml:space="preserve">Step 2: Melting and refining: </w:t>
      </w:r>
      <w:r>
        <w:t>Induction/crucible furnace at 1,100 to 1,200 degrees C, flux and degassing, then sample to the spectrometer to adjust the composition.</w:t>
      </w:r>
    </w:p>
    <w:p>
      <w:pPr>
        <w:pStyle w:val="ListBullet"/>
      </w:pPr>
      <w:r>
        <w:rPr>
          <w:b/>
        </w:rPr>
        <w:t xml:space="preserve">Step 3: Casting: </w:t>
      </w:r>
      <w:r>
        <w:t>Centrifugal casting: metal is poured into a spinning mould (about 600 to 1,500 rpm); centrifugal force gives dense, defect-free walls. Continuous casting draws hollow rods through a graphite die.</w:t>
      </w:r>
    </w:p>
    <w:p>
      <w:pPr>
        <w:pStyle w:val="ListBullet"/>
      </w:pPr>
      <w:r>
        <w:rPr>
          <w:b/>
        </w:rPr>
        <w:t xml:space="preserve">Step 4: Machining: </w:t>
      </w:r>
      <w:r>
        <w:t>Tubes are cut, turned on CNC lathes to OD, bored to ID, faced to length, chamfered. Flanges, oil grooves and holes are added.</w:t>
      </w:r>
    </w:p>
    <w:p>
      <w:pPr>
        <w:pStyle w:val="ListBullet"/>
      </w:pPr>
      <w:r>
        <w:rPr>
          <w:b/>
        </w:rPr>
        <w:t xml:space="preserve">Step 5: Sintering route (alternative): </w:t>
      </w:r>
      <w:r>
        <w:t>Metal powder is compacted in a die, sintered at about 800 degrees C, sized, and vacuum-impregnated with oil.</w:t>
      </w:r>
    </w:p>
    <w:p>
      <w:pPr>
        <w:pStyle w:val="ListBullet"/>
      </w:pPr>
      <w:r>
        <w:rPr>
          <w:b/>
        </w:rPr>
        <w:t xml:space="preserve">Step 6: Inspection: </w:t>
      </w:r>
      <w:r>
        <w:t>Dimensional (go/no-go gauges), hardness, visual check for porosity, material certificates.</w:t>
      </w:r>
    </w:p>
    <w:p>
      <w:pPr>
        <w:pStyle w:val="ListBullet"/>
      </w:pPr>
      <w:r>
        <w:rPr>
          <w:b/>
        </w:rPr>
        <w:t xml:space="preserve">Step 7: Packing: </w:t>
      </w:r>
      <w:r>
        <w:t>Oiled, VCI paper, boxed by size and lot.</w:t>
      </w:r>
    </w:p>
    <w:p>
      <w:pPr>
        <w:jc w:val="center"/>
      </w:pPr>
      <w:r>
        <w:drawing>
          <wp:inline xmlns:a="http://schemas.openxmlformats.org/drawingml/2006/main" xmlns:pic="http://schemas.openxmlformats.org/drawingml/2006/picture">
            <wp:extent cx="5303520" cy="2930122"/>
            <wp:docPr id="8" name="Picture 8"/>
            <wp:cNvGraphicFramePr>
              <a:graphicFrameLocks noChangeAspect="1"/>
            </wp:cNvGraphicFramePr>
            <a:graphic>
              <a:graphicData uri="http://schemas.openxmlformats.org/drawingml/2006/picture">
                <pic:pic>
                  <pic:nvPicPr>
                    <pic:cNvPr id="0" name="b_route.png"/>
                    <pic:cNvPicPr/>
                  </pic:nvPicPr>
                  <pic:blipFill>
                    <a:blip r:embed="rId16"/>
                    <a:stretch>
                      <a:fillRect/>
                    </a:stretch>
                  </pic:blipFill>
                  <pic:spPr>
                    <a:xfrm>
                      <a:off x="0" y="0"/>
                      <a:ext cx="5303520" cy="2930122"/>
                    </a:xfrm>
                    <a:prstGeom prst="rect"/>
                  </pic:spPr>
                </pic:pic>
              </a:graphicData>
            </a:graphic>
          </wp:inline>
        </w:drawing>
      </w:r>
    </w:p>
    <w:p>
      <w:pPr>
        <w:jc w:val="center"/>
      </w:pPr>
      <w:r>
        <w:rPr>
          <w:i/>
          <w:sz w:val="18"/>
        </w:rPr>
        <w:t>Figure 8: Qualitative scoring of routes (intern judgement)</w:t>
      </w:r>
    </w:p>
    <w:p>
      <w:pPr>
        <w:pStyle w:val="Heading1"/>
      </w:pPr>
      <w:r>
        <w:rPr>
          <w:color w:val="1F2A44"/>
        </w:rPr>
        <w:t>6. Quality and standards</w:t>
      </w:r>
    </w:p>
    <w:p>
      <w:r>
        <w:rPr>
          <w:b/>
          <w:sz w:val="18"/>
        </w:rPr>
        <w:t>Table 7: Standards for bushes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
              <w:rPr>
                <w:b/>
                <w:color w:val="FFFFFF"/>
                <w:sz w:val="18"/>
              </w:rPr>
              <w:t>Standard</w:t>
            </w:r>
          </w:p>
        </w:tc>
        <w:tc>
          <w:tcPr>
            <w:tcW w:type="dxa" w:w="4824"/>
            <w:shd w:val="clear" w:color="auto" w:fill="1F2A44"/>
          </w:tcPr>
          <w:p>
            <w:r/>
            <w:r>
              <w:rPr>
                <w:b/>
                <w:color w:val="FFFFFF"/>
                <w:sz w:val="18"/>
              </w:rPr>
              <w:t>Scope</w:t>
            </w:r>
          </w:p>
        </w:tc>
      </w:tr>
      <w:tr>
        <w:tc>
          <w:tcPr>
            <w:tcW w:type="dxa" w:w="4824"/>
          </w:tcPr>
          <w:p>
            <w:r/>
            <w:r>
              <w:rPr>
                <w:sz w:val="18"/>
              </w:rPr>
              <w:t>IS 318</w:t>
            </w:r>
          </w:p>
        </w:tc>
        <w:tc>
          <w:tcPr>
            <w:tcW w:type="dxa" w:w="4824"/>
          </w:tcPr>
          <w:p>
            <w:r/>
            <w:r>
              <w:rPr>
                <w:sz w:val="18"/>
              </w:rPr>
              <w:t>Leaded tin bronze ingots and castings</w:t>
            </w:r>
          </w:p>
        </w:tc>
      </w:tr>
      <w:tr>
        <w:tc>
          <w:tcPr>
            <w:tcW w:type="dxa" w:w="4824"/>
            <w:shd w:val="clear" w:color="auto" w:fill="F3EEDC"/>
          </w:tcPr>
          <w:p>
            <w:r/>
            <w:r>
              <w:rPr>
                <w:sz w:val="18"/>
              </w:rPr>
              <w:t>IS 28</w:t>
            </w:r>
          </w:p>
        </w:tc>
        <w:tc>
          <w:tcPr>
            <w:tcW w:type="dxa" w:w="4824"/>
            <w:shd w:val="clear" w:color="auto" w:fill="F3EEDC"/>
          </w:tcPr>
          <w:p>
            <w:r/>
            <w:r>
              <w:rPr>
                <w:sz w:val="18"/>
              </w:rPr>
              <w:t>Phosphor bronze ingots and castings</w:t>
            </w:r>
          </w:p>
        </w:tc>
      </w:tr>
      <w:tr>
        <w:tc>
          <w:tcPr>
            <w:tcW w:type="dxa" w:w="4824"/>
          </w:tcPr>
          <w:p>
            <w:r/>
            <w:r>
              <w:rPr>
                <w:sz w:val="18"/>
              </w:rPr>
              <w:t>IS 7598 / IS 11620</w:t>
            </w:r>
          </w:p>
        </w:tc>
        <w:tc>
          <w:tcPr>
            <w:tcW w:type="dxa" w:w="4824"/>
          </w:tcPr>
          <w:p>
            <w:r/>
            <w:r>
              <w:rPr>
                <w:sz w:val="18"/>
              </w:rPr>
              <w:t>Plain bearing related standards</w:t>
            </w:r>
          </w:p>
        </w:tc>
      </w:tr>
      <w:tr>
        <w:tc>
          <w:tcPr>
            <w:tcW w:type="dxa" w:w="4824"/>
            <w:shd w:val="clear" w:color="auto" w:fill="F3EEDC"/>
          </w:tcPr>
          <w:p>
            <w:r/>
            <w:r>
              <w:rPr>
                <w:sz w:val="18"/>
              </w:rPr>
              <w:t>IS 4378</w:t>
            </w:r>
          </w:p>
        </w:tc>
        <w:tc>
          <w:tcPr>
            <w:tcW w:type="dxa" w:w="4824"/>
            <w:shd w:val="clear" w:color="auto" w:fill="F3EEDC"/>
          </w:tcPr>
          <w:p>
            <w:r/>
            <w:r>
              <w:rPr>
                <w:sz w:val="18"/>
              </w:rPr>
              <w:t>Bearing bush related guides</w:t>
            </w:r>
          </w:p>
        </w:tc>
      </w:tr>
      <w:tr>
        <w:tc>
          <w:tcPr>
            <w:tcW w:type="dxa" w:w="4824"/>
          </w:tcPr>
          <w:p>
            <w:r/>
            <w:r>
              <w:rPr>
                <w:sz w:val="18"/>
              </w:rPr>
              <w:t>ASTM B505 / SAE 660</w:t>
            </w:r>
          </w:p>
        </w:tc>
        <w:tc>
          <w:tcPr>
            <w:tcW w:type="dxa" w:w="4824"/>
          </w:tcPr>
          <w:p>
            <w:r/>
            <w:r>
              <w:rPr>
                <w:sz w:val="18"/>
              </w:rPr>
              <w:t>Continuous cast bronze</w:t>
            </w:r>
          </w:p>
        </w:tc>
      </w:tr>
      <w:tr>
        <w:tc>
          <w:tcPr>
            <w:tcW w:type="dxa" w:w="4824"/>
            <w:shd w:val="clear" w:color="auto" w:fill="F3EEDC"/>
          </w:tcPr>
          <w:p>
            <w:r/>
            <w:r>
              <w:rPr>
                <w:sz w:val="18"/>
              </w:rPr>
              <w:t>DIN 1494 / ISO 3547</w:t>
            </w:r>
          </w:p>
        </w:tc>
        <w:tc>
          <w:tcPr>
            <w:tcW w:type="dxa" w:w="4824"/>
            <w:shd w:val="clear" w:color="auto" w:fill="F3EEDC"/>
          </w:tcPr>
          <w:p>
            <w:r/>
            <w:r>
              <w:rPr>
                <w:sz w:val="18"/>
              </w:rPr>
              <w:t>Dimensions of plain bearing bushes</w:t>
            </w:r>
          </w:p>
        </w:tc>
      </w:tr>
      <w:tr>
        <w:tc>
          <w:tcPr>
            <w:tcW w:type="dxa" w:w="4824"/>
          </w:tcPr>
          <w:p>
            <w:r/>
            <w:r>
              <w:rPr>
                <w:sz w:val="18"/>
              </w:rPr>
              <w:t>ISO 9001 / IATF 16949</w:t>
            </w:r>
          </w:p>
        </w:tc>
        <w:tc>
          <w:tcPr>
            <w:tcW w:type="dxa" w:w="4824"/>
          </w:tcPr>
          <w:p>
            <w:r/>
            <w:r>
              <w:rPr>
                <w:sz w:val="18"/>
              </w:rPr>
              <w:t>Quality systems, automotive customers need IATF</w:t>
            </w:r>
          </w:p>
        </w:tc>
      </w:tr>
    </w:tbl>
    <w:p/>
    <w:p>
      <w:pPr>
        <w:spacing w:after="120"/>
      </w:pPr>
      <w:r>
        <w:t>Typical customer demands: chemical composition certificate, hardness (HB 60 to 120), dimensional tolerance (H7 bore, interference-fit OD), surface roughness, PPAP for automotive customers.</w:t>
      </w:r>
    </w:p>
    <w:p>
      <w:pPr>
        <w:pStyle w:val="Heading1"/>
      </w:pPr>
      <w:r>
        <w:rPr>
          <w:color w:val="1F2A44"/>
        </w:rPr>
        <w:t>7. Market size and growth</w:t>
      </w:r>
    </w:p>
    <w:p>
      <w:pPr>
        <w:pStyle w:val="Heading2"/>
      </w:pPr>
      <w:r>
        <w:rPr>
          <w:color w:val="B8860B"/>
        </w:rPr>
        <w:t>7.1 Global and Indian proxies</w:t>
      </w:r>
    </w:p>
    <w:p>
      <w:pPr>
        <w:jc w:val="center"/>
      </w:pPr>
      <w:r>
        <w:drawing>
          <wp:inline xmlns:a="http://schemas.openxmlformats.org/drawingml/2006/main" xmlns:pic="http://schemas.openxmlformats.org/drawingml/2006/picture">
            <wp:extent cx="5486400" cy="3095494"/>
            <wp:docPr id="9" name="Picture 9"/>
            <wp:cNvGraphicFramePr>
              <a:graphicFrameLocks noChangeAspect="1"/>
            </wp:cNvGraphicFramePr>
            <a:graphic>
              <a:graphicData uri="http://schemas.openxmlformats.org/drawingml/2006/picture">
                <pic:pic>
                  <pic:nvPicPr>
                    <pic:cNvPr id="0" name="b_global.png"/>
                    <pic:cNvPicPr/>
                  </pic:nvPicPr>
                  <pic:blipFill>
                    <a:blip r:embed="rId17"/>
                    <a:stretch>
                      <a:fillRect/>
                    </a:stretch>
                  </pic:blipFill>
                  <pic:spPr>
                    <a:xfrm>
                      <a:off x="0" y="0"/>
                      <a:ext cx="5486400" cy="3095494"/>
                    </a:xfrm>
                    <a:prstGeom prst="rect"/>
                  </pic:spPr>
                </pic:pic>
              </a:graphicData>
            </a:graphic>
          </wp:inline>
        </w:drawing>
      </w:r>
    </w:p>
    <w:p>
      <w:pPr>
        <w:jc w:val="center"/>
      </w:pPr>
      <w:r>
        <w:rPr>
          <w:i/>
          <w:sz w:val="18"/>
        </w:rPr>
        <w:t>Figure 9: Global automotive bushing market</w:t>
      </w:r>
    </w:p>
    <w:p>
      <w:pPr>
        <w:jc w:val="center"/>
      </w:pPr>
      <w:r>
        <w:drawing>
          <wp:inline xmlns:a="http://schemas.openxmlformats.org/drawingml/2006/main" xmlns:pic="http://schemas.openxmlformats.org/drawingml/2006/picture">
            <wp:extent cx="5486400" cy="3095494"/>
            <wp:docPr id="10" name="Picture 10"/>
            <wp:cNvGraphicFramePr>
              <a:graphicFrameLocks noChangeAspect="1"/>
            </wp:cNvGraphicFramePr>
            <a:graphic>
              <a:graphicData uri="http://schemas.openxmlformats.org/drawingml/2006/picture">
                <pic:pic>
                  <pic:nvPicPr>
                    <pic:cNvPr id="0" name="b_india.png"/>
                    <pic:cNvPicPr/>
                  </pic:nvPicPr>
                  <pic:blipFill>
                    <a:blip r:embed="rId18"/>
                    <a:stretch>
                      <a:fillRect/>
                    </a:stretch>
                  </pic:blipFill>
                  <pic:spPr>
                    <a:xfrm>
                      <a:off x="0" y="0"/>
                      <a:ext cx="5486400" cy="3095494"/>
                    </a:xfrm>
                    <a:prstGeom prst="rect"/>
                  </pic:spPr>
                </pic:pic>
              </a:graphicData>
            </a:graphic>
          </wp:inline>
        </w:drawing>
      </w:r>
    </w:p>
    <w:p>
      <w:pPr>
        <w:jc w:val="center"/>
      </w:pPr>
      <w:r>
        <w:rPr>
          <w:i/>
          <w:sz w:val="18"/>
        </w:rPr>
        <w:t>Figure 10: India automotive bearing market, a proxy for bush demand</w:t>
      </w:r>
    </w:p>
    <w:p>
      <w:r>
        <w:rPr>
          <w:b/>
          <w:sz w:val="18"/>
        </w:rPr>
        <w:t>Table 8: Published figures used as proxies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Indicator</w:t>
            </w:r>
          </w:p>
        </w:tc>
        <w:tc>
          <w:tcPr>
            <w:tcW w:type="dxa" w:w="3216"/>
            <w:shd w:val="clear" w:color="auto" w:fill="1F2A44"/>
          </w:tcPr>
          <w:p>
            <w:r/>
            <w:r>
              <w:rPr>
                <w:b/>
                <w:color w:val="FFFFFF"/>
                <w:sz w:val="18"/>
              </w:rPr>
              <w:t>Value</w:t>
            </w:r>
          </w:p>
        </w:tc>
        <w:tc>
          <w:tcPr>
            <w:tcW w:type="dxa" w:w="3216"/>
            <w:shd w:val="clear" w:color="auto" w:fill="1F2A44"/>
          </w:tcPr>
          <w:p>
            <w:r/>
            <w:r>
              <w:rPr>
                <w:b/>
                <w:color w:val="FFFFFF"/>
                <w:sz w:val="18"/>
              </w:rPr>
              <w:t>Source</w:t>
            </w:r>
          </w:p>
        </w:tc>
      </w:tr>
      <w:tr>
        <w:tc>
          <w:tcPr>
            <w:tcW w:type="dxa" w:w="3216"/>
          </w:tcPr>
          <w:p>
            <w:r/>
            <w:r>
              <w:rPr>
                <w:sz w:val="18"/>
              </w:rPr>
              <w:t>Global automotive bushing 2025</w:t>
            </w:r>
          </w:p>
        </w:tc>
        <w:tc>
          <w:tcPr>
            <w:tcW w:type="dxa" w:w="3216"/>
          </w:tcPr>
          <w:p>
            <w:r/>
            <w:r>
              <w:rPr>
                <w:sz w:val="18"/>
              </w:rPr>
              <w:t>USD 172.48 bn</w:t>
            </w:r>
          </w:p>
        </w:tc>
        <w:tc>
          <w:tcPr>
            <w:tcW w:type="dxa" w:w="3216"/>
          </w:tcPr>
          <w:p>
            <w:r/>
            <w:r>
              <w:rPr>
                <w:sz w:val="18"/>
              </w:rPr>
              <w:t>Mordor Intelligence</w:t>
            </w:r>
          </w:p>
        </w:tc>
      </w:tr>
      <w:tr>
        <w:tc>
          <w:tcPr>
            <w:tcW w:type="dxa" w:w="3216"/>
            <w:shd w:val="clear" w:color="auto" w:fill="F3EEDC"/>
          </w:tcPr>
          <w:p>
            <w:r/>
            <w:r>
              <w:rPr>
                <w:sz w:val="18"/>
              </w:rPr>
              <w:t>Global 2030</w:t>
            </w:r>
          </w:p>
        </w:tc>
        <w:tc>
          <w:tcPr>
            <w:tcW w:type="dxa" w:w="3216"/>
            <w:shd w:val="clear" w:color="auto" w:fill="F3EEDC"/>
          </w:tcPr>
          <w:p>
            <w:r/>
            <w:r>
              <w:rPr>
                <w:sz w:val="18"/>
              </w:rPr>
              <w:t>USD 218.35 bn (CAGR 4.83%)</w:t>
            </w:r>
          </w:p>
        </w:tc>
        <w:tc>
          <w:tcPr>
            <w:tcW w:type="dxa" w:w="3216"/>
            <w:shd w:val="clear" w:color="auto" w:fill="F3EEDC"/>
          </w:tcPr>
          <w:p>
            <w:r/>
            <w:r>
              <w:rPr>
                <w:sz w:val="18"/>
              </w:rPr>
              <w:t>Mordor Intelligence</w:t>
            </w:r>
          </w:p>
        </w:tc>
      </w:tr>
      <w:tr>
        <w:tc>
          <w:tcPr>
            <w:tcW w:type="dxa" w:w="3216"/>
          </w:tcPr>
          <w:p>
            <w:r/>
            <w:r>
              <w:rPr>
                <w:sz w:val="18"/>
              </w:rPr>
              <w:t>India automotive bearing 2024</w:t>
            </w:r>
          </w:p>
        </w:tc>
        <w:tc>
          <w:tcPr>
            <w:tcW w:type="dxa" w:w="3216"/>
          </w:tcPr>
          <w:p>
            <w:r/>
            <w:r>
              <w:rPr>
                <w:sz w:val="18"/>
              </w:rPr>
              <w:t>USD 503.3 m</w:t>
            </w:r>
          </w:p>
        </w:tc>
        <w:tc>
          <w:tcPr>
            <w:tcW w:type="dxa" w:w="3216"/>
          </w:tcPr>
          <w:p>
            <w:r/>
            <w:r>
              <w:rPr>
                <w:sz w:val="18"/>
              </w:rPr>
              <w:t>IMARC</w:t>
            </w:r>
          </w:p>
        </w:tc>
      </w:tr>
      <w:tr>
        <w:tc>
          <w:tcPr>
            <w:tcW w:type="dxa" w:w="3216"/>
            <w:shd w:val="clear" w:color="auto" w:fill="F3EEDC"/>
          </w:tcPr>
          <w:p>
            <w:r/>
            <w:r>
              <w:rPr>
                <w:sz w:val="18"/>
              </w:rPr>
              <w:t>India automotive bearing 2033</w:t>
            </w:r>
          </w:p>
        </w:tc>
        <w:tc>
          <w:tcPr>
            <w:tcW w:type="dxa" w:w="3216"/>
            <w:shd w:val="clear" w:color="auto" w:fill="F3EEDC"/>
          </w:tcPr>
          <w:p>
            <w:r/>
            <w:r>
              <w:rPr>
                <w:sz w:val="18"/>
              </w:rPr>
              <w:t>USD 725.5 m (CAGR 4.15%)</w:t>
            </w:r>
          </w:p>
        </w:tc>
        <w:tc>
          <w:tcPr>
            <w:tcW w:type="dxa" w:w="3216"/>
            <w:shd w:val="clear" w:color="auto" w:fill="F3EEDC"/>
          </w:tcPr>
          <w:p>
            <w:r/>
            <w:r>
              <w:rPr>
                <w:sz w:val="18"/>
              </w:rPr>
              <w:t>IMARC</w:t>
            </w:r>
          </w:p>
        </w:tc>
      </w:tr>
      <w:tr>
        <w:tc>
          <w:tcPr>
            <w:tcW w:type="dxa" w:w="3216"/>
          </w:tcPr>
          <w:p>
            <w:r/>
            <w:r>
              <w:rPr>
                <w:sz w:val="18"/>
              </w:rPr>
              <w:t>India bearings overall growth</w:t>
            </w:r>
          </w:p>
        </w:tc>
        <w:tc>
          <w:tcPr>
            <w:tcW w:type="dxa" w:w="3216"/>
          </w:tcPr>
          <w:p>
            <w:r/>
            <w:r>
              <w:rPr>
                <w:sz w:val="18"/>
              </w:rPr>
              <w:t>3.2% (Technavio 2024 to 2029) to 9.7% (IMARC 2026 to 2034)</w:t>
            </w:r>
          </w:p>
        </w:tc>
        <w:tc>
          <w:tcPr>
            <w:tcW w:type="dxa" w:w="3216"/>
          </w:tcPr>
          <w:p>
            <w:r/>
            <w:r>
              <w:rPr>
                <w:sz w:val="18"/>
              </w:rPr>
              <w:t>Technavio, IMARC</w:t>
            </w:r>
          </w:p>
        </w:tc>
      </w:tr>
      <w:tr>
        <w:tc>
          <w:tcPr>
            <w:tcW w:type="dxa" w:w="3216"/>
            <w:shd w:val="clear" w:color="auto" w:fill="F3EEDC"/>
          </w:tcPr>
          <w:p>
            <w:r/>
            <w:r>
              <w:rPr>
                <w:sz w:val="18"/>
              </w:rPr>
              <w:t>India bearing aftermarket growth</w:t>
            </w:r>
          </w:p>
        </w:tc>
        <w:tc>
          <w:tcPr>
            <w:tcW w:type="dxa" w:w="3216"/>
            <w:shd w:val="clear" w:color="auto" w:fill="F3EEDC"/>
          </w:tcPr>
          <w:p>
            <w:r/>
            <w:r>
              <w:rPr>
                <w:sz w:val="18"/>
              </w:rPr>
              <w:t>About 14.7% a year</w:t>
            </w:r>
          </w:p>
        </w:tc>
        <w:tc>
          <w:tcPr>
            <w:tcW w:type="dxa" w:w="3216"/>
            <w:shd w:val="clear" w:color="auto" w:fill="F3EEDC"/>
          </w:tcPr>
          <w:p>
            <w:r/>
            <w:r>
              <w:rPr>
                <w:sz w:val="18"/>
              </w:rPr>
              <w:t>Astute Analytica</w:t>
            </w:r>
          </w:p>
        </w:tc>
      </w:tr>
    </w:tbl>
    <w:p/>
    <w:p>
      <w:pPr>
        <w:spacing w:after="120"/>
      </w:pPr>
      <w:r>
        <w:t>Important: the global figure covers all automotive bushings (including rubber and polymer, and complete assemblies), so it is far bigger than the metal-bush segment a foundry serves. Treat it as direction of growth, not as Bajaj Alloys' addressable market. A bottom-up estimate (vehicles produced x bushes per vehicle x average price) should be built next.</w:t>
      </w:r>
    </w:p>
    <w:p>
      <w:pPr>
        <w:pStyle w:val="Heading2"/>
      </w:pPr>
      <w:r>
        <w:rPr>
          <w:color w:val="B8860B"/>
        </w:rPr>
        <w:t>7.2 Bottom-up illustration</w:t>
      </w:r>
    </w:p>
    <w:p>
      <w:r>
        <w:rPr>
          <w:b/>
          <w:sz w:val="18"/>
        </w:rPr>
        <w:t>Table 9: Method for building an addressable market (inputs to be validated)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
              <w:rPr>
                <w:b/>
                <w:color w:val="FFFFFF"/>
                <w:sz w:val="18"/>
              </w:rPr>
              <w:t>Item</w:t>
            </w:r>
          </w:p>
        </w:tc>
        <w:tc>
          <w:tcPr>
            <w:tcW w:type="dxa" w:w="4824"/>
            <w:shd w:val="clear" w:color="auto" w:fill="1F2A44"/>
          </w:tcPr>
          <w:p>
            <w:r/>
            <w:r>
              <w:rPr>
                <w:b/>
                <w:color w:val="FFFFFF"/>
                <w:sz w:val="18"/>
              </w:rPr>
              <w:t>Illustrative value</w:t>
            </w:r>
          </w:p>
        </w:tc>
      </w:tr>
      <w:tr>
        <w:tc>
          <w:tcPr>
            <w:tcW w:type="dxa" w:w="4824"/>
          </w:tcPr>
          <w:p>
            <w:r/>
            <w:r>
              <w:rPr>
                <w:sz w:val="18"/>
              </w:rPr>
              <w:t>India vehicle production (all categories, approx.)</w:t>
            </w:r>
          </w:p>
        </w:tc>
        <w:tc>
          <w:tcPr>
            <w:tcW w:type="dxa" w:w="4824"/>
          </w:tcPr>
          <w:p>
            <w:r/>
            <w:r>
              <w:rPr>
                <w:sz w:val="18"/>
              </w:rPr>
              <w:t>About 28 to 30 million a year</w:t>
            </w:r>
          </w:p>
        </w:tc>
      </w:tr>
      <w:tr>
        <w:tc>
          <w:tcPr>
            <w:tcW w:type="dxa" w:w="4824"/>
            <w:shd w:val="clear" w:color="auto" w:fill="F3EEDC"/>
          </w:tcPr>
          <w:p>
            <w:r/>
            <w:r>
              <w:rPr>
                <w:sz w:val="18"/>
              </w:rPr>
              <w:t>Metal / bronze bushes per vehicle (average, varies hugely)</w:t>
            </w:r>
          </w:p>
        </w:tc>
        <w:tc>
          <w:tcPr>
            <w:tcW w:type="dxa" w:w="4824"/>
            <w:shd w:val="clear" w:color="auto" w:fill="F3EEDC"/>
          </w:tcPr>
          <w:p>
            <w:r/>
            <w:r>
              <w:rPr>
                <w:sz w:val="18"/>
              </w:rPr>
              <w:t>5 to 20 pieces</w:t>
            </w:r>
          </w:p>
        </w:tc>
      </w:tr>
      <w:tr>
        <w:tc>
          <w:tcPr>
            <w:tcW w:type="dxa" w:w="4824"/>
          </w:tcPr>
          <w:p>
            <w:r/>
            <w:r>
              <w:rPr>
                <w:sz w:val="18"/>
              </w:rPr>
              <w:t>Average price per bush</w:t>
            </w:r>
          </w:p>
        </w:tc>
        <w:tc>
          <w:tcPr>
            <w:tcW w:type="dxa" w:w="4824"/>
          </w:tcPr>
          <w:p>
            <w:r/>
            <w:r>
              <w:rPr>
                <w:sz w:val="18"/>
              </w:rPr>
              <w:t>INR 20 to 150</w:t>
            </w:r>
          </w:p>
        </w:tc>
      </w:tr>
      <w:tr>
        <w:tc>
          <w:tcPr>
            <w:tcW w:type="dxa" w:w="4824"/>
            <w:shd w:val="clear" w:color="auto" w:fill="F3EEDC"/>
          </w:tcPr>
          <w:p>
            <w:r/>
            <w:r>
              <w:rPr>
                <w:sz w:val="18"/>
              </w:rPr>
              <w:t>Tractors, pumps, motors, industry</w:t>
            </w:r>
          </w:p>
        </w:tc>
        <w:tc>
          <w:tcPr>
            <w:tcW w:type="dxa" w:w="4824"/>
            <w:shd w:val="clear" w:color="auto" w:fill="F3EEDC"/>
          </w:tcPr>
          <w:p>
            <w:r/>
            <w:r>
              <w:rPr>
                <w:sz w:val="18"/>
              </w:rPr>
              <w:t>Additional millions of pieces a year</w:t>
            </w:r>
          </w:p>
        </w:tc>
      </w:tr>
    </w:tbl>
    <w:p/>
    <w:p>
      <w:pPr>
        <w:pStyle w:val="Heading2"/>
      </w:pPr>
      <w:r>
        <w:rPr>
          <w:color w:val="B8860B"/>
        </w:rPr>
        <w:t>7.3 Demand drivers</w:t>
      </w:r>
    </w:p>
    <w:p>
      <w:pPr>
        <w:pStyle w:val="ListBullet"/>
      </w:pPr>
      <w:r>
        <w:t>Rising vehicle and tractor production; EV shift reduces engine bushes but increases suspension and e-axle bushes.</w:t>
      </w:r>
    </w:p>
    <w:p>
      <w:pPr>
        <w:pStyle w:val="ListBullet"/>
      </w:pPr>
      <w:r>
        <w:t>Pumps, motors and capex in water, steel, cement, power.</w:t>
      </w:r>
    </w:p>
    <w:p>
      <w:pPr>
        <w:pStyle w:val="ListBullet"/>
      </w:pPr>
      <w:r>
        <w:t>Maintenance and replacement (aftermarket) growth.</w:t>
      </w:r>
    </w:p>
    <w:p>
      <w:pPr>
        <w:pStyle w:val="ListBullet"/>
      </w:pPr>
      <w:r>
        <w:t>Import substitution and China+1 for machine components.</w:t>
      </w:r>
    </w:p>
    <w:p>
      <w:pPr>
        <w:pStyle w:val="ListBullet"/>
      </w:pPr>
      <w:r>
        <w:t>Railways and defence indigenisation.</w:t>
      </w:r>
    </w:p>
    <w:p>
      <w:pPr>
        <w:jc w:val="center"/>
      </w:pPr>
      <w:r>
        <w:drawing>
          <wp:inline xmlns:a="http://schemas.openxmlformats.org/drawingml/2006/main" xmlns:pic="http://schemas.openxmlformats.org/drawingml/2006/picture">
            <wp:extent cx="4572000" cy="3036013"/>
            <wp:docPr id="11" name="Picture 11"/>
            <wp:cNvGraphicFramePr>
              <a:graphicFrameLocks noChangeAspect="1"/>
            </wp:cNvGraphicFramePr>
            <a:graphic>
              <a:graphicData uri="http://schemas.openxmlformats.org/drawingml/2006/picture">
                <pic:pic>
                  <pic:nvPicPr>
                    <pic:cNvPr id="0" name="b_end.png"/>
                    <pic:cNvPicPr/>
                  </pic:nvPicPr>
                  <pic:blipFill>
                    <a:blip r:embed="rId19"/>
                    <a:stretch>
                      <a:fillRect/>
                    </a:stretch>
                  </pic:blipFill>
                  <pic:spPr>
                    <a:xfrm>
                      <a:off x="0" y="0"/>
                      <a:ext cx="4572000" cy="3036013"/>
                    </a:xfrm>
                    <a:prstGeom prst="rect"/>
                  </pic:spPr>
                </pic:pic>
              </a:graphicData>
            </a:graphic>
          </wp:inline>
        </w:drawing>
      </w:r>
    </w:p>
    <w:p>
      <w:pPr>
        <w:jc w:val="center"/>
      </w:pPr>
      <w:r>
        <w:rPr>
          <w:i/>
          <w:sz w:val="18"/>
        </w:rPr>
        <w:t>Figure 11: Indicative end-use split (intern estimate)</w:t>
      </w:r>
    </w:p>
    <w:p>
      <w:pPr>
        <w:pStyle w:val="Heading2"/>
      </w:pPr>
      <w:r>
        <w:rPr>
          <w:color w:val="B8860B"/>
        </w:rPr>
        <w:t>7.4 Regional clusters</w:t>
      </w:r>
    </w:p>
    <w:p>
      <w:pPr>
        <w:pStyle w:val="ListBullet"/>
      </w:pPr>
      <w:r>
        <w:t>Ludhiana, Jalandhar (Punjab): auto components</w:t>
      </w:r>
    </w:p>
    <w:p>
      <w:pPr>
        <w:pStyle w:val="ListBullet"/>
      </w:pPr>
      <w:r>
        <w:t>Rajkot, Ahmedabad (Gujarat): engineering castings, bearings</w:t>
      </w:r>
    </w:p>
    <w:p>
      <w:pPr>
        <w:pStyle w:val="ListBullet"/>
      </w:pPr>
      <w:r>
        <w:t>Pune, Chennai, Coimbatore: OEM and pumps</w:t>
      </w:r>
    </w:p>
    <w:p>
      <w:pPr>
        <w:pStyle w:val="ListBullet"/>
      </w:pPr>
      <w:r>
        <w:t>Gurugram, Faridabad, Bhiwani: NCR auto cluster, brass and bronze foundries</w:t>
      </w:r>
    </w:p>
    <w:p>
      <w:pPr>
        <w:pStyle w:val="Heading1"/>
      </w:pPr>
      <w:r>
        <w:rPr>
          <w:color w:val="1F2A44"/>
        </w:rPr>
        <w:t>8. B2B and B2C market</w:t>
      </w:r>
    </w:p>
    <w:p>
      <w:pPr>
        <w:pStyle w:val="Heading2"/>
      </w:pPr>
      <w:r>
        <w:rPr>
          <w:color w:val="B8860B"/>
        </w:rPr>
        <w:t>8.1 B2B</w:t>
      </w:r>
    </w:p>
    <w:p>
      <w:pPr>
        <w:spacing w:after="120"/>
      </w:pPr>
      <w:r>
        <w:t>Most bush sales are B2B: OEM supply to vehicle, tractor, pump and motor manufacturers; contracts with steel plants, railways and heavy machinery companies; and sales to industrial distributors.</w:t>
      </w:r>
    </w:p>
    <w:p>
      <w:pPr>
        <w:pStyle w:val="Heading2"/>
      </w:pPr>
      <w:r>
        <w:rPr>
          <w:color w:val="B8860B"/>
        </w:rPr>
        <w:t>8.2 B2C and retail aftermarket</w:t>
      </w:r>
    </w:p>
    <w:p>
      <w:pPr>
        <w:spacing w:after="120"/>
      </w:pPr>
      <w:r>
        <w:t>B2C means mechanics, garages and individual owners buying replacement bushes (suspension, hinge, tractor and pump bushes) from spare-part shops or online. It is small in value for a foundry but offers higher margins and brand-building.</w:t>
      </w:r>
    </w:p>
    <w:p>
      <w:pPr>
        <w:jc w:val="center"/>
      </w:pPr>
      <w:r>
        <w:drawing>
          <wp:inline xmlns:a="http://schemas.openxmlformats.org/drawingml/2006/main" xmlns:pic="http://schemas.openxmlformats.org/drawingml/2006/picture">
            <wp:extent cx="4937760" cy="2906590"/>
            <wp:docPr id="12" name="Picture 12"/>
            <wp:cNvGraphicFramePr>
              <a:graphicFrameLocks noChangeAspect="1"/>
            </wp:cNvGraphicFramePr>
            <a:graphic>
              <a:graphicData uri="http://schemas.openxmlformats.org/drawingml/2006/picture">
                <pic:pic>
                  <pic:nvPicPr>
                    <pic:cNvPr id="0" name="b_chan.png"/>
                    <pic:cNvPicPr/>
                  </pic:nvPicPr>
                  <pic:blipFill>
                    <a:blip r:embed="rId20"/>
                    <a:stretch>
                      <a:fillRect/>
                    </a:stretch>
                  </pic:blipFill>
                  <pic:spPr>
                    <a:xfrm>
                      <a:off x="0" y="0"/>
                      <a:ext cx="4937760" cy="2906590"/>
                    </a:xfrm>
                    <a:prstGeom prst="rect"/>
                  </pic:spPr>
                </pic:pic>
              </a:graphicData>
            </a:graphic>
          </wp:inline>
        </w:drawing>
      </w:r>
    </w:p>
    <w:p>
      <w:pPr>
        <w:jc w:val="center"/>
      </w:pPr>
      <w:r>
        <w:rPr>
          <w:i/>
          <w:sz w:val="18"/>
        </w:rPr>
        <w:t>Figure 12: Indicative channel mix (illustrative)</w:t>
      </w:r>
    </w:p>
    <w:p>
      <w:r>
        <w:rPr>
          <w:b/>
          <w:sz w:val="18"/>
        </w:rPr>
        <w:t>Table 10: B2B vs B2C comparison for bushes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Factor</w:t>
            </w:r>
          </w:p>
        </w:tc>
        <w:tc>
          <w:tcPr>
            <w:tcW w:type="dxa" w:w="3216"/>
            <w:shd w:val="clear" w:color="auto" w:fill="1F2A44"/>
          </w:tcPr>
          <w:p>
            <w:r/>
            <w:r>
              <w:rPr>
                <w:b/>
                <w:color w:val="FFFFFF"/>
                <w:sz w:val="18"/>
              </w:rPr>
              <w:t>B2B (OEM / industrial)</w:t>
            </w:r>
          </w:p>
        </w:tc>
        <w:tc>
          <w:tcPr>
            <w:tcW w:type="dxa" w:w="3216"/>
            <w:shd w:val="clear" w:color="auto" w:fill="1F2A44"/>
          </w:tcPr>
          <w:p>
            <w:r/>
            <w:r>
              <w:rPr>
                <w:b/>
                <w:color w:val="FFFFFF"/>
                <w:sz w:val="18"/>
              </w:rPr>
              <w:t>B2C (aftermarket / retail)</w:t>
            </w:r>
          </w:p>
        </w:tc>
      </w:tr>
      <w:tr>
        <w:tc>
          <w:tcPr>
            <w:tcW w:type="dxa" w:w="3216"/>
          </w:tcPr>
          <w:p>
            <w:r/>
            <w:r>
              <w:rPr>
                <w:sz w:val="18"/>
              </w:rPr>
              <w:t>Buyers</w:t>
            </w:r>
          </w:p>
        </w:tc>
        <w:tc>
          <w:tcPr>
            <w:tcW w:type="dxa" w:w="3216"/>
          </w:tcPr>
          <w:p>
            <w:r/>
            <w:r>
              <w:rPr>
                <w:sz w:val="18"/>
              </w:rPr>
              <w:t>Auto OEMs, tractor makers, pump and motor makers, steel plants, railways</w:t>
            </w:r>
          </w:p>
        </w:tc>
        <w:tc>
          <w:tcPr>
            <w:tcW w:type="dxa" w:w="3216"/>
          </w:tcPr>
          <w:p>
            <w:r/>
            <w:r>
              <w:rPr>
                <w:sz w:val="18"/>
              </w:rPr>
              <w:t>Mechanics, garages, farmers, small workshops</w:t>
            </w:r>
          </w:p>
        </w:tc>
      </w:tr>
      <w:tr>
        <w:tc>
          <w:tcPr>
            <w:tcW w:type="dxa" w:w="3216"/>
            <w:shd w:val="clear" w:color="auto" w:fill="F3EEDC"/>
          </w:tcPr>
          <w:p>
            <w:r/>
            <w:r>
              <w:rPr>
                <w:sz w:val="18"/>
              </w:rPr>
              <w:t>Order size</w:t>
            </w:r>
          </w:p>
        </w:tc>
        <w:tc>
          <w:tcPr>
            <w:tcW w:type="dxa" w:w="3216"/>
            <w:shd w:val="clear" w:color="auto" w:fill="F3EEDC"/>
          </w:tcPr>
          <w:p>
            <w:r/>
            <w:r>
              <w:rPr>
                <w:sz w:val="18"/>
              </w:rPr>
              <w:t>Thousands per month, annual contracts</w:t>
            </w:r>
          </w:p>
        </w:tc>
        <w:tc>
          <w:tcPr>
            <w:tcW w:type="dxa" w:w="3216"/>
            <w:shd w:val="clear" w:color="auto" w:fill="F3EEDC"/>
          </w:tcPr>
          <w:p>
            <w:r/>
            <w:r>
              <w:rPr>
                <w:sz w:val="18"/>
              </w:rPr>
              <w:t>Single pieces or small packs</w:t>
            </w:r>
          </w:p>
        </w:tc>
      </w:tr>
      <w:tr>
        <w:tc>
          <w:tcPr>
            <w:tcW w:type="dxa" w:w="3216"/>
          </w:tcPr>
          <w:p>
            <w:r/>
            <w:r>
              <w:rPr>
                <w:sz w:val="18"/>
              </w:rPr>
              <w:t>Requirements</w:t>
            </w:r>
          </w:p>
        </w:tc>
        <w:tc>
          <w:tcPr>
            <w:tcW w:type="dxa" w:w="3216"/>
          </w:tcPr>
          <w:p>
            <w:r/>
            <w:r>
              <w:rPr>
                <w:sz w:val="18"/>
              </w:rPr>
              <w:t>Drawing, PPAP, IATF, test certificates</w:t>
            </w:r>
          </w:p>
        </w:tc>
        <w:tc>
          <w:tcPr>
            <w:tcW w:type="dxa" w:w="3216"/>
          </w:tcPr>
          <w:p>
            <w:r/>
            <w:r>
              <w:rPr>
                <w:sz w:val="18"/>
              </w:rPr>
              <w:t>Fit, availability, price, brand</w:t>
            </w:r>
          </w:p>
        </w:tc>
      </w:tr>
      <w:tr>
        <w:tc>
          <w:tcPr>
            <w:tcW w:type="dxa" w:w="3216"/>
            <w:shd w:val="clear" w:color="auto" w:fill="F3EEDC"/>
          </w:tcPr>
          <w:p>
            <w:r/>
            <w:r>
              <w:rPr>
                <w:sz w:val="18"/>
              </w:rPr>
              <w:t>Pricing</w:t>
            </w:r>
          </w:p>
        </w:tc>
        <w:tc>
          <w:tcPr>
            <w:tcW w:type="dxa" w:w="3216"/>
            <w:shd w:val="clear" w:color="auto" w:fill="F3EEDC"/>
          </w:tcPr>
          <w:p>
            <w:r/>
            <w:r>
              <w:rPr>
                <w:sz w:val="18"/>
              </w:rPr>
              <w:t>Cost-plus with metal price pass-through (LME copper)</w:t>
            </w:r>
          </w:p>
        </w:tc>
        <w:tc>
          <w:tcPr>
            <w:tcW w:type="dxa" w:w="3216"/>
            <w:shd w:val="clear" w:color="auto" w:fill="F3EEDC"/>
          </w:tcPr>
          <w:p>
            <w:r/>
            <w:r>
              <w:rPr>
                <w:sz w:val="18"/>
              </w:rPr>
              <w:t>MRP-based, margin for retailer</w:t>
            </w:r>
          </w:p>
        </w:tc>
      </w:tr>
      <w:tr>
        <w:tc>
          <w:tcPr>
            <w:tcW w:type="dxa" w:w="3216"/>
          </w:tcPr>
          <w:p>
            <w:r/>
            <w:r>
              <w:rPr>
                <w:sz w:val="18"/>
              </w:rPr>
              <w:t>Margin</w:t>
            </w:r>
          </w:p>
        </w:tc>
        <w:tc>
          <w:tcPr>
            <w:tcW w:type="dxa" w:w="3216"/>
          </w:tcPr>
          <w:p>
            <w:r/>
            <w:r>
              <w:rPr>
                <w:sz w:val="18"/>
              </w:rPr>
              <w:t>10 to 18%</w:t>
            </w:r>
          </w:p>
        </w:tc>
        <w:tc>
          <w:tcPr>
            <w:tcW w:type="dxa" w:w="3216"/>
          </w:tcPr>
          <w:p>
            <w:r/>
            <w:r>
              <w:rPr>
                <w:sz w:val="18"/>
              </w:rPr>
              <w:t>25 to 40% (with distributor margins)</w:t>
            </w:r>
          </w:p>
        </w:tc>
      </w:tr>
      <w:tr>
        <w:tc>
          <w:tcPr>
            <w:tcW w:type="dxa" w:w="3216"/>
            <w:shd w:val="clear" w:color="auto" w:fill="F3EEDC"/>
          </w:tcPr>
          <w:p>
            <w:r/>
            <w:r>
              <w:rPr>
                <w:sz w:val="18"/>
              </w:rPr>
              <w:t>Payment</w:t>
            </w:r>
          </w:p>
        </w:tc>
        <w:tc>
          <w:tcPr>
            <w:tcW w:type="dxa" w:w="3216"/>
            <w:shd w:val="clear" w:color="auto" w:fill="F3EEDC"/>
          </w:tcPr>
          <w:p>
            <w:r/>
            <w:r>
              <w:rPr>
                <w:sz w:val="18"/>
              </w:rPr>
              <w:t>45 to 90 days</w:t>
            </w:r>
          </w:p>
        </w:tc>
        <w:tc>
          <w:tcPr>
            <w:tcW w:type="dxa" w:w="3216"/>
            <w:shd w:val="clear" w:color="auto" w:fill="F3EEDC"/>
          </w:tcPr>
          <w:p>
            <w:r/>
            <w:r>
              <w:rPr>
                <w:sz w:val="18"/>
              </w:rPr>
              <w:t>Cash / short credit</w:t>
            </w:r>
          </w:p>
        </w:tc>
      </w:tr>
      <w:tr>
        <w:tc>
          <w:tcPr>
            <w:tcW w:type="dxa" w:w="3216"/>
          </w:tcPr>
          <w:p>
            <w:r/>
            <w:r>
              <w:rPr>
                <w:sz w:val="18"/>
              </w:rPr>
              <w:t>Marketing</w:t>
            </w:r>
          </w:p>
        </w:tc>
        <w:tc>
          <w:tcPr>
            <w:tcW w:type="dxa" w:w="3216"/>
          </w:tcPr>
          <w:p>
            <w:r/>
            <w:r>
              <w:rPr>
                <w:sz w:val="18"/>
              </w:rPr>
              <w:t>Key-account visits, approvals, trials (6 to 12 months)</w:t>
            </w:r>
          </w:p>
        </w:tc>
        <w:tc>
          <w:tcPr>
            <w:tcW w:type="dxa" w:w="3216"/>
          </w:tcPr>
          <w:p>
            <w:r/>
            <w:r>
              <w:rPr>
                <w:sz w:val="18"/>
              </w:rPr>
              <w:t>Catalogue, mechanic meets, e-commerce, IndiaMART</w:t>
            </w:r>
          </w:p>
        </w:tc>
      </w:tr>
      <w:tr>
        <w:tc>
          <w:tcPr>
            <w:tcW w:type="dxa" w:w="3216"/>
            <w:shd w:val="clear" w:color="auto" w:fill="F3EEDC"/>
          </w:tcPr>
          <w:p>
            <w:r/>
            <w:r>
              <w:rPr>
                <w:sz w:val="18"/>
              </w:rPr>
              <w:t>Risk</w:t>
            </w:r>
          </w:p>
        </w:tc>
        <w:tc>
          <w:tcPr>
            <w:tcW w:type="dxa" w:w="3216"/>
            <w:shd w:val="clear" w:color="auto" w:fill="F3EEDC"/>
          </w:tcPr>
          <w:p>
            <w:r/>
            <w:r>
              <w:rPr>
                <w:sz w:val="18"/>
              </w:rPr>
              <w:t>Customer concentration, price squeeze</w:t>
            </w:r>
          </w:p>
        </w:tc>
        <w:tc>
          <w:tcPr>
            <w:tcW w:type="dxa" w:w="3216"/>
            <w:shd w:val="clear" w:color="auto" w:fill="F3EEDC"/>
          </w:tcPr>
          <w:p>
            <w:r/>
            <w:r>
              <w:rPr>
                <w:sz w:val="18"/>
              </w:rPr>
              <w:t>Spurious competition, many SKUs</w:t>
            </w:r>
          </w:p>
        </w:tc>
      </w:tr>
    </w:tbl>
    <w:p/>
    <w:p>
      <w:pPr>
        <w:jc w:val="center"/>
      </w:pPr>
      <w:r>
        <w:drawing>
          <wp:inline xmlns:a="http://schemas.openxmlformats.org/drawingml/2006/main" xmlns:pic="http://schemas.openxmlformats.org/drawingml/2006/picture">
            <wp:extent cx="5120640" cy="2753032"/>
            <wp:docPr id="13" name="Picture 13"/>
            <wp:cNvGraphicFramePr>
              <a:graphicFrameLocks noChangeAspect="1"/>
            </wp:cNvGraphicFramePr>
            <a:graphic>
              <a:graphicData uri="http://schemas.openxmlformats.org/drawingml/2006/picture">
                <pic:pic>
                  <pic:nvPicPr>
                    <pic:cNvPr id="0" name="b_trend.png"/>
                    <pic:cNvPicPr/>
                  </pic:nvPicPr>
                  <pic:blipFill>
                    <a:blip r:embed="rId21"/>
                    <a:stretch>
                      <a:fillRect/>
                    </a:stretch>
                  </pic:blipFill>
                  <pic:spPr>
                    <a:xfrm>
                      <a:off x="0" y="0"/>
                      <a:ext cx="5120640" cy="2753032"/>
                    </a:xfrm>
                    <a:prstGeom prst="rect"/>
                  </pic:spPr>
                </pic:pic>
              </a:graphicData>
            </a:graphic>
          </wp:inline>
        </w:drawing>
      </w:r>
    </w:p>
    <w:p>
      <w:pPr>
        <w:jc w:val="center"/>
      </w:pPr>
      <w:r>
        <w:rPr>
          <w:i/>
          <w:sz w:val="18"/>
        </w:rPr>
        <w:t>Figure 13: Illustrative channel growth (aftermarket and online faster than OEM)</w:t>
      </w:r>
    </w:p>
    <w:p>
      <w:pPr>
        <w:pStyle w:val="Heading1"/>
      </w:pPr>
      <w:r>
        <w:rPr>
          <w:color w:val="1F2A44"/>
        </w:rPr>
        <w:t>9. Competition</w:t>
      </w:r>
    </w:p>
    <w:p>
      <w:r>
        <w:rPr>
          <w:b/>
          <w:sz w:val="18"/>
        </w:rPr>
        <w:t>Table 11: Competitive landscape (names for orientation only)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
              <w:rPr>
                <w:b/>
                <w:color w:val="FFFFFF"/>
                <w:sz w:val="18"/>
              </w:rPr>
              <w:t>Segment</w:t>
            </w:r>
          </w:p>
        </w:tc>
        <w:tc>
          <w:tcPr>
            <w:tcW w:type="dxa" w:w="4824"/>
            <w:shd w:val="clear" w:color="auto" w:fill="1F2A44"/>
          </w:tcPr>
          <w:p>
            <w:r/>
            <w:r>
              <w:rPr>
                <w:b/>
                <w:color w:val="FFFFFF"/>
                <w:sz w:val="18"/>
              </w:rPr>
              <w:t>Players (examples)</w:t>
            </w:r>
          </w:p>
        </w:tc>
      </w:tr>
      <w:tr>
        <w:tc>
          <w:tcPr>
            <w:tcW w:type="dxa" w:w="4824"/>
          </w:tcPr>
          <w:p>
            <w:r/>
            <w:r>
              <w:rPr>
                <w:sz w:val="18"/>
              </w:rPr>
              <w:t>Organised bearings and bushes</w:t>
            </w:r>
          </w:p>
        </w:tc>
        <w:tc>
          <w:tcPr>
            <w:tcW w:type="dxa" w:w="4824"/>
          </w:tcPr>
          <w:p>
            <w:r/>
            <w:r>
              <w:rPr>
                <w:sz w:val="18"/>
              </w:rPr>
              <w:t>Schaeffler India, SKF India, NBC (National Engineering Industries), Timken India, FAG; Federal-Mogul/Tenneco bearings</w:t>
            </w:r>
          </w:p>
        </w:tc>
      </w:tr>
      <w:tr>
        <w:tc>
          <w:tcPr>
            <w:tcW w:type="dxa" w:w="4824"/>
            <w:shd w:val="clear" w:color="auto" w:fill="F3EEDC"/>
          </w:tcPr>
          <w:p>
            <w:r/>
            <w:r>
              <w:rPr>
                <w:sz w:val="18"/>
              </w:rPr>
              <w:t>Metal bush / bronze specialists</w:t>
            </w:r>
          </w:p>
        </w:tc>
        <w:tc>
          <w:tcPr>
            <w:tcW w:type="dxa" w:w="4824"/>
            <w:shd w:val="clear" w:color="auto" w:fill="F3EEDC"/>
          </w:tcPr>
          <w:p>
            <w:r/>
            <w:r>
              <w:rPr>
                <w:sz w:val="18"/>
              </w:rPr>
              <w:t>Many small and mid-sized foundries in Punjab, Gujarat, Maharashtra, Haryana</w:t>
            </w:r>
          </w:p>
        </w:tc>
      </w:tr>
      <w:tr>
        <w:tc>
          <w:tcPr>
            <w:tcW w:type="dxa" w:w="4824"/>
          </w:tcPr>
          <w:p>
            <w:r/>
            <w:r>
              <w:rPr>
                <w:sz w:val="18"/>
              </w:rPr>
              <w:t>Sintered</w:t>
            </w:r>
          </w:p>
        </w:tc>
        <w:tc>
          <w:tcPr>
            <w:tcW w:type="dxa" w:w="4824"/>
          </w:tcPr>
          <w:p>
            <w:r/>
            <w:r>
              <w:rPr>
                <w:sz w:val="18"/>
              </w:rPr>
              <w:t>Sundaram-Clayton group units, Hindustan Powder Metallurgy-type units and imports</w:t>
            </w:r>
          </w:p>
        </w:tc>
      </w:tr>
      <w:tr>
        <w:tc>
          <w:tcPr>
            <w:tcW w:type="dxa" w:w="4824"/>
            <w:shd w:val="clear" w:color="auto" w:fill="F3EEDC"/>
          </w:tcPr>
          <w:p>
            <w:r/>
            <w:r>
              <w:rPr>
                <w:sz w:val="18"/>
              </w:rPr>
              <w:t>Global</w:t>
            </w:r>
          </w:p>
        </w:tc>
        <w:tc>
          <w:tcPr>
            <w:tcW w:type="dxa" w:w="4824"/>
            <w:shd w:val="clear" w:color="auto" w:fill="F3EEDC"/>
          </w:tcPr>
          <w:p>
            <w:r/>
            <w:r>
              <w:rPr>
                <w:sz w:val="18"/>
              </w:rPr>
              <w:t>GGB, Saint-Gobain, Kolbenschmidt, Oilite, Igus (polymer)</w:t>
            </w:r>
          </w:p>
        </w:tc>
      </w:tr>
    </w:tbl>
    <w:p/>
    <w:p>
      <w:pPr>
        <w:spacing w:after="120"/>
      </w:pPr>
      <w:r>
        <w:t>The metal bush segment is fragmented and unorganised. Differentiation: consistent alloy chemistry, tight dimensions, certificates, and on-time supply.</w:t>
      </w:r>
    </w:p>
    <w:p>
      <w:pPr>
        <w:pStyle w:val="Heading1"/>
      </w:pPr>
      <w:r>
        <w:rPr>
          <w:color w:val="1F2A44"/>
        </w:rPr>
        <w:t>10. Opportunity and recommendations for Bajaj Alloys</w:t>
      </w:r>
    </w:p>
    <w:p>
      <w:pPr>
        <w:pStyle w:val="ListBullet"/>
      </w:pPr>
      <w:r>
        <w:t>Use in-house scrap and melting to produce continuous-cast and centrifugally cast bronze/gunmetal tube and rod: sell both as raw bush stock and as finished machined bushes.</w:t>
      </w:r>
    </w:p>
    <w:p>
      <w:pPr>
        <w:pStyle w:val="ListBullet"/>
      </w:pPr>
      <w:r>
        <w:t>Target pump, motor and tractor OEMs in Haryana, Punjab, Rajasthan first.</w:t>
      </w:r>
    </w:p>
    <w:p>
      <w:pPr>
        <w:pStyle w:val="ListBullet"/>
      </w:pPr>
      <w:r>
        <w:t>Add a standard catalogue (e.g. 50 common sizes) for distributors and e-commerce.</w:t>
      </w:r>
    </w:p>
    <w:p>
      <w:pPr>
        <w:pStyle w:val="ListBullet"/>
      </w:pPr>
      <w:r>
        <w:t>Invest in CNC lathes, bore gauges and a spectrometer; pursue ISO 9001 and later IATF 16949.</w:t>
      </w:r>
    </w:p>
    <w:p>
      <w:pPr>
        <w:pStyle w:val="ListBullet"/>
      </w:pPr>
      <w:r>
        <w:t>Hedge copper and tin price exposure through pricing formulas linked to LME/MCX.</w:t>
      </w:r>
    </w:p>
    <w:p>
      <w:pPr>
        <w:pStyle w:val="ListBullet"/>
      </w:pPr>
      <w:r>
        <w:t>Risks: tin price swings, EV shift, Chinese imports, customer concentration.</w:t>
      </w:r>
    </w:p>
    <w:p>
      <w:r>
        <w:rPr>
          <w:b/>
          <w:sz w:val="18"/>
        </w:rPr>
        <w:t>Table 12: Indicative roadmap</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Item</w:t>
            </w:r>
          </w:p>
        </w:tc>
        <w:tc>
          <w:tcPr>
            <w:tcW w:type="dxa" w:w="3216"/>
            <w:shd w:val="clear" w:color="auto" w:fill="1F2A44"/>
          </w:tcPr>
          <w:p>
            <w:r/>
            <w:r>
              <w:rPr>
                <w:b/>
                <w:color w:val="FFFFFF"/>
                <w:sz w:val="18"/>
              </w:rPr>
              <w:t>Action</w:t>
            </w:r>
          </w:p>
        </w:tc>
        <w:tc>
          <w:tcPr>
            <w:tcW w:type="dxa" w:w="3216"/>
            <w:shd w:val="clear" w:color="auto" w:fill="1F2A44"/>
          </w:tcPr>
          <w:p>
            <w:r/>
            <w:r>
              <w:rPr>
                <w:b/>
                <w:color w:val="FFFFFF"/>
                <w:sz w:val="18"/>
              </w:rPr>
              <w:t>Timeline</w:t>
            </w:r>
          </w:p>
        </w:tc>
      </w:tr>
      <w:tr>
        <w:tc>
          <w:tcPr>
            <w:tcW w:type="dxa" w:w="3216"/>
          </w:tcPr>
          <w:p>
            <w:r/>
            <w:r>
              <w:rPr>
                <w:sz w:val="18"/>
              </w:rPr>
              <w:t>Product range and costing</w:t>
            </w:r>
          </w:p>
        </w:tc>
        <w:tc>
          <w:tcPr>
            <w:tcW w:type="dxa" w:w="3216"/>
          </w:tcPr>
          <w:p>
            <w:r/>
            <w:r>
              <w:rPr>
                <w:sz w:val="18"/>
              </w:rPr>
              <w:t>10 alloys/sizes, cost sheets</w:t>
            </w:r>
          </w:p>
        </w:tc>
        <w:tc>
          <w:tcPr>
            <w:tcW w:type="dxa" w:w="3216"/>
          </w:tcPr>
          <w:p>
            <w:r/>
            <w:r>
              <w:rPr>
                <w:sz w:val="18"/>
              </w:rPr>
              <w:t>Month 1</w:t>
            </w:r>
          </w:p>
        </w:tc>
      </w:tr>
      <w:tr>
        <w:tc>
          <w:tcPr>
            <w:tcW w:type="dxa" w:w="3216"/>
            <w:shd w:val="clear" w:color="auto" w:fill="F3EEDC"/>
          </w:tcPr>
          <w:p>
            <w:r/>
            <w:r>
              <w:rPr>
                <w:sz w:val="18"/>
              </w:rPr>
              <w:t>Casting set-up</w:t>
            </w:r>
          </w:p>
        </w:tc>
        <w:tc>
          <w:tcPr>
            <w:tcW w:type="dxa" w:w="3216"/>
            <w:shd w:val="clear" w:color="auto" w:fill="F3EEDC"/>
          </w:tcPr>
          <w:p>
            <w:r/>
            <w:r>
              <w:rPr>
                <w:sz w:val="18"/>
              </w:rPr>
              <w:t>Centrifugal / continuous caster trial</w:t>
            </w:r>
          </w:p>
        </w:tc>
        <w:tc>
          <w:tcPr>
            <w:tcW w:type="dxa" w:w="3216"/>
            <w:shd w:val="clear" w:color="auto" w:fill="F3EEDC"/>
          </w:tcPr>
          <w:p>
            <w:r/>
            <w:r>
              <w:rPr>
                <w:sz w:val="18"/>
              </w:rPr>
              <w:t>Months 2 to 5</w:t>
            </w:r>
          </w:p>
        </w:tc>
      </w:tr>
      <w:tr>
        <w:tc>
          <w:tcPr>
            <w:tcW w:type="dxa" w:w="3216"/>
          </w:tcPr>
          <w:p>
            <w:r/>
            <w:r>
              <w:rPr>
                <w:sz w:val="18"/>
              </w:rPr>
              <w:t>Machining cell</w:t>
            </w:r>
          </w:p>
        </w:tc>
        <w:tc>
          <w:tcPr>
            <w:tcW w:type="dxa" w:w="3216"/>
          </w:tcPr>
          <w:p>
            <w:r/>
            <w:r>
              <w:rPr>
                <w:sz w:val="18"/>
              </w:rPr>
              <w:t>2 CNC lathes, gauges</w:t>
            </w:r>
          </w:p>
        </w:tc>
        <w:tc>
          <w:tcPr>
            <w:tcW w:type="dxa" w:w="3216"/>
          </w:tcPr>
          <w:p>
            <w:r/>
            <w:r>
              <w:rPr>
                <w:sz w:val="18"/>
              </w:rPr>
              <w:t>Months 3 to 6</w:t>
            </w:r>
          </w:p>
        </w:tc>
      </w:tr>
      <w:tr>
        <w:tc>
          <w:tcPr>
            <w:tcW w:type="dxa" w:w="3216"/>
            <w:shd w:val="clear" w:color="auto" w:fill="F3EEDC"/>
          </w:tcPr>
          <w:p>
            <w:r/>
            <w:r>
              <w:rPr>
                <w:sz w:val="18"/>
              </w:rPr>
              <w:t>Customer trials</w:t>
            </w:r>
          </w:p>
        </w:tc>
        <w:tc>
          <w:tcPr>
            <w:tcW w:type="dxa" w:w="3216"/>
            <w:shd w:val="clear" w:color="auto" w:fill="F3EEDC"/>
          </w:tcPr>
          <w:p>
            <w:r/>
            <w:r>
              <w:rPr>
                <w:sz w:val="18"/>
              </w:rPr>
              <w:t>5 OEM and 10 distributors</w:t>
            </w:r>
          </w:p>
        </w:tc>
        <w:tc>
          <w:tcPr>
            <w:tcW w:type="dxa" w:w="3216"/>
            <w:shd w:val="clear" w:color="auto" w:fill="F3EEDC"/>
          </w:tcPr>
          <w:p>
            <w:r/>
            <w:r>
              <w:rPr>
                <w:sz w:val="18"/>
              </w:rPr>
              <w:t>Months 6 to 10</w:t>
            </w:r>
          </w:p>
        </w:tc>
      </w:tr>
      <w:tr>
        <w:tc>
          <w:tcPr>
            <w:tcW w:type="dxa" w:w="3216"/>
          </w:tcPr>
          <w:p>
            <w:r/>
            <w:r>
              <w:rPr>
                <w:sz w:val="18"/>
              </w:rPr>
              <w:t>Certification</w:t>
            </w:r>
          </w:p>
        </w:tc>
        <w:tc>
          <w:tcPr>
            <w:tcW w:type="dxa" w:w="3216"/>
          </w:tcPr>
          <w:p>
            <w:r/>
            <w:r>
              <w:rPr>
                <w:sz w:val="18"/>
              </w:rPr>
              <w:t>ISO 9001 / IATF</w:t>
            </w:r>
          </w:p>
        </w:tc>
        <w:tc>
          <w:tcPr>
            <w:tcW w:type="dxa" w:w="3216"/>
          </w:tcPr>
          <w:p>
            <w:r/>
            <w:r>
              <w:rPr>
                <w:sz w:val="18"/>
              </w:rPr>
              <w:t>Months 6 to 12</w:t>
            </w:r>
          </w:p>
        </w:tc>
      </w:tr>
    </w:tbl>
    <w:p/>
    <w:p>
      <w:pPr>
        <w:pStyle w:val="Heading1"/>
      </w:pPr>
      <w:r>
        <w:rPr>
          <w:color w:val="1F2A44"/>
        </w:rPr>
        <w:t>11. Data notes and sources</w:t>
      </w:r>
    </w:p>
    <w:p>
      <w:pPr>
        <w:spacing w:after="120"/>
      </w:pPr>
      <w:r>
        <w:t>Market numbers come from published research summaries (Mordor Intelligence for global automotive bushings, IMARC Group for India automotive bearings and India bearings, Technavio and Astute Analytica for India bearings growth). No source gave a clean India figure for bronze bushes specifically, so these are used as proxies, and the report says so. Interim yearly values in charts are interpolated at the stated CAGR. Charts labelled 'indicative' are intern estimates built from typical industry structure; they are not audited statistics and must be validated with plant and customer data. Diagrams are schematic drawings made for this report, not photographs.</w:t>
      </w:r>
    </w:p>
    <w:p>
      <w:pPr>
        <w:pStyle w:val="ListBullet"/>
      </w:pPr>
      <w:r>
        <w:t>Mordor Intelligence: Automotive Bushing Market</w:t>
      </w:r>
    </w:p>
    <w:p>
      <w:pPr>
        <w:pStyle w:val="ListBullet"/>
      </w:pPr>
      <w:r>
        <w:t>IMARC Group: India Automotive Bearing Market; India Bearings Market</w:t>
      </w:r>
    </w:p>
    <w:p>
      <w:pPr>
        <w:pStyle w:val="ListBullet"/>
      </w:pPr>
      <w:r>
        <w:t>Technavio: India Bearings Market Analysis</w:t>
      </w:r>
    </w:p>
    <w:p>
      <w:pPr>
        <w:pStyle w:val="ListBullet"/>
      </w:pPr>
      <w:r>
        <w:t>Astute Analytica: India Bearings Market</w:t>
      </w:r>
    </w:p>
    <w:p>
      <w:pPr>
        <w:pStyle w:val="ListBullet"/>
      </w:pPr>
      <w:r>
        <w:t>BIS standards IS 318, IS 28; ISO 3547</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