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0B11A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 xml:space="preserve">Java </w:t>
      </w:r>
      <w:r w:rsidRPr="000B11A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反射</w:t>
      </w:r>
      <w:r w:rsidRPr="000B11A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 xml:space="preserve"> Class</w:t>
      </w:r>
      <w:r w:rsidRPr="000B11A5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t>类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@author 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ixenos</w:t>
      </w:r>
      <w:proofErr w:type="spellEnd"/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摘要：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类在反射中的地位、构造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对象的三种方式、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对象构造对应类型对象的三种方式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1"/>
        <w:rPr>
          <w:rFonts w:ascii="Verdana" w:eastAsia="宋体" w:hAnsi="Verdana" w:cs="宋体"/>
          <w:b/>
          <w:bCs/>
          <w:color w:val="000000"/>
          <w:sz w:val="36"/>
          <w:szCs w:val="36"/>
        </w:rPr>
      </w:pP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Class</w:t>
      </w: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类在反射中的地位</w:t>
      </w: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 </w:t>
      </w:r>
    </w:p>
    <w:p w:rsidR="000B11A5" w:rsidRPr="000B11A5" w:rsidRDefault="000B11A5" w:rsidP="000B11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11A5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位于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java.lang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下的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类是位于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java.lang.reflect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下的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Constructor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类、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Method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类、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Field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类和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Array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类的入口类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-Class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　　代表一个类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-Field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　　代表类的成员变量（也成为类的属性、域）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-Array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　　提供了动态创建数组、以及访问数组元素的静态方法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-Method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　　代表类的方法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-Constructor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类　　代表类的构造方法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1"/>
        <w:rPr>
          <w:rFonts w:ascii="Verdana" w:eastAsia="宋体" w:hAnsi="Verdana" w:cs="宋体"/>
          <w:b/>
          <w:bCs/>
          <w:color w:val="000000"/>
          <w:sz w:val="36"/>
          <w:szCs w:val="36"/>
        </w:rPr>
      </w:pP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构造</w:t>
      </w: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Class</w:t>
      </w: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对象的三种方式</w:t>
      </w:r>
    </w:p>
    <w:p w:rsidR="000B11A5" w:rsidRPr="000B11A5" w:rsidRDefault="000B11A5" w:rsidP="000B11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11A5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 0.</w:t>
      </w:r>
      <w:r w:rsidRPr="000B11A5">
        <w:rPr>
          <w:rFonts w:ascii="Verdana" w:eastAsia="宋体" w:hAnsi="Verdana" w:cs="宋体"/>
          <w:b/>
          <w:bCs/>
          <w:color w:val="000000"/>
          <w:sz w:val="28"/>
        </w:rPr>
        <w:t>前言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：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为了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使用类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而做的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准备工作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包括三个步骤：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1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）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加载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类加载器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查找字节码（一般在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classpath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中找），从字节码创建一个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）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链接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：验证字节码，为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静态域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（只是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static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修饰的域，不包含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static final 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）分配存储空间，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解析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此类对其他类的所有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引用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3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）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初始化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：若该类有超类，对其初始化，执行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静态初始化器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（构造器算一个）和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静态初始化块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lastRenderedPageBreak/>
        <w:t>-----------------------------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***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static final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 = 47 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是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编译期常量，不需要对类进行初始化就可以读取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***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static final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 = </w:t>
      </w:r>
      <w:proofErr w:type="spellStart"/>
      <w:r w:rsidRPr="000B11A5">
        <w:rPr>
          <w:rFonts w:ascii="Verdana" w:eastAsia="宋体" w:hAnsi="Verdana" w:cs="宋体"/>
          <w:b/>
          <w:bCs/>
          <w:color w:val="000000"/>
          <w:sz w:val="21"/>
        </w:rPr>
        <w:t>Random.nextInt</w:t>
      </w:r>
      <w:proofErr w:type="spellEnd"/>
      <w:r w:rsidRPr="000B11A5">
        <w:rPr>
          <w:rFonts w:ascii="Verdana" w:eastAsia="宋体" w:hAnsi="Verdana" w:cs="宋体"/>
          <w:b/>
          <w:bCs/>
          <w:color w:val="000000"/>
          <w:sz w:val="21"/>
        </w:rPr>
        <w:t>(100)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  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是运行时常量，这种一般要在对象创建后才会运行，超过初始化的阶段了！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***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static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 = 47 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是非常数的静态域，不是常量，更不是编译期常量，链接阶段只分配存储空间，初始化阶段才初始化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1.Class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类的</w:t>
      </w:r>
      <w:proofErr w:type="spellStart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forName</w:t>
      </w:r>
      <w:proofErr w:type="spellEnd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静态方法</w:t>
      </w:r>
      <w:r w:rsidRPr="000B11A5">
        <w:rPr>
          <w:rFonts w:ascii="Verdana" w:eastAsia="宋体" w:hAnsi="Verdana" w:cs="宋体"/>
          <w:b/>
          <w:bCs/>
          <w:color w:val="000000"/>
          <w:sz w:val="28"/>
        </w:rPr>
        <w:t>（自动初始化）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b/>
          <w:bCs/>
          <w:color w:val="000000"/>
          <w:sz w:val="21"/>
        </w:rPr>
        <w:t>只知道对应类型名时，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使用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Class.forName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(String name) 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动态生成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Class&lt;String&gt;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对象，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name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是完全限定名</w:t>
      </w:r>
    </w:p>
    <w:p w:rsidR="000B11A5" w:rsidRPr="000B11A5" w:rsidRDefault="000B11A5" w:rsidP="000B11A5">
      <w:pPr>
        <w:shd w:val="clear" w:color="auto" w:fill="F5F5F5"/>
        <w:wordWrap w:val="0"/>
        <w:adjustRightInd/>
        <w:snapToGrid/>
        <w:spacing w:after="75"/>
        <w:rPr>
          <w:rFonts w:ascii="Courier New" w:eastAsia="宋体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3" name="code_img_closed_debcacff-d386-4b18-bab0-ebb3ada375da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ebcacff-d386-4b18-bab0-ebb3ada375da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1A5">
        <w:rPr>
          <w:rFonts w:ascii="Courier New" w:eastAsia="宋体" w:hAnsi="Courier New" w:cs="Courier New"/>
          <w:color w:val="000000"/>
          <w:sz w:val="18"/>
        </w:rPr>
        <w:t>API</w:t>
      </w:r>
      <w:r w:rsidRPr="000B11A5">
        <w:rPr>
          <w:rFonts w:ascii="Courier New" w:eastAsia="宋体" w:hAnsi="Courier New" w:cs="Courier New"/>
          <w:color w:val="000000"/>
          <w:sz w:val="18"/>
        </w:rPr>
        <w:t>文档描述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</w:rPr>
        <w:t>2.Object</w:t>
      </w:r>
      <w:r w:rsidRPr="000B11A5">
        <w:rPr>
          <w:rFonts w:ascii="Verdana" w:eastAsia="宋体" w:hAnsi="Verdana" w:cs="宋体"/>
          <w:b/>
          <w:bCs/>
          <w:color w:val="000000"/>
          <w:sz w:val="28"/>
        </w:rPr>
        <w:t>类对象自带</w:t>
      </w:r>
      <w:proofErr w:type="spellStart"/>
      <w:r w:rsidRPr="000B11A5">
        <w:rPr>
          <w:rFonts w:ascii="Verdana" w:eastAsia="宋体" w:hAnsi="Verdana" w:cs="宋体"/>
          <w:b/>
          <w:bCs/>
          <w:color w:val="000000"/>
          <w:sz w:val="28"/>
        </w:rPr>
        <w:t>getClass</w:t>
      </w:r>
      <w:proofErr w:type="spellEnd"/>
      <w:r w:rsidRPr="000B11A5">
        <w:rPr>
          <w:rFonts w:ascii="Verdana" w:eastAsia="宋体" w:hAnsi="Verdana" w:cs="宋体"/>
          <w:b/>
          <w:bCs/>
          <w:color w:val="000000"/>
          <w:sz w:val="28"/>
        </w:rPr>
        <w:t>方法（已经初始化）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b/>
          <w:bCs/>
          <w:color w:val="000000"/>
          <w:sz w:val="21"/>
        </w:rPr>
        <w:t>通过已经存在的对象，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即持有对应类型对象的引用时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，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使用对象的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getClass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()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（属于根类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Object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的一部分），如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new Integer(1).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getClass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()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将返回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Integer.class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，而此时的类型对象也必定是在运行中了，所以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已经初始化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3.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使用类字面常量（不会自动初始化）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例如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Fancy.class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、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String.class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、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Integer.TYPE</w:t>
      </w:r>
      <w:proofErr w:type="spellEnd"/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1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）类字面常量应用于：普通类（包含包装类哟）、接口、数组、基本数据类型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***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基本数据类型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使用标准字段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TYPE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，这是个指向基本数据类型的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对象的引用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***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例如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int.class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等价于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Integer.TYPE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，但是不等价于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Integer.class</w:t>
      </w:r>
      <w:proofErr w:type="spellEnd"/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）使用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".class"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来创建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对象的引用时，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不会自动地初始化该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Class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对象。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那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为什么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不会自动初始化呢？由补充内容可知初始化被延迟到了对静态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(static)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方法（构造器等同于隐式静态）或者非常数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(final)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静态域进行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首次引用时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才执行，而</w:t>
      </w:r>
      <w:r w:rsidRPr="000B11A5">
        <w:rPr>
          <w:rFonts w:ascii="Verdana" w:eastAsia="宋体" w:hAnsi="Verdana" w:cs="宋体"/>
          <w:b/>
          <w:bCs/>
          <w:color w:val="000000"/>
          <w:sz w:val="21"/>
        </w:rPr>
        <w:t>引用类字面常量在运行时只是到了加载和链接的阶段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1"/>
        <w:rPr>
          <w:rFonts w:ascii="Verdana" w:eastAsia="宋体" w:hAnsi="Verdana" w:cs="宋体"/>
          <w:b/>
          <w:bCs/>
          <w:color w:val="000000"/>
          <w:sz w:val="36"/>
          <w:szCs w:val="36"/>
        </w:rPr>
      </w:pP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Class</w:t>
      </w:r>
      <w:r w:rsidRPr="000B11A5">
        <w:rPr>
          <w:rFonts w:ascii="Verdana" w:eastAsia="宋体" w:hAnsi="Verdana" w:cs="宋体"/>
          <w:b/>
          <w:bCs/>
          <w:color w:val="000000"/>
          <w:sz w:val="36"/>
          <w:szCs w:val="36"/>
        </w:rPr>
        <w:t>对象构造对应类型对象的三种方式</w:t>
      </w:r>
    </w:p>
    <w:p w:rsidR="000B11A5" w:rsidRPr="000B11A5" w:rsidRDefault="000B11A5" w:rsidP="000B11A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11A5">
        <w:rPr>
          <w:rFonts w:ascii="宋体" w:eastAsia="宋体" w:hAnsi="宋体" w:cs="宋体"/>
          <w:sz w:val="24"/>
          <w:szCs w:val="24"/>
        </w:rPr>
        <w:lastRenderedPageBreak/>
        <w:pict>
          <v:rect id="_x0000_i1027" style="width:0;height:1.5pt" o:hralign="center" o:hrstd="t" o:hrnoshade="t" o:hr="t" fillcolor="black" stroked="f"/>
        </w:pic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无参构造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1.Class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对象的</w:t>
      </w:r>
      <w:proofErr w:type="spellStart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newInstance</w:t>
      </w:r>
      <w:proofErr w:type="spellEnd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方法（不能传递参数）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先获得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对象，然后通过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对象的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newInstance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方法直接生成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1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Class&lt;?&gt;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classType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String.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2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Object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classType.newInstance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();</w:t>
      </w:r>
    </w:p>
    <w:p w:rsidR="000B11A5" w:rsidRPr="000B11A5" w:rsidRDefault="000B11A5" w:rsidP="000B11A5">
      <w:pPr>
        <w:shd w:val="clear" w:color="auto" w:fill="F5F5F5"/>
        <w:wordWrap w:val="0"/>
        <w:adjustRightInd/>
        <w:snapToGrid/>
        <w:spacing w:after="75"/>
        <w:rPr>
          <w:rFonts w:ascii="Courier New" w:eastAsia="宋体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5" name="code_img_closed_ba8748d2-e3ee-4b03-8c97-2c28962d8cbf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a8748d2-e3ee-4b03-8c97-2c28962d8cb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1A5">
        <w:rPr>
          <w:rFonts w:ascii="Courier New" w:eastAsia="宋体" w:hAnsi="Courier New" w:cs="Courier New"/>
          <w:color w:val="000000"/>
          <w:sz w:val="18"/>
        </w:rPr>
        <w:t>API</w:t>
      </w:r>
      <w:r w:rsidRPr="000B11A5">
        <w:rPr>
          <w:rFonts w:ascii="Courier New" w:eastAsia="宋体" w:hAnsi="Courier New" w:cs="Courier New"/>
          <w:color w:val="000000"/>
          <w:sz w:val="18"/>
        </w:rPr>
        <w:t>文档描述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2.Contructor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对象的</w:t>
      </w:r>
      <w:proofErr w:type="spellStart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newInstance</w:t>
      </w:r>
      <w:proofErr w:type="spellEnd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方法（不填参数就和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1.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一样）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先获得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对象，然后通过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对象生成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Constructor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对象，通过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Constructor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对象的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newInstance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方法生成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1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Class&lt;?&gt;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classType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Customer.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2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//Class[]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数组对应形参类型、个数，这里为空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3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Constructor cons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classType.getConstructor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Class[]{}); 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4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//Object[]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数组对应传入的实参的类型、个数，这里为空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5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Object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cons.newInstance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Object[]{});</w:t>
      </w:r>
    </w:p>
    <w:p w:rsidR="000B11A5" w:rsidRPr="000B11A5" w:rsidRDefault="000B11A5" w:rsidP="000B11A5">
      <w:pPr>
        <w:shd w:val="clear" w:color="auto" w:fill="F5F5F5"/>
        <w:wordWrap w:val="0"/>
        <w:adjustRightInd/>
        <w:snapToGrid/>
        <w:spacing w:after="75"/>
        <w:rPr>
          <w:rFonts w:ascii="Courier New" w:eastAsia="宋体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6" name="code_img_closed_d9aad11b-e208-4724-931a-1b1fa73b32e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9aad11b-e208-4724-931a-1b1fa73b32e9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1A5">
        <w:rPr>
          <w:rFonts w:ascii="Courier New" w:eastAsia="宋体" w:hAnsi="Courier New" w:cs="Courier New"/>
          <w:color w:val="000000"/>
          <w:sz w:val="18"/>
        </w:rPr>
        <w:t>API-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</w:rPr>
        <w:t>getConstructor</w:t>
      </w:r>
      <w:proofErr w:type="spellEnd"/>
    </w:p>
    <w:p w:rsidR="000B11A5" w:rsidRPr="000B11A5" w:rsidRDefault="000B11A5" w:rsidP="000B11A5">
      <w:pPr>
        <w:shd w:val="clear" w:color="auto" w:fill="F5F5F5"/>
        <w:wordWrap w:val="0"/>
        <w:adjustRightInd/>
        <w:snapToGrid/>
        <w:spacing w:after="75"/>
        <w:rPr>
          <w:rFonts w:ascii="Courier New" w:eastAsia="宋体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7" name="code_img_closed_b6c1fbf7-a721-40fc-aed1-b3aed90a49ee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6c1fbf7-a721-40fc-aed1-b3aed90a49e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1A5">
        <w:rPr>
          <w:rFonts w:ascii="Courier New" w:eastAsia="宋体" w:hAnsi="Courier New" w:cs="Courier New"/>
          <w:color w:val="000000"/>
          <w:sz w:val="18"/>
        </w:rPr>
        <w:t>API-Cons-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</w:rPr>
        <w:t>newInstance</w:t>
      </w:r>
      <w:proofErr w:type="spellEnd"/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含参构造</w:t>
      </w:r>
    </w:p>
    <w:p w:rsidR="000B11A5" w:rsidRPr="000B11A5" w:rsidRDefault="000B11A5" w:rsidP="000B11A5">
      <w:pPr>
        <w:adjustRightInd/>
        <w:snapToGrid/>
        <w:spacing w:before="100" w:beforeAutospacing="1" w:after="100" w:afterAutospacing="1"/>
        <w:outlineLvl w:val="2"/>
        <w:rPr>
          <w:rFonts w:ascii="Verdana" w:eastAsia="宋体" w:hAnsi="Verdana" w:cs="宋体"/>
          <w:b/>
          <w:bCs/>
          <w:color w:val="000000"/>
          <w:sz w:val="28"/>
          <w:szCs w:val="28"/>
        </w:rPr>
      </w:pP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3.Contructor</w:t>
      </w:r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对象的</w:t>
      </w:r>
      <w:proofErr w:type="spellStart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newInstance</w:t>
      </w:r>
      <w:proofErr w:type="spellEnd"/>
      <w:r w:rsidRPr="000B11A5">
        <w:rPr>
          <w:rFonts w:ascii="Verdana" w:eastAsia="宋体" w:hAnsi="Verdana" w:cs="宋体"/>
          <w:b/>
          <w:bCs/>
          <w:color w:val="000000"/>
          <w:sz w:val="28"/>
          <w:szCs w:val="28"/>
        </w:rPr>
        <w:t>方法（填入形参类型和实际参数）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先获得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对象，然后通过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对象生成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Constructor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对象，通过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Constructor</w:t>
      </w:r>
      <w:r w:rsidRPr="000B11A5">
        <w:rPr>
          <w:rFonts w:ascii="Verdana" w:eastAsia="宋体" w:hAnsi="Verdana" w:cs="宋体"/>
          <w:color w:val="000000"/>
          <w:sz w:val="21"/>
          <w:szCs w:val="21"/>
        </w:rPr>
        <w:t>对象的</w:t>
      </w:r>
      <w:proofErr w:type="spellStart"/>
      <w:r w:rsidRPr="000B11A5">
        <w:rPr>
          <w:rFonts w:ascii="Verdana" w:eastAsia="宋体" w:hAnsi="Verdana" w:cs="宋体"/>
          <w:color w:val="000000"/>
          <w:sz w:val="21"/>
          <w:szCs w:val="21"/>
        </w:rPr>
        <w:t>newInstance</w:t>
      </w:r>
      <w:proofErr w:type="spellEnd"/>
      <w:r w:rsidRPr="000B11A5">
        <w:rPr>
          <w:rFonts w:ascii="Verdana" w:eastAsia="宋体" w:hAnsi="Verdana" w:cs="宋体"/>
          <w:color w:val="000000"/>
          <w:sz w:val="21"/>
          <w:szCs w:val="21"/>
        </w:rPr>
        <w:t>方法生成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1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Class&lt;?&gt;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classType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Customer.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2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//Class[]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数组对应形参类型、个数，这里为</w:t>
      </w:r>
      <w:proofErr w:type="spellStart"/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Integer.TYPE,Xenos.class,String.class</w:t>
      </w:r>
      <w:proofErr w:type="spellEnd"/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3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Constructor cons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classType.getConstructor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Class[]{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Integer.TYPE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,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Xenos.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,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String.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}); 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4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//Object[]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数组对应传入的实参的类型、个数，这里为</w:t>
      </w:r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 xml:space="preserve">1, new </w:t>
      </w:r>
      <w:proofErr w:type="spellStart"/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Xenos</w:t>
      </w:r>
      <w:proofErr w:type="spellEnd"/>
      <w:r w:rsidRPr="000B11A5">
        <w:rPr>
          <w:rFonts w:ascii="Courier New" w:eastAsia="宋体" w:hAnsi="Courier New" w:cs="Courier New"/>
          <w:color w:val="008000"/>
          <w:sz w:val="18"/>
          <w:szCs w:val="18"/>
        </w:rPr>
        <w:t>(), "Think"</w:t>
      </w:r>
    </w:p>
    <w:p w:rsidR="000B11A5" w:rsidRPr="000B11A5" w:rsidRDefault="000B11A5" w:rsidP="000B11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B11A5">
        <w:rPr>
          <w:rFonts w:ascii="Courier New" w:eastAsia="宋体" w:hAnsi="Courier New" w:cs="Courier New"/>
          <w:color w:val="008080"/>
          <w:sz w:val="18"/>
          <w:szCs w:val="18"/>
        </w:rPr>
        <w:t>5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Object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obj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cons.newInstance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(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Object[]{1, </w:t>
      </w:r>
      <w:r w:rsidRPr="000B11A5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proofErr w:type="spellStart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Xenos</w:t>
      </w:r>
      <w:proofErr w:type="spellEnd"/>
      <w:r w:rsidRPr="000B11A5">
        <w:rPr>
          <w:rFonts w:ascii="Courier New" w:eastAsia="宋体" w:hAnsi="Courier New" w:cs="Courier New"/>
          <w:color w:val="000000"/>
          <w:sz w:val="18"/>
          <w:szCs w:val="18"/>
        </w:rPr>
        <w:t>(), "Think"});</w:t>
      </w:r>
    </w:p>
    <w:p w:rsidR="000B11A5" w:rsidRPr="000B11A5" w:rsidRDefault="000B11A5" w:rsidP="000B11A5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B11A5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11A5"/>
    <w:rsid w:val="00323B43"/>
    <w:rsid w:val="003D37D8"/>
    <w:rsid w:val="00426133"/>
    <w:rsid w:val="004358AB"/>
    <w:rsid w:val="008B7726"/>
    <w:rsid w:val="00A442B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B11A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11A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11A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1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11A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11A5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B11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B11A5"/>
    <w:rPr>
      <w:b/>
      <w:bCs/>
    </w:rPr>
  </w:style>
  <w:style w:type="character" w:customStyle="1" w:styleId="cnblogscodecollapse">
    <w:name w:val="cnblogs_code_collapse"/>
    <w:basedOn w:val="a0"/>
    <w:rsid w:val="000B11A5"/>
  </w:style>
  <w:style w:type="paragraph" w:styleId="HTML">
    <w:name w:val="HTML Preformatted"/>
    <w:basedOn w:val="a"/>
    <w:link w:val="HTMLChar"/>
    <w:uiPriority w:val="99"/>
    <w:semiHidden/>
    <w:unhideWhenUsed/>
    <w:rsid w:val="000B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11A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11A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11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7283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78203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7721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2018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51418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5982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2016-08-21T02:50:00Z</dcterms:modified>
</cp:coreProperties>
</file>