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360" w:lineRule="auto" w:before="0" w:after="0"/>
        <w:jc w:val="center"/>
      </w:pPr>
      <w:r>
        <w:rPr>
          <w:rFonts w:ascii="黑体" w:hAnsi="黑体" w:eastAsia="黑体"/>
          <w:b/>
          <w:sz w:val="36"/>
        </w:rPr>
        <w:t>2025-2026学年第二学期结课论文</w:t>
      </w:r>
    </w:p>
    <w:p/>
    <w:p/>
    <w:p/>
    <w:p/>
    <w:p>
      <w:pPr>
        <w:spacing w:line="360" w:lineRule="auto" w:before="0" w:after="0"/>
        <w:jc w:val="center"/>
      </w:pPr>
      <w:r>
        <w:rPr>
          <w:rFonts w:ascii="黑体" w:hAnsi="黑体" w:eastAsia="黑体"/>
          <w:b/>
          <w:sz w:val="40"/>
        </w:rPr>
        <w:t>中华民族共同体概论</w:t>
      </w:r>
    </w:p>
    <w:p/>
    <w:p/>
    <w:p>
      <w:pPr>
        <w:spacing w:line="360" w:lineRule="auto" w:before="0" w:after="0"/>
        <w:jc w:val="center"/>
      </w:pPr>
      <w:r>
        <w:rPr>
          <w:rFonts w:ascii="黑体" w:hAnsi="黑体" w:eastAsia="黑体"/>
          <w:b/>
          <w:sz w:val="32"/>
        </w:rPr>
        <w:t>中国式现代化进程中铸牢中华民族共同体意识的实践路径研究</w:t>
      </w:r>
    </w:p>
    <w:p/>
    <w:p/>
    <w:p/>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22"/>
        <w:gridCol w:w="3022"/>
        <w:gridCol w:w="3022"/>
      </w:tblGrid>
      <w:tr>
        <w:tc>
          <w:tcPr>
            <w:tcW w:type="dxa" w:w="3022"/>
          </w:tcPr>
          <w:p>
            <w:pPr>
              <w:spacing w:line="360" w:lineRule="auto" w:before="0" w:after="0"/>
            </w:pPr>
            <w:r/>
            <w:r>
              <w:rPr>
                <w:rFonts w:ascii="宋体" w:hAnsi="宋体" w:eastAsia="宋体"/>
                <w:b/>
                <w:sz w:val="24"/>
              </w:rPr>
              <w:t>课程名</w:t>
            </w:r>
          </w:p>
        </w:tc>
        <w:tc>
          <w:tcPr>
            <w:tcW w:type="dxa" w:w="3022"/>
          </w:tcPr>
          <w:p>
            <w:pPr>
              <w:spacing w:line="360" w:lineRule="auto" w:before="0" w:after="0"/>
            </w:pPr>
            <w:r/>
            <w:r>
              <w:rPr>
                <w:rFonts w:ascii="宋体" w:hAnsi="宋体" w:eastAsia="宋体"/>
                <w:b w:val="0"/>
                <w:sz w:val="24"/>
              </w:rPr>
              <w:t>：</w:t>
            </w:r>
          </w:p>
        </w:tc>
        <w:tc>
          <w:tcPr>
            <w:tcW w:type="dxa" w:w="3022"/>
          </w:tcPr>
          <w:p>
            <w:pPr>
              <w:spacing w:line="360" w:lineRule="auto" w:before="0" w:after="0"/>
            </w:pPr>
            <w:r/>
            <w:r>
              <w:rPr>
                <w:rFonts w:ascii="宋体" w:hAnsi="宋体" w:eastAsia="宋体"/>
                <w:b w:val="0"/>
                <w:sz w:val="24"/>
              </w:rPr>
              <w:t>中华民族共同体概论</w:t>
            </w:r>
          </w:p>
        </w:tc>
      </w:tr>
      <w:tr>
        <w:tc>
          <w:tcPr>
            <w:tcW w:type="dxa" w:w="3022"/>
          </w:tcPr>
          <w:p>
            <w:pPr>
              <w:spacing w:line="360" w:lineRule="auto" w:before="0" w:after="0"/>
            </w:pPr>
            <w:r/>
            <w:r>
              <w:rPr>
                <w:rFonts w:ascii="宋体" w:hAnsi="宋体" w:eastAsia="宋体"/>
                <w:b/>
                <w:sz w:val="24"/>
              </w:rPr>
              <w:t>论文题目</w:t>
            </w:r>
          </w:p>
        </w:tc>
        <w:tc>
          <w:tcPr>
            <w:tcW w:type="dxa" w:w="3022"/>
          </w:tcPr>
          <w:p>
            <w:pPr>
              <w:spacing w:line="360" w:lineRule="auto" w:before="0" w:after="0"/>
            </w:pPr>
            <w:r/>
            <w:r>
              <w:rPr>
                <w:rFonts w:ascii="宋体" w:hAnsi="宋体" w:eastAsia="宋体"/>
                <w:b w:val="0"/>
                <w:sz w:val="24"/>
              </w:rPr>
              <w:t>：</w:t>
            </w:r>
          </w:p>
        </w:tc>
        <w:tc>
          <w:tcPr>
            <w:tcW w:type="dxa" w:w="3022"/>
          </w:tcPr>
          <w:p>
            <w:pPr>
              <w:spacing w:line="360" w:lineRule="auto" w:before="0" w:after="0"/>
            </w:pPr>
            <w:r/>
            <w:r>
              <w:rPr>
                <w:rFonts w:ascii="宋体" w:hAnsi="宋体" w:eastAsia="宋体"/>
                <w:b w:val="0"/>
                <w:sz w:val="24"/>
              </w:rPr>
              <w:t>中国式现代化进程中铸牢中华民族共同体意识的实践路径研究</w:t>
            </w:r>
          </w:p>
        </w:tc>
      </w:tr>
      <w:tr>
        <w:tc>
          <w:tcPr>
            <w:tcW w:type="dxa" w:w="3022"/>
          </w:tcPr>
          <w:p>
            <w:pPr>
              <w:spacing w:line="360" w:lineRule="auto" w:before="0" w:after="0"/>
            </w:pPr>
            <w:r/>
            <w:r>
              <w:rPr>
                <w:rFonts w:ascii="宋体" w:hAnsi="宋体" w:eastAsia="宋体"/>
                <w:b/>
                <w:sz w:val="24"/>
              </w:rPr>
              <w:t>任课教师</w:t>
            </w:r>
          </w:p>
        </w:tc>
        <w:tc>
          <w:tcPr>
            <w:tcW w:type="dxa" w:w="3022"/>
          </w:tcPr>
          <w:p>
            <w:pPr>
              <w:spacing w:line="360" w:lineRule="auto" w:before="0" w:after="0"/>
            </w:pPr>
            <w:r/>
            <w:r>
              <w:rPr>
                <w:rFonts w:ascii="宋体" w:hAnsi="宋体" w:eastAsia="宋体"/>
                <w:b w:val="0"/>
                <w:sz w:val="24"/>
              </w:rPr>
              <w:t>：</w:t>
            </w:r>
          </w:p>
        </w:tc>
        <w:tc>
          <w:tcPr>
            <w:tcW w:type="dxa" w:w="3022"/>
          </w:tcPr>
          <w:p>
            <w:pPr>
              <w:spacing w:line="360" w:lineRule="auto" w:before="0" w:after="0"/>
            </w:pPr>
            <w:r/>
            <w:r>
              <w:rPr>
                <w:rFonts w:ascii="宋体" w:hAnsi="宋体" w:eastAsia="宋体"/>
                <w:b w:val="0"/>
                <w:sz w:val="24"/>
              </w:rPr>
              <w:t>王文昊</w:t>
            </w:r>
          </w:p>
        </w:tc>
      </w:tr>
      <w:tr>
        <w:tc>
          <w:tcPr>
            <w:tcW w:type="dxa" w:w="3022"/>
          </w:tcPr>
          <w:p>
            <w:pPr>
              <w:spacing w:line="360" w:lineRule="auto" w:before="0" w:after="0"/>
            </w:pPr>
            <w:r/>
            <w:r>
              <w:rPr>
                <w:rFonts w:ascii="宋体" w:hAnsi="宋体" w:eastAsia="宋体"/>
                <w:b/>
                <w:sz w:val="24"/>
              </w:rPr>
              <w:t>姓名</w:t>
            </w:r>
          </w:p>
        </w:tc>
        <w:tc>
          <w:tcPr>
            <w:tcW w:type="dxa" w:w="3022"/>
          </w:tcPr>
          <w:p>
            <w:pPr>
              <w:spacing w:line="360" w:lineRule="auto" w:before="0" w:after="0"/>
            </w:pPr>
            <w:r/>
            <w:r>
              <w:rPr>
                <w:rFonts w:ascii="宋体" w:hAnsi="宋体" w:eastAsia="宋体"/>
                <w:b w:val="0"/>
                <w:sz w:val="24"/>
              </w:rPr>
              <w:t>：</w:t>
            </w:r>
          </w:p>
        </w:tc>
        <w:tc>
          <w:tcPr>
            <w:tcW w:type="dxa" w:w="3022"/>
          </w:tcPr>
          <w:p>
            <w:pPr>
              <w:spacing w:line="360" w:lineRule="auto" w:before="0" w:after="0"/>
            </w:pPr>
            <w:r/>
            <w:r>
              <w:rPr>
                <w:rFonts w:ascii="宋体" w:hAnsi="宋体" w:eastAsia="宋体"/>
                <w:b w:val="0"/>
                <w:sz w:val="24"/>
              </w:rPr>
              <w:t>________________</w:t>
            </w:r>
          </w:p>
        </w:tc>
      </w:tr>
      <w:tr>
        <w:tc>
          <w:tcPr>
            <w:tcW w:type="dxa" w:w="3022"/>
          </w:tcPr>
          <w:p>
            <w:pPr>
              <w:spacing w:line="360" w:lineRule="auto" w:before="0" w:after="0"/>
            </w:pPr>
            <w:r/>
            <w:r>
              <w:rPr>
                <w:rFonts w:ascii="宋体" w:hAnsi="宋体" w:eastAsia="宋体"/>
                <w:b/>
                <w:sz w:val="24"/>
              </w:rPr>
              <w:t>学号</w:t>
            </w:r>
          </w:p>
        </w:tc>
        <w:tc>
          <w:tcPr>
            <w:tcW w:type="dxa" w:w="3022"/>
          </w:tcPr>
          <w:p>
            <w:pPr>
              <w:spacing w:line="360" w:lineRule="auto" w:before="0" w:after="0"/>
            </w:pPr>
            <w:r/>
            <w:r>
              <w:rPr>
                <w:rFonts w:ascii="宋体" w:hAnsi="宋体" w:eastAsia="宋体"/>
                <w:b w:val="0"/>
                <w:sz w:val="24"/>
              </w:rPr>
              <w:t>：</w:t>
            </w:r>
          </w:p>
        </w:tc>
        <w:tc>
          <w:tcPr>
            <w:tcW w:type="dxa" w:w="3022"/>
          </w:tcPr>
          <w:p>
            <w:pPr>
              <w:spacing w:line="360" w:lineRule="auto" w:before="0" w:after="0"/>
            </w:pPr>
            <w:r/>
            <w:r>
              <w:rPr>
                <w:rFonts w:ascii="宋体" w:hAnsi="宋体" w:eastAsia="宋体"/>
                <w:b w:val="0"/>
                <w:sz w:val="24"/>
              </w:rPr>
              <w:t>________________</w:t>
            </w:r>
          </w:p>
        </w:tc>
      </w:tr>
      <w:tr>
        <w:tc>
          <w:tcPr>
            <w:tcW w:type="dxa" w:w="3022"/>
          </w:tcPr>
          <w:p>
            <w:pPr>
              <w:spacing w:line="360" w:lineRule="auto" w:before="0" w:after="0"/>
            </w:pPr>
            <w:r/>
            <w:r>
              <w:rPr>
                <w:rFonts w:ascii="宋体" w:hAnsi="宋体" w:eastAsia="宋体"/>
                <w:b/>
                <w:sz w:val="24"/>
              </w:rPr>
              <w:t>班级</w:t>
            </w:r>
          </w:p>
        </w:tc>
        <w:tc>
          <w:tcPr>
            <w:tcW w:type="dxa" w:w="3022"/>
          </w:tcPr>
          <w:p>
            <w:pPr>
              <w:spacing w:line="360" w:lineRule="auto" w:before="0" w:after="0"/>
            </w:pPr>
            <w:r/>
            <w:r>
              <w:rPr>
                <w:rFonts w:ascii="宋体" w:hAnsi="宋体" w:eastAsia="宋体"/>
                <w:b w:val="0"/>
                <w:sz w:val="24"/>
              </w:rPr>
              <w:t>：</w:t>
            </w:r>
          </w:p>
        </w:tc>
        <w:tc>
          <w:tcPr>
            <w:tcW w:type="dxa" w:w="3022"/>
          </w:tcPr>
          <w:p>
            <w:pPr>
              <w:spacing w:line="360" w:lineRule="auto" w:before="0" w:after="0"/>
            </w:pPr>
            <w:r/>
            <w:r>
              <w:rPr>
                <w:rFonts w:ascii="宋体" w:hAnsi="宋体" w:eastAsia="宋体"/>
                <w:b w:val="0"/>
                <w:sz w:val="24"/>
              </w:rPr>
              <w:t>________________</w:t>
            </w:r>
          </w:p>
        </w:tc>
      </w:tr>
      <w:tr>
        <w:tc>
          <w:tcPr>
            <w:tcW w:type="dxa" w:w="3022"/>
          </w:tcPr>
          <w:p>
            <w:pPr>
              <w:spacing w:line="360" w:lineRule="auto" w:before="0" w:after="0"/>
            </w:pPr>
            <w:r/>
            <w:r>
              <w:rPr>
                <w:rFonts w:ascii="宋体" w:hAnsi="宋体" w:eastAsia="宋体"/>
                <w:b/>
                <w:sz w:val="24"/>
              </w:rPr>
              <w:t>年级</w:t>
            </w:r>
          </w:p>
        </w:tc>
        <w:tc>
          <w:tcPr>
            <w:tcW w:type="dxa" w:w="3022"/>
          </w:tcPr>
          <w:p>
            <w:pPr>
              <w:spacing w:line="360" w:lineRule="auto" w:before="0" w:after="0"/>
            </w:pPr>
            <w:r/>
            <w:r>
              <w:rPr>
                <w:rFonts w:ascii="宋体" w:hAnsi="宋体" w:eastAsia="宋体"/>
                <w:b w:val="0"/>
                <w:sz w:val="24"/>
              </w:rPr>
              <w:t>：</w:t>
            </w:r>
          </w:p>
        </w:tc>
        <w:tc>
          <w:tcPr>
            <w:tcW w:type="dxa" w:w="3022"/>
          </w:tcPr>
          <w:p>
            <w:pPr>
              <w:spacing w:line="360" w:lineRule="auto" w:before="0" w:after="0"/>
            </w:pPr>
            <w:r/>
            <w:r>
              <w:rPr>
                <w:rFonts w:ascii="宋体" w:hAnsi="宋体" w:eastAsia="宋体"/>
                <w:b w:val="0"/>
                <w:sz w:val="24"/>
              </w:rPr>
              <w:t>2023级</w:t>
            </w:r>
          </w:p>
        </w:tc>
      </w:tr>
      <w:tr>
        <w:tc>
          <w:tcPr>
            <w:tcW w:type="dxa" w:w="3022"/>
          </w:tcPr>
          <w:p>
            <w:pPr>
              <w:spacing w:line="360" w:lineRule="auto" w:before="0" w:after="0"/>
            </w:pPr>
            <w:r/>
            <w:r>
              <w:rPr>
                <w:rFonts w:ascii="宋体" w:hAnsi="宋体" w:eastAsia="宋体"/>
                <w:b/>
                <w:sz w:val="24"/>
              </w:rPr>
              <w:t>专业</w:t>
            </w:r>
          </w:p>
        </w:tc>
        <w:tc>
          <w:tcPr>
            <w:tcW w:type="dxa" w:w="3022"/>
          </w:tcPr>
          <w:p>
            <w:pPr>
              <w:spacing w:line="360" w:lineRule="auto" w:before="0" w:after="0"/>
            </w:pPr>
            <w:r/>
            <w:r>
              <w:rPr>
                <w:rFonts w:ascii="宋体" w:hAnsi="宋体" w:eastAsia="宋体"/>
                <w:b w:val="0"/>
                <w:sz w:val="24"/>
              </w:rPr>
              <w:t>：</w:t>
            </w:r>
          </w:p>
        </w:tc>
        <w:tc>
          <w:tcPr>
            <w:tcW w:type="dxa" w:w="3022"/>
          </w:tcPr>
          <w:p>
            <w:pPr>
              <w:spacing w:line="360" w:lineRule="auto" w:before="0" w:after="0"/>
            </w:pPr>
            <w:r/>
            <w:r>
              <w:rPr>
                <w:rFonts w:ascii="宋体" w:hAnsi="宋体" w:eastAsia="宋体"/>
                <w:b w:val="0"/>
                <w:sz w:val="24"/>
              </w:rPr>
              <w:t>________________</w:t>
            </w:r>
          </w:p>
        </w:tc>
      </w:tr>
      <w:tr>
        <w:tc>
          <w:tcPr>
            <w:tcW w:type="dxa" w:w="3022"/>
          </w:tcPr>
          <w:p>
            <w:pPr>
              <w:spacing w:line="360" w:lineRule="auto" w:before="0" w:after="0"/>
            </w:pPr>
            <w:r/>
            <w:r>
              <w:rPr>
                <w:rFonts w:ascii="宋体" w:hAnsi="宋体" w:eastAsia="宋体"/>
                <w:b/>
                <w:sz w:val="24"/>
              </w:rPr>
              <w:t>学院</w:t>
            </w:r>
          </w:p>
        </w:tc>
        <w:tc>
          <w:tcPr>
            <w:tcW w:type="dxa" w:w="3022"/>
          </w:tcPr>
          <w:p>
            <w:pPr>
              <w:spacing w:line="360" w:lineRule="auto" w:before="0" w:after="0"/>
            </w:pPr>
            <w:r/>
            <w:r>
              <w:rPr>
                <w:rFonts w:ascii="宋体" w:hAnsi="宋体" w:eastAsia="宋体"/>
                <w:b w:val="0"/>
                <w:sz w:val="24"/>
              </w:rPr>
              <w:t>：</w:t>
            </w:r>
          </w:p>
        </w:tc>
        <w:tc>
          <w:tcPr>
            <w:tcW w:type="dxa" w:w="3022"/>
          </w:tcPr>
          <w:p>
            <w:pPr>
              <w:spacing w:line="360" w:lineRule="auto" w:before="0" w:after="0"/>
            </w:pPr>
            <w:r/>
            <w:r>
              <w:rPr>
                <w:rFonts w:ascii="宋体" w:hAnsi="宋体" w:eastAsia="宋体"/>
                <w:b w:val="0"/>
                <w:sz w:val="24"/>
              </w:rPr>
              <w:t>________________</w:t>
            </w:r>
          </w:p>
        </w:tc>
      </w:tr>
      <w:tr>
        <w:tc>
          <w:tcPr>
            <w:tcW w:type="dxa" w:w="3022"/>
          </w:tcPr>
          <w:p>
            <w:pPr>
              <w:spacing w:line="360" w:lineRule="auto" w:before="0" w:after="0"/>
            </w:pPr>
            <w:r/>
            <w:r>
              <w:rPr>
                <w:rFonts w:ascii="宋体" w:hAnsi="宋体" w:eastAsia="宋体"/>
                <w:b/>
                <w:sz w:val="24"/>
              </w:rPr>
              <w:t>完成时间</w:t>
            </w:r>
          </w:p>
        </w:tc>
        <w:tc>
          <w:tcPr>
            <w:tcW w:type="dxa" w:w="3022"/>
          </w:tcPr>
          <w:p>
            <w:pPr>
              <w:spacing w:line="360" w:lineRule="auto" w:before="0" w:after="0"/>
            </w:pPr>
            <w:r/>
            <w:r>
              <w:rPr>
                <w:rFonts w:ascii="宋体" w:hAnsi="宋体" w:eastAsia="宋体"/>
                <w:b w:val="0"/>
                <w:sz w:val="24"/>
              </w:rPr>
              <w:t>：</w:t>
            </w:r>
          </w:p>
        </w:tc>
        <w:tc>
          <w:tcPr>
            <w:tcW w:type="dxa" w:w="3022"/>
          </w:tcPr>
          <w:p>
            <w:pPr>
              <w:spacing w:line="360" w:lineRule="auto" w:before="0" w:after="0"/>
            </w:pPr>
            <w:r/>
            <w:r>
              <w:rPr>
                <w:rFonts w:ascii="宋体" w:hAnsi="宋体" w:eastAsia="宋体"/>
                <w:b w:val="0"/>
                <w:sz w:val="24"/>
              </w:rPr>
              <w:t>2026年06月10日</w:t>
            </w:r>
          </w:p>
        </w:tc>
      </w:tr>
    </w:tbl>
    <w:p>
      <w:r>
        <w:br w:type="page"/>
      </w:r>
    </w:p>
    <w:p>
      <w:pPr>
        <w:spacing w:line="360" w:lineRule="auto" w:before="0" w:after="0"/>
        <w:jc w:val="center"/>
      </w:pPr>
      <w:r>
        <w:rPr>
          <w:rFonts w:ascii="黑体" w:hAnsi="黑体" w:eastAsia="黑体"/>
          <w:b/>
          <w:sz w:val="32"/>
        </w:rPr>
        <w:t>目录</w:t>
      </w:r>
    </w:p>
    <w:p/>
    <w:p>
      <w:pPr>
        <w:spacing w:line="360" w:lineRule="auto" w:before="0" w:after="0"/>
      </w:pPr>
      <w:r>
        <w:rPr>
          <w:rFonts w:ascii="宋体" w:hAnsi="宋体" w:eastAsia="宋体"/>
          <w:sz w:val="24"/>
        </w:rPr>
        <w:t>摘要</w:t>
      </w:r>
    </w:p>
    <w:p>
      <w:pPr>
        <w:spacing w:line="360" w:lineRule="auto" w:before="0" w:after="0"/>
      </w:pPr>
      <w:r>
        <w:rPr>
          <w:rFonts w:ascii="宋体" w:hAnsi="宋体" w:eastAsia="宋体"/>
          <w:sz w:val="24"/>
        </w:rPr>
        <w:t>关键词</w:t>
      </w:r>
    </w:p>
    <w:p>
      <w:pPr>
        <w:spacing w:line="360" w:lineRule="auto" w:before="0" w:after="0"/>
      </w:pPr>
      <w:r>
        <w:rPr>
          <w:rFonts w:ascii="宋体" w:hAnsi="宋体" w:eastAsia="宋体"/>
          <w:sz w:val="24"/>
        </w:rPr>
        <w:t>一、引言</w:t>
      </w:r>
    </w:p>
    <w:p>
      <w:pPr>
        <w:spacing w:line="360" w:lineRule="auto" w:before="0" w:after="0"/>
      </w:pPr>
      <w:r>
        <w:rPr>
          <w:rFonts w:ascii="宋体" w:hAnsi="宋体" w:eastAsia="宋体"/>
          <w:sz w:val="24"/>
        </w:rPr>
        <w:t>二、中华民族共同体的历史生成逻辑</w:t>
      </w:r>
    </w:p>
    <w:p>
      <w:pPr>
        <w:spacing w:line="360" w:lineRule="auto" w:before="0" w:after="0"/>
      </w:pPr>
      <w:r>
        <w:rPr>
          <w:rFonts w:ascii="宋体" w:hAnsi="宋体" w:eastAsia="宋体"/>
          <w:sz w:val="24"/>
        </w:rPr>
        <w:t>三、中国式现代化与中华民族共同体建设的内在关系</w:t>
      </w:r>
    </w:p>
    <w:p>
      <w:pPr>
        <w:spacing w:line="360" w:lineRule="auto" w:before="0" w:after="0"/>
      </w:pPr>
      <w:r>
        <w:rPr>
          <w:rFonts w:ascii="宋体" w:hAnsi="宋体" w:eastAsia="宋体"/>
          <w:sz w:val="24"/>
        </w:rPr>
        <w:t>四、新征程中铸牢共同体意识面临的现实问题</w:t>
      </w:r>
    </w:p>
    <w:p>
      <w:pPr>
        <w:spacing w:line="360" w:lineRule="auto" w:before="0" w:after="0"/>
      </w:pPr>
      <w:r>
        <w:rPr>
          <w:rFonts w:ascii="宋体" w:hAnsi="宋体" w:eastAsia="宋体"/>
          <w:sz w:val="24"/>
        </w:rPr>
        <w:t>五、中国式现代化进程中铸牢共同体意识的实践路径</w:t>
      </w:r>
    </w:p>
    <w:p>
      <w:pPr>
        <w:spacing w:line="360" w:lineRule="auto" w:before="0" w:after="0"/>
      </w:pPr>
      <w:r>
        <w:rPr>
          <w:rFonts w:ascii="宋体" w:hAnsi="宋体" w:eastAsia="宋体"/>
          <w:sz w:val="24"/>
        </w:rPr>
        <w:t>六、结论</w:t>
      </w:r>
    </w:p>
    <w:p>
      <w:pPr>
        <w:spacing w:line="360" w:lineRule="auto" w:before="0" w:after="0"/>
      </w:pPr>
      <w:r>
        <w:rPr>
          <w:rFonts w:ascii="宋体" w:hAnsi="宋体" w:eastAsia="宋体"/>
          <w:sz w:val="24"/>
        </w:rPr>
        <w:t>参考文献</w:t>
      </w:r>
    </w:p>
    <w:p>
      <w:pPr>
        <w:spacing w:line="360" w:lineRule="auto" w:before="0" w:after="0"/>
      </w:pPr>
      <w:r>
        <w:rPr>
          <w:rFonts w:ascii="宋体" w:hAnsi="宋体" w:eastAsia="宋体"/>
          <w:sz w:val="24"/>
        </w:rPr>
        <w:t>评分标准</w:t>
      </w:r>
    </w:p>
    <w:p>
      <w:r>
        <w:br w:type="page"/>
      </w:r>
    </w:p>
    <w:p>
      <w:pPr>
        <w:spacing w:line="360" w:lineRule="auto" w:before="0" w:after="0"/>
        <w:jc w:val="center"/>
      </w:pPr>
      <w:r>
        <w:rPr>
          <w:rFonts w:ascii="黑体" w:hAnsi="黑体" w:eastAsia="黑体"/>
          <w:b/>
          <w:sz w:val="32"/>
        </w:rPr>
        <w:t>中国式现代化进程中铸牢中华民族共同体意识的实践路径研究</w:t>
      </w:r>
    </w:p>
    <w:p>
      <w:pPr>
        <w:spacing w:line="360" w:lineRule="auto" w:before="0" w:after="0"/>
      </w:pPr>
      <w:r>
        <w:rPr>
          <w:rFonts w:ascii="黑体" w:hAnsi="黑体" w:eastAsia="黑体"/>
          <w:b/>
          <w:sz w:val="28"/>
        </w:rPr>
        <w:t>摘要：</w:t>
      </w:r>
      <w:r>
        <w:rPr>
          <w:rFonts w:ascii="楷体" w:hAnsi="楷体" w:eastAsia="楷体"/>
          <w:sz w:val="28"/>
        </w:rPr>
        <w:t>铸牢中华民族共同体意识，是新时代党的民族工作的主线，也是中国式现代化进程中凝聚各民族共同奋斗力量的重要命题。中华民族共同体并不是抽象的政治概念，而是在长期历史发展中由各民族共同开拓疆域、共同书写历史、共同创造文化、共同培育精神而形成的命运共同体。中国式现代化强调中国共产党领导、全体人民共同富裕、物质文明和精神文明相协调、人与自然和谐共生以及走和平发展道路，这些特征都要求在国家认同、文化认同、制度认同和发展认同上形成更加稳固的共同体基础。本文结合《中华民族共同体概论》课程内容，从历史生成、理论逻辑、现实挑战和实践路径四个层面展开分析，认为新征程上铸牢中华民族共同体意识，应坚持以正确中华民族历史观为基础，以中华文化认同为根本，以共同富裕和民族地区治理现代化为支撑，以青年教育和日常交往交流交融为着力点，从而把共同体意识转化为推进强国建设、民族复兴伟业的持续力量。</w:t>
      </w:r>
    </w:p>
    <w:p>
      <w:pPr>
        <w:spacing w:line="360" w:lineRule="auto" w:before="0" w:after="0"/>
      </w:pPr>
      <w:r>
        <w:rPr>
          <w:rFonts w:ascii="黑体" w:hAnsi="黑体" w:eastAsia="黑体"/>
          <w:b/>
          <w:sz w:val="28"/>
        </w:rPr>
        <w:t>关键词：</w:t>
      </w:r>
      <w:r>
        <w:rPr>
          <w:rFonts w:ascii="楷体" w:hAnsi="楷体" w:eastAsia="楷体"/>
          <w:sz w:val="28"/>
        </w:rPr>
        <w:t>中国式现代化；中华民族共同体意识；民族团结；共同富裕；中华文化认同</w:t>
      </w:r>
    </w:p>
    <w:p>
      <w:pPr>
        <w:spacing w:line="360" w:lineRule="auto" w:before="0" w:after="0"/>
      </w:pPr>
      <w:r>
        <w:rPr>
          <w:rFonts w:ascii="黑体" w:hAnsi="黑体" w:eastAsia="黑体"/>
          <w:sz w:val="24"/>
        </w:rPr>
        <w:t>一、引言</w:t>
      </w:r>
    </w:p>
    <w:p>
      <w:pPr>
        <w:spacing w:line="360" w:lineRule="auto" w:before="0" w:after="0"/>
        <w:ind w:firstLine="480"/>
      </w:pPr>
      <w:r>
        <w:rPr>
          <w:rFonts w:ascii="宋体" w:hAnsi="宋体" w:eastAsia="宋体"/>
          <w:sz w:val="24"/>
        </w:rPr>
        <w:t>习近平总书记在全国民族团结进步表彰大会上的重要讲话指出，中华民族共同体的形成和发展是“人心所向、大势所趋、历史必然”[2]。这一判断既是对中华民族历史发展规律的概括，也是对新时代民族工作方向的明确要求。对于大学生而言，学习《中华民族共同体概论》并不只是掌握若干概念，更重要的是理解中国为什么能够在多民族、多地域、多文化的复杂条件下形成统一的国家、共同的历史记忆和共同的现代化目标。</w:t>
      </w:r>
    </w:p>
    <w:p>
      <w:pPr>
        <w:spacing w:line="360" w:lineRule="auto" w:before="0" w:after="0"/>
        <w:ind w:firstLine="480"/>
      </w:pPr>
      <w:r>
        <w:rPr>
          <w:rFonts w:ascii="宋体" w:hAnsi="宋体" w:eastAsia="宋体"/>
          <w:sz w:val="24"/>
        </w:rPr>
        <w:t>从课程内容看，中华民族共同体意识包含国家认同、民族认同、文化认同、政治认同和道路认同等多重维度。它既关乎各民族在历史中的交往交流交融，也关乎今天如何在现代化进程中处理共同性与差异性、统一性与多样性、发展目标与文化传承之间的关系。《中华民族共同体概论》教材强调，要从中华民族悠久历史中理解共同体形成发展的道理、学理和哲理[1]。因此，讨论铸牢中华民族共同体意识，不能停留在一般性的民族团结口号上，而应进入历史、理论和现实的深层结构。</w:t>
      </w:r>
    </w:p>
    <w:p>
      <w:pPr>
        <w:spacing w:line="360" w:lineRule="auto" w:before="0" w:after="0"/>
        <w:ind w:firstLine="480"/>
      </w:pPr>
      <w:r>
        <w:rPr>
          <w:rFonts w:ascii="宋体" w:hAnsi="宋体" w:eastAsia="宋体"/>
          <w:sz w:val="24"/>
        </w:rPr>
        <w:t>中国式现代化为这一问题提供了新的时代坐标。党的二十大报告把“以中国式现代化全面推进中华民族伟大复兴”作为新时代新征程党的中心任务，并强调以铸牢中华民族共同体意识为主线，加强和改进党的民族工作[4]。这说明，中国式现代化不是少数地区、少数群体的现代化，而是全体人民、各民族共同迈向现代化的历史进程。共同体意识越稳固，中国式现代化的社会基础就越深厚；现代化成果越能公平惠及各民族，共同体意识也越能在现实生活中得到巩固。本文据此提出问题：在中国式现代化进程中，为什么必须铸牢中华民族共同体意识，又应当通过哪些路径把这一意识转化为可持续的实践力量？</w:t>
      </w:r>
    </w:p>
    <w:p>
      <w:pPr>
        <w:spacing w:line="360" w:lineRule="auto" w:before="0" w:after="0"/>
      </w:pPr>
      <w:r>
        <w:rPr>
          <w:rFonts w:ascii="黑体" w:hAnsi="黑体" w:eastAsia="黑体"/>
          <w:sz w:val="24"/>
        </w:rPr>
        <w:t>二、中华民族共同体的历史生成逻辑</w:t>
      </w:r>
    </w:p>
    <w:p>
      <w:pPr>
        <w:spacing w:line="360" w:lineRule="auto" w:before="0" w:after="0"/>
        <w:ind w:firstLine="480"/>
      </w:pPr>
      <w:r>
        <w:rPr>
          <w:rFonts w:ascii="宋体" w:hAnsi="宋体" w:eastAsia="宋体"/>
          <w:sz w:val="24"/>
        </w:rPr>
        <w:t>理解中华民族共同体，首先要树立正确的中华民族历史观。中华民族不是凭空出现的名称，也不是近代以来才被外部压力临时拼合起来的集合体。长期以来，各民族在中华大地上迁徙、交往、互嵌、融合，共同开拓祖国辽阔疆域，共同缔造统一的多民族国家，共同书写辉煌历史，共同创造灿烂文化，共同培育伟大民族精神[2]。这一历史过程表明，中华民族共同体的基础不是单一血缘或单一文化，而是多元一体的历史结构。</w:t>
      </w:r>
    </w:p>
    <w:p>
      <w:pPr>
        <w:spacing w:line="360" w:lineRule="auto" w:before="0" w:after="0"/>
        <w:ind w:firstLine="480"/>
      </w:pPr>
      <w:r>
        <w:rPr>
          <w:rFonts w:ascii="宋体" w:hAnsi="宋体" w:eastAsia="宋体"/>
          <w:sz w:val="24"/>
        </w:rPr>
        <w:t>费孝通先生提出“中华民族多元一体格局”，为理解这一结构提供了经典学术表达[7]。“多元”说明中华民族内部存在丰富的族群、地域、语言、风俗和文化传统；“一体”说明这些多样性并不是彼此隔绝的碎片，而是在长期历史进程中形成了更高层次的共同归属。课程学习中反复强调的交往交流交融，正是多元走向一体、一体涵纳多元的基本机制。无论是农耕与游牧之间的经济互补，边疆与内地之间的制度联结，还是不同民族文化之间的互鉴融通，都说明中华民族共同体是在历史实践中生成的。</w:t>
      </w:r>
    </w:p>
    <w:p>
      <w:pPr>
        <w:spacing w:line="360" w:lineRule="auto" w:before="0" w:after="0"/>
        <w:ind w:firstLine="480"/>
      </w:pPr>
      <w:r>
        <w:rPr>
          <w:rFonts w:ascii="宋体" w:hAnsi="宋体" w:eastAsia="宋体"/>
          <w:sz w:val="24"/>
        </w:rPr>
        <w:t>这种共同体的形成，还与中国传统政治文化中的大一统观念和家国同构意识密切相关。中华文明长期重视天下一统、协和万邦、和而不同，强调差异中的秩序、共处中的责任。习近平总书记在文化传承发展座谈会上的讲话指出，“第二个结合”使中华优秀传统文化在现代条件下焕发生命力，也使中国式现代化具有深厚文化根基[5]。从这个意义上看，铸牢中华民族共同体意识既是新时代民族工作的要求，也是中华文明连续性、创新性、统一性、包容性、和平性的现代展开。</w:t>
      </w:r>
    </w:p>
    <w:p>
      <w:pPr>
        <w:spacing w:line="360" w:lineRule="auto" w:before="0" w:after="0"/>
        <w:ind w:firstLine="480"/>
      </w:pPr>
      <w:r>
        <w:rPr>
          <w:rFonts w:ascii="宋体" w:hAnsi="宋体" w:eastAsia="宋体"/>
          <w:sz w:val="24"/>
        </w:rPr>
        <w:t>当然，强调一体并不意味着取消多元。真正稳固的共同体不是把差异简单抹平，而是在共同的国家认同、文化认同和制度认同中，使不同民族的文化特色获得更充分的发展空间。中华民族共同体的历史经验告诉我们，越是在共同的政治秩序、经济生活和文化精神中形成紧密联系，各民族的优秀文化越能在互学互鉴中实现创造性转化和创新性发展。由此可见，正确处理共同性和差异性的关系，是铸牢中华民族共同体意识的基本前提。</w:t>
      </w:r>
    </w:p>
    <w:p>
      <w:pPr>
        <w:spacing w:line="360" w:lineRule="auto" w:before="0" w:after="0"/>
      </w:pPr>
      <w:r>
        <w:rPr>
          <w:rFonts w:ascii="黑体" w:hAnsi="黑体" w:eastAsia="黑体"/>
          <w:sz w:val="24"/>
        </w:rPr>
        <w:t>三、中国式现代化与中华民族共同体建设的内在关系</w:t>
      </w:r>
    </w:p>
    <w:p>
      <w:pPr>
        <w:spacing w:line="360" w:lineRule="auto" w:before="0" w:after="0"/>
        <w:ind w:firstLine="480"/>
      </w:pPr>
      <w:r>
        <w:rPr>
          <w:rFonts w:ascii="宋体" w:hAnsi="宋体" w:eastAsia="宋体"/>
          <w:sz w:val="24"/>
        </w:rPr>
        <w:t>中国式现代化与中华民族共同体建设并不是两个彼此分离的议题。前者回答中国如何走向现代化，后者回答中国各民族以何种精神纽带和制度基础共同走向现代化。二者在目标、主体、价值和路径上具有内在一致性。</w:t>
      </w:r>
    </w:p>
    <w:p>
      <w:pPr>
        <w:spacing w:line="360" w:lineRule="auto" w:before="0" w:after="0"/>
        <w:ind w:firstLine="480"/>
      </w:pPr>
      <w:r>
        <w:rPr>
          <w:rFonts w:ascii="宋体" w:hAnsi="宋体" w:eastAsia="宋体"/>
          <w:sz w:val="24"/>
        </w:rPr>
        <w:t>第一，中国式现代化是全体人民共同富裕的现代化，这决定了共同体建设必须以发展为基础。民族地区的发展水平、公共服务、基础设施、教育医疗、产业机会，直接影响各族群众对国家现代化进程的获得感。新时代党的民族工作强调“共同团结奋斗、共同繁荣发展”，其核心并不是把发展作为单纯经济指标，而是通过发展改善民生、增进互信、夯实共同体的现实根基[3]。如果现代化成果不能在区域之间、城乡之间、民族地区与其他地区之间更好共享，共同体意识就容易停留在观念层面；反之，当各族群众在教育、就业、医疗、交通、数字公共服务等方面真切感受到国家发展的温度，共同体意识就会在日常生活中得到加固。</w:t>
      </w:r>
    </w:p>
    <w:p>
      <w:pPr>
        <w:spacing w:line="360" w:lineRule="auto" w:before="0" w:after="0"/>
        <w:ind w:firstLine="480"/>
      </w:pPr>
      <w:r>
        <w:rPr>
          <w:rFonts w:ascii="宋体" w:hAnsi="宋体" w:eastAsia="宋体"/>
          <w:sz w:val="24"/>
        </w:rPr>
        <w:t>第二，中国式现代化是物质文明和精神文明相协调的现代化，这决定了共同体建设必须以文化认同为根本。文化认同是最深层的认同。国家民委党组在《求是》文章中指出，铸牢中华民族共同体意识是新时代党的民族工作和民族地区各项工作的主线[6]。这一主线要求我们既重视物质发展，也重视共有精神家园建设。中华文化是各民族文化的集大成者，不是某一个民族文化的简单扩张，而是在各民族长期互鉴融通中形成的共同文化。坚持中华文化认同，并不是削弱各民族文化，而是把各民族优秀文化置于中华文化整体之中进行理解和发展。</w:t>
      </w:r>
    </w:p>
    <w:p>
      <w:pPr>
        <w:spacing w:line="360" w:lineRule="auto" w:before="0" w:after="0"/>
        <w:ind w:firstLine="480"/>
      </w:pPr>
      <w:r>
        <w:rPr>
          <w:rFonts w:ascii="宋体" w:hAnsi="宋体" w:eastAsia="宋体"/>
          <w:sz w:val="24"/>
        </w:rPr>
        <w:t>第三，中国式现代化是国家治理体系和治理能力现代化的重要实践场域，这决定了共同体建设必须落实到制度和基层治理之中。民族区域自治制度、中国特色解决民族问题的正确道路、民族团结进步创建、国家通用语言文字推广普及、各民族互嵌式社会结构和社区环境建设，都是把共同体意识制度化、生活化的重要载体[11]。共同体意识不能只依赖课堂宣讲，也需要通过公平法治、公共服务、社会流动和基层协商机制，让各族群众在共同生活中形成稳定的信任关系。</w:t>
      </w:r>
    </w:p>
    <w:p>
      <w:pPr>
        <w:spacing w:line="360" w:lineRule="auto" w:before="0" w:after="0"/>
        <w:ind w:firstLine="480"/>
      </w:pPr>
      <w:r>
        <w:rPr>
          <w:rFonts w:ascii="宋体" w:hAnsi="宋体" w:eastAsia="宋体"/>
          <w:sz w:val="24"/>
        </w:rPr>
        <w:t>第四，中国式现代化服务于中华民族伟大复兴，这决定了共同体建设必须面向共同奋斗目标。中华民族伟大复兴不是某一地区、某一民族、某一阶层的复兴，而是全体中华儿女共同参与、共同建设、共同享有的历史事业。党的二十大报告强调团结奋斗的重要意义[4]。在强国建设、民族复兴的新征程上，各民族只有把个人前途、民族发展、国家命运联系起来，才能形成抵御风险、应对挑战、开创未来的整体力量。</w:t>
      </w:r>
    </w:p>
    <w:p>
      <w:pPr>
        <w:spacing w:line="360" w:lineRule="auto" w:before="0" w:after="0"/>
      </w:pPr>
      <w:r>
        <w:rPr>
          <w:rFonts w:ascii="黑体" w:hAnsi="黑体" w:eastAsia="黑体"/>
          <w:sz w:val="24"/>
        </w:rPr>
        <w:t>四、新征程中铸牢共同体意识面临的现实问题</w:t>
      </w:r>
    </w:p>
    <w:p>
      <w:pPr>
        <w:spacing w:line="360" w:lineRule="auto" w:before="0" w:after="0"/>
        <w:ind w:firstLine="480"/>
      </w:pPr>
      <w:r>
        <w:rPr>
          <w:rFonts w:ascii="宋体" w:hAnsi="宋体" w:eastAsia="宋体"/>
          <w:sz w:val="24"/>
        </w:rPr>
        <w:t>当前，中华民族共同体建设具备坚实制度基础和丰富实践经验，但也面临一些需要认真回应的现实问题。第一，部分青年对中华民族共同体的理解仍可能停留在考试知识点层面，对其历史深度和现实意义把握不够。网络空间中的碎片化信息，有时会把民族文化差异娱乐化、标签化，甚至制造误解。这要求共同体教育不能只讲结论，还要讲清历史逻辑、制度逻辑和现实逻辑。</w:t>
      </w:r>
    </w:p>
    <w:p>
      <w:pPr>
        <w:spacing w:line="360" w:lineRule="auto" w:before="0" w:after="0"/>
        <w:ind w:firstLine="480"/>
      </w:pPr>
      <w:r>
        <w:rPr>
          <w:rFonts w:ascii="宋体" w:hAnsi="宋体" w:eastAsia="宋体"/>
          <w:sz w:val="24"/>
        </w:rPr>
        <w:t>第二，区域发展不平衡仍会影响共同体建设的现实感。民族地区在生态保护、产业升级、教育资源、人才流动等方面有特殊条件和压力。如果只强调统一目标，而忽视不同地区的发展基础和民生需求，就难以把共同体意识转化为真实的获得感。因此，推进共同富裕必须充分考虑民族地区资源禀赋、边疆特点和文化优势，避免简单复制单一发展模式。</w:t>
      </w:r>
    </w:p>
    <w:p>
      <w:pPr>
        <w:spacing w:line="360" w:lineRule="auto" w:before="0" w:after="0"/>
        <w:ind w:firstLine="480"/>
      </w:pPr>
      <w:r>
        <w:rPr>
          <w:rFonts w:ascii="宋体" w:hAnsi="宋体" w:eastAsia="宋体"/>
          <w:sz w:val="24"/>
        </w:rPr>
        <w:t>第三，文化传承与现代传播之间仍存在张力。一些民族文化在现代城市生活和网络传播中获得了更大可见度，但也可能被过度符号化、消费化。铸牢中华民族共同体意识，需要避免把民族文化仅仅理解为服饰、歌舞、美食等外在符号，而要深入理解其历史记忆、价值观念和精神内涵。只有这样，各民族文化才能在中华文化整体中实现有尊严、有生命力的发展。</w:t>
      </w:r>
    </w:p>
    <w:p>
      <w:pPr>
        <w:spacing w:line="360" w:lineRule="auto" w:before="0" w:after="0"/>
        <w:ind w:firstLine="480"/>
      </w:pPr>
      <w:r>
        <w:rPr>
          <w:rFonts w:ascii="宋体" w:hAnsi="宋体" w:eastAsia="宋体"/>
          <w:sz w:val="24"/>
        </w:rPr>
        <w:t>第四，基层治理中的互嵌程度还需要继续提升。共同体意识最直接的场景不是抽象文本，而是学校、社区、企业、乡村、网络平台中的共同生活。如果不同群体之间缺少真实交往，就容易形成心理距离。推进各民族交往交流交融，需要创造更多共同学习、共同就业、共同服务、共同参与公共事务的机会，使共同体意识在具体关系中生长出来。</w:t>
      </w:r>
    </w:p>
    <w:p>
      <w:pPr>
        <w:spacing w:line="360" w:lineRule="auto" w:before="0" w:after="0"/>
      </w:pPr>
      <w:r>
        <w:rPr>
          <w:rFonts w:ascii="黑体" w:hAnsi="黑体" w:eastAsia="黑体"/>
          <w:sz w:val="24"/>
        </w:rPr>
        <w:t>五、中国式现代化进程中铸牢共同体意识的实践路径</w:t>
      </w:r>
    </w:p>
    <w:p>
      <w:pPr>
        <w:spacing w:line="360" w:lineRule="auto" w:before="0" w:after="0"/>
        <w:ind w:firstLine="480"/>
      </w:pPr>
      <w:r>
        <w:rPr>
          <w:rFonts w:ascii="宋体" w:hAnsi="宋体" w:eastAsia="宋体"/>
          <w:sz w:val="24"/>
        </w:rPr>
        <w:t>第一，以课程教育和历史教育铸魂，夯实正确中华民族历史观。高校课程应把《中华民族共同体概论》讲成有历史、有理论、有现实解释力的课程，而不是只要求学生记忆概念。教学中可以围绕中华民族形成发展的历史线索，结合考古发现、历史文献、边疆治理、民族交往案例，说明各民族共同创造中国历史的事实。对青年学生来说，理解“共同开拓、共同缔造、共同书写、共同创造、共同培育”的历史叙事[2]，有助于把中华民族共同体意识从外在要求转化为内在认同。</w:t>
      </w:r>
    </w:p>
    <w:p>
      <w:pPr>
        <w:spacing w:line="360" w:lineRule="auto" w:before="0" w:after="0"/>
        <w:ind w:firstLine="480"/>
      </w:pPr>
      <w:r>
        <w:rPr>
          <w:rFonts w:ascii="宋体" w:hAnsi="宋体" w:eastAsia="宋体"/>
          <w:sz w:val="24"/>
        </w:rPr>
        <w:t>第二，以中华文化认同润心，建设各民族共有精神家园。中华文化认同是铸牢共同体意识的根本。实践中应坚持创造性转化、创新性发展，把中华优秀传统文化、革命文化和社会主义先进文化贯通起来，同时尊重和保护各民族优秀文化。学校、博物馆、公共文化空间和网络平台，可以通过主题展览、经典阅读、非遗实践、国家通用语言文字教育和多民族文化交流活动，帮助青年理解各民族文化如何共同汇入中华文化。这里的关键不是把文化做成表面展示，而是让学生理解文化背后的价值共通性，如家国情怀、团结互助、勤劳勇敢、开放包容。</w:t>
      </w:r>
    </w:p>
    <w:p>
      <w:pPr>
        <w:spacing w:line="360" w:lineRule="auto" w:before="0" w:after="0"/>
        <w:ind w:firstLine="480"/>
      </w:pPr>
      <w:r>
        <w:rPr>
          <w:rFonts w:ascii="宋体" w:hAnsi="宋体" w:eastAsia="宋体"/>
          <w:sz w:val="24"/>
        </w:rPr>
        <w:t>第三，以共同富裕聚力，把发展成果转化为共同体认同。民族地区现代化必须坚持以人民为中心，把产业发展、教育公平、就业支持、生态保护和公共服务结合起来。中国式现代化要求全体人民共同富裕，民族地区既不能在现代化进程中掉队，也不能以牺牲生态和文化为代价追求短期发展。应推动特色产业、文旅融合、绿色能源、边疆开放、数字基础设施建设与当地实际结合起来，使各族群众在高质量发展中共享机会。共同体意识不是脱离生活的抽象情感，而是在共同改善生活、共同创造未来中不断增强的现实认同。</w:t>
      </w:r>
    </w:p>
    <w:p>
      <w:pPr>
        <w:spacing w:line="360" w:lineRule="auto" w:before="0" w:after="0"/>
        <w:ind w:firstLine="480"/>
      </w:pPr>
      <w:r>
        <w:rPr>
          <w:rFonts w:ascii="宋体" w:hAnsi="宋体" w:eastAsia="宋体"/>
          <w:sz w:val="24"/>
        </w:rPr>
        <w:t>第四，以基层治理固本，促进各民族互嵌式发展。共同体建设需要落到社区、学校、企业和乡村。应完善各民族互嵌式社会结构和社区环境，推动公共服务均等化，依法保障各族群众合法权益，提升基层治理的精细化和法治化水平。在社区层面，可以通过共同议事、志愿服务、邻里互助、节庆共创等方式，让不同民族群众在共同解决问题中增进理解。在学校层面，可以通过混合编班、共同社团、社会实践和国家通用语言文字能力提升，增强青年之间的日常交往。只有形成真实、平等、持续的社会互动，民族团结才会从“知道应该团结”发展为“在生活中自然团结”。</w:t>
      </w:r>
    </w:p>
    <w:p>
      <w:pPr>
        <w:spacing w:line="360" w:lineRule="auto" w:before="0" w:after="0"/>
        <w:ind w:firstLine="480"/>
      </w:pPr>
      <w:r>
        <w:rPr>
          <w:rFonts w:ascii="宋体" w:hAnsi="宋体" w:eastAsia="宋体"/>
          <w:sz w:val="24"/>
        </w:rPr>
        <w:t>第五，以青年担当赋能，把共同体意识转化为现代化行动。青年是中国式现代化的参与者，也是中华民族共同体建设的生力军。大学生应在课程学习之外，把共同体意识落实到专业学习、社会实践和网络表达中。例如，在专业学习中关注民族地区教育、公共管理、数字经济、生态保护等现实议题；在社会实践中走进基层社区、乡村和民族地区，理解国家政策如何改变普通人的生活；在网络空间中抵制偏见化、标签化表达，主动传播客观、理性、团结的声音。共同体意识并不只属于宏大叙事，也体现在每一次尊重差异、维护团结、服务社会的具体行动中。</w:t>
      </w:r>
    </w:p>
    <w:p>
      <w:pPr>
        <w:spacing w:line="360" w:lineRule="auto" w:before="0" w:after="0"/>
      </w:pPr>
      <w:r>
        <w:rPr>
          <w:rFonts w:ascii="黑体" w:hAnsi="黑体" w:eastAsia="黑体"/>
          <w:sz w:val="24"/>
        </w:rPr>
        <w:t>六、结论</w:t>
      </w:r>
    </w:p>
    <w:p>
      <w:pPr>
        <w:spacing w:line="360" w:lineRule="auto" w:before="0" w:after="0"/>
        <w:ind w:firstLine="480"/>
      </w:pPr>
      <w:r>
        <w:rPr>
          <w:rFonts w:ascii="宋体" w:hAnsi="宋体" w:eastAsia="宋体"/>
          <w:sz w:val="24"/>
        </w:rPr>
        <w:t>综上所述，铸牢中华民族共同体意识是中国式现代化进程中的基础性工程。它源于中华民族多元一体的历史生成，植根于中华文明的深厚传统，服务于新时代强国建设和民族复兴的总体目标。中国式现代化越向前推进，越需要在各民族之间形成牢固的国家认同、文化认同、制度认同和发展认同；中华民族共同体意识越牢固，中国式现代化就越能获得深厚的社会基础和精神动力。</w:t>
      </w:r>
    </w:p>
    <w:p>
      <w:pPr>
        <w:spacing w:line="360" w:lineRule="auto" w:before="0" w:after="0"/>
        <w:ind w:firstLine="480"/>
      </w:pPr>
      <w:r>
        <w:rPr>
          <w:rFonts w:ascii="宋体" w:hAnsi="宋体" w:eastAsia="宋体"/>
          <w:sz w:val="24"/>
        </w:rPr>
        <w:t>新征程上的实践路径，不能停留在一般号召上，而要把共同体意识贯穿教育、文化、发展、治理和青年行动全过程。通过正确中华民族历史观教育，青年能够理解中华民族共同体形成发展的历史必然；通过中华文化认同建设，各民族能够共享精神家园；通过共同富裕和民族地区高质量发展，各族群众能够共享现代化成果；通过基层治理和互嵌式发展，共同体意识能够进入日常生活；通过青年担当，民族复兴的共同目标能够转化为一代人的实际行动。只有这样，才能在中国式现代化道路上不断推进中华民族共同体建设，把各民族团结奋斗的磅礴力量汇聚到实现中华民族伟大复兴的历史进程之中。</w:t>
      </w:r>
    </w:p>
    <w:p>
      <w:pPr>
        <w:spacing w:line="360" w:lineRule="auto" w:before="0" w:after="0"/>
        <w:jc w:val="center"/>
      </w:pPr>
      <w:r>
        <w:rPr>
          <w:rFonts w:ascii="黑体" w:hAnsi="黑体" w:eastAsia="黑体"/>
          <w:b/>
          <w:sz w:val="32"/>
        </w:rPr>
        <w:t>参考文献</w:t>
      </w:r>
    </w:p>
    <w:p>
      <w:pPr>
        <w:spacing w:line="360" w:lineRule="auto" w:before="0" w:after="0"/>
      </w:pPr>
      <w:r>
        <w:rPr>
          <w:rFonts w:ascii="宋体" w:hAnsi="宋体" w:eastAsia="宋体"/>
          <w:sz w:val="21"/>
        </w:rPr>
        <w:t>[1]《中华民族共同体概论》编写组. 中华民族共同体概论[M]. 北京: 高等教育出版社, 民族出版社, 2024.</w:t>
      </w:r>
    </w:p>
    <w:p>
      <w:pPr>
        <w:spacing w:line="360" w:lineRule="auto" w:before="0" w:after="0"/>
      </w:pPr>
      <w:r>
        <w:rPr>
          <w:rFonts w:ascii="宋体" w:hAnsi="宋体" w:eastAsia="宋体"/>
          <w:sz w:val="21"/>
        </w:rPr>
        <w:t>[2]习近平. 中华民族共同体的形成和发展是人心所向、大势所趋、历史必然[J]. 求是, 2025(19).</w:t>
      </w:r>
    </w:p>
    <w:p>
      <w:pPr>
        <w:spacing w:line="360" w:lineRule="auto" w:before="0" w:after="0"/>
      </w:pPr>
      <w:r>
        <w:rPr>
          <w:rFonts w:ascii="宋体" w:hAnsi="宋体" w:eastAsia="宋体"/>
          <w:sz w:val="21"/>
        </w:rPr>
        <w:t>[3]习近平. 以铸牢中华民族共同体意识为主线推动新时代党的民族工作高质量发展[N]. 人民日报, 2021-08-29(1).</w:t>
      </w:r>
    </w:p>
    <w:p>
      <w:pPr>
        <w:spacing w:line="360" w:lineRule="auto" w:before="0" w:after="0"/>
      </w:pPr>
      <w:r>
        <w:rPr>
          <w:rFonts w:ascii="宋体" w:hAnsi="宋体" w:eastAsia="宋体"/>
          <w:sz w:val="21"/>
        </w:rPr>
        <w:t>[4]习近平. 高举中国特色社会主义伟大旗帜 为全面建设社会主义现代化国家而团结奋斗[N]. 人民日报, 2022-10-26.</w:t>
      </w:r>
    </w:p>
    <w:p>
      <w:pPr>
        <w:spacing w:line="360" w:lineRule="auto" w:before="0" w:after="0"/>
      </w:pPr>
      <w:r>
        <w:rPr>
          <w:rFonts w:ascii="宋体" w:hAnsi="宋体" w:eastAsia="宋体"/>
          <w:sz w:val="21"/>
        </w:rPr>
        <w:t>[5]习近平. 在文化传承发展座谈会上的讲话[J]. 求是, 2023(17).</w:t>
      </w:r>
    </w:p>
    <w:p>
      <w:pPr>
        <w:spacing w:line="360" w:lineRule="auto" w:before="0" w:after="0"/>
      </w:pPr>
      <w:r>
        <w:rPr>
          <w:rFonts w:ascii="宋体" w:hAnsi="宋体" w:eastAsia="宋体"/>
          <w:sz w:val="21"/>
        </w:rPr>
        <w:t>[6]中共国家民族事务委员会党组. 以铸牢中华民族共同体意识为主线加强和改进党的民族工作[J]. 求是, 2024(3).</w:t>
      </w:r>
    </w:p>
    <w:p>
      <w:pPr>
        <w:spacing w:line="360" w:lineRule="auto" w:before="0" w:after="0"/>
      </w:pPr>
      <w:r>
        <w:rPr>
          <w:rFonts w:ascii="宋体" w:hAnsi="宋体" w:eastAsia="宋体"/>
          <w:sz w:val="21"/>
        </w:rPr>
        <w:t>[7]费孝通. 中华民族的多元一体格局[J]. 中央民族学院学报, 1989(4): 3-21.</w:t>
      </w:r>
    </w:p>
    <w:p>
      <w:pPr>
        <w:spacing w:line="360" w:lineRule="auto" w:before="0" w:after="0"/>
      </w:pPr>
      <w:r>
        <w:rPr>
          <w:rFonts w:ascii="宋体" w:hAnsi="宋体" w:eastAsia="宋体"/>
          <w:sz w:val="21"/>
        </w:rPr>
        <w:t>[8]中华人民共和国国务院新闻办公室. 中国共产党的民族政策与各民族共同繁荣发展[R]. 北京: 人民出版社, 2009.</w:t>
      </w:r>
    </w:p>
    <w:p>
      <w:pPr>
        <w:spacing w:line="360" w:lineRule="auto" w:before="0" w:after="0"/>
      </w:pPr>
      <w:r>
        <w:rPr>
          <w:rFonts w:ascii="宋体" w:hAnsi="宋体" w:eastAsia="宋体"/>
          <w:sz w:val="21"/>
        </w:rPr>
        <w:t>[9]何星亮. 《中华民族共同体概论》: 中华民族共同体学的奠基之作[J]. 中南民族大学学报(人文社会科学版), 2024(4): 17-21.</w:t>
      </w:r>
    </w:p>
    <w:p>
      <w:pPr>
        <w:spacing w:line="360" w:lineRule="auto" w:before="0" w:after="0"/>
      </w:pPr>
      <w:r>
        <w:rPr>
          <w:rFonts w:ascii="宋体" w:hAnsi="宋体" w:eastAsia="宋体"/>
          <w:sz w:val="21"/>
        </w:rPr>
        <w:t>[10]中央统战部, 中央宣传部, 教育部, 国家民委. 关于加强铸牢中华民族共同体意识理论研究体系建设的意见[Z]. 2023.</w:t>
      </w:r>
    </w:p>
    <w:p>
      <w:pPr>
        <w:spacing w:line="360" w:lineRule="auto" w:before="0" w:after="0"/>
      </w:pPr>
      <w:r>
        <w:rPr>
          <w:rFonts w:ascii="宋体" w:hAnsi="宋体" w:eastAsia="宋体"/>
          <w:sz w:val="21"/>
        </w:rPr>
        <w:t>[11]国家民族事务委员会协调推进司. 必须以铸牢中华民族共同体意识为新时代党的民族工作的主线[EB/OL]. 2022-09-21.</w:t>
      </w:r>
    </w:p>
    <w:p>
      <w:pPr>
        <w:spacing w:line="360" w:lineRule="auto" w:before="0" w:after="0"/>
      </w:pPr>
      <w:r>
        <w:rPr>
          <w:rFonts w:ascii="宋体" w:hAnsi="宋体" w:eastAsia="宋体"/>
          <w:sz w:val="21"/>
        </w:rPr>
        <w:t>[12]潘岳. 铸牢中华民族共同体意识[EB/OL]. 国家民族事务委员会, 2025-03-15.</w:t>
      </w:r>
    </w:p>
    <w:p>
      <w:r>
        <w:br w:type="page"/>
      </w:r>
    </w:p>
    <w:p>
      <w:pPr>
        <w:spacing w:line="360" w:lineRule="auto" w:before="0" w:after="0"/>
        <w:jc w:val="center"/>
      </w:pPr>
      <w:r>
        <w:rPr>
          <w:rFonts w:ascii="黑体" w:hAnsi="黑体" w:eastAsia="黑体"/>
          <w:b/>
          <w:sz w:val="32"/>
        </w:rPr>
        <w:t>评分标准</w:t>
      </w:r>
    </w:p>
    <w:tbl>
      <w:tblPr>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22"/>
        <w:gridCol w:w="3022"/>
        <w:gridCol w:w="3022"/>
      </w:tblGrid>
      <w:tr>
        <w:tc>
          <w:tcPr>
            <w:tcW w:type="dxa" w:w="3022"/>
          </w:tcPr>
          <w:p>
            <w:pPr>
              <w:spacing w:line="360" w:lineRule="auto" w:before="0" w:after="0"/>
            </w:pPr>
            <w:r/>
            <w:r>
              <w:rPr>
                <w:rFonts w:ascii="宋体" w:hAnsi="宋体" w:eastAsia="宋体"/>
                <w:b w:val="0"/>
                <w:sz w:val="18"/>
              </w:rPr>
              <w:t>评价项目</w:t>
            </w:r>
          </w:p>
        </w:tc>
        <w:tc>
          <w:tcPr>
            <w:tcW w:type="dxa" w:w="3022"/>
          </w:tcPr>
          <w:p>
            <w:pPr>
              <w:spacing w:line="360" w:lineRule="auto" w:before="0" w:after="0"/>
            </w:pPr>
            <w:r/>
            <w:r>
              <w:rPr>
                <w:rFonts w:ascii="宋体" w:hAnsi="宋体" w:eastAsia="宋体"/>
                <w:b w:val="0"/>
                <w:sz w:val="18"/>
              </w:rPr>
              <w:t>评价标准</w:t>
            </w:r>
          </w:p>
        </w:tc>
        <w:tc>
          <w:tcPr>
            <w:tcW w:type="dxa" w:w="3022"/>
          </w:tcPr>
          <w:p>
            <w:pPr>
              <w:spacing w:line="360" w:lineRule="auto" w:before="0" w:after="0"/>
            </w:pPr>
            <w:r/>
            <w:r>
              <w:rPr>
                <w:rFonts w:ascii="宋体" w:hAnsi="宋体" w:eastAsia="宋体"/>
                <w:b w:val="0"/>
                <w:sz w:val="18"/>
              </w:rPr>
              <w:t>评价标准</w:t>
            </w:r>
          </w:p>
        </w:tc>
      </w:tr>
      <w:tr>
        <w:tc>
          <w:tcPr>
            <w:tcW w:type="dxa" w:w="3022"/>
          </w:tcPr>
          <w:p>
            <w:pPr>
              <w:spacing w:line="360" w:lineRule="auto" w:before="0" w:after="0"/>
            </w:pPr>
            <w:r/>
            <w:r>
              <w:rPr>
                <w:rFonts w:ascii="宋体" w:hAnsi="宋体" w:eastAsia="宋体"/>
                <w:b w:val="0"/>
                <w:sz w:val="18"/>
              </w:rPr>
              <w:t>选题（10%）</w:t>
            </w:r>
          </w:p>
        </w:tc>
        <w:tc>
          <w:tcPr>
            <w:tcW w:type="dxa" w:w="3022"/>
          </w:tcPr>
          <w:p>
            <w:pPr>
              <w:spacing w:line="360" w:lineRule="auto" w:before="0" w:after="0"/>
            </w:pPr>
            <w:r/>
            <w:r>
              <w:rPr>
                <w:rFonts w:ascii="宋体" w:hAnsi="宋体" w:eastAsia="宋体"/>
                <w:b w:val="0"/>
                <w:sz w:val="18"/>
              </w:rPr>
              <w:t>9-10分</w:t>
            </w:r>
          </w:p>
        </w:tc>
        <w:tc>
          <w:tcPr>
            <w:tcW w:type="dxa" w:w="3022"/>
          </w:tcPr>
          <w:p>
            <w:pPr>
              <w:spacing w:line="360" w:lineRule="auto" w:before="0" w:after="0"/>
            </w:pPr>
            <w:r/>
            <w:r>
              <w:rPr>
                <w:rFonts w:ascii="宋体" w:hAnsi="宋体" w:eastAsia="宋体"/>
                <w:b w:val="0"/>
                <w:sz w:val="18"/>
              </w:rPr>
              <w:t>选题立意新颖，观点鲜明，有较强的现实意义或理论价值，充分体现选题要求，符合中华民族共同体课程主题。</w:t>
            </w:r>
          </w:p>
        </w:tc>
      </w:tr>
      <w:tr>
        <w:tc>
          <w:tcPr>
            <w:tcW w:type="dxa" w:w="3022"/>
          </w:tcPr>
          <w:p>
            <w:pPr>
              <w:spacing w:line="360" w:lineRule="auto" w:before="0" w:after="0"/>
            </w:pPr>
            <w:r/>
            <w:r>
              <w:rPr>
                <w:rFonts w:ascii="宋体" w:hAnsi="宋体" w:eastAsia="宋体"/>
                <w:b w:val="0"/>
                <w:sz w:val="18"/>
              </w:rPr>
              <w:t>选题（10%）</w:t>
            </w:r>
          </w:p>
        </w:tc>
        <w:tc>
          <w:tcPr>
            <w:tcW w:type="dxa" w:w="3022"/>
          </w:tcPr>
          <w:p>
            <w:pPr>
              <w:spacing w:line="360" w:lineRule="auto" w:before="0" w:after="0"/>
            </w:pPr>
            <w:r/>
            <w:r>
              <w:rPr>
                <w:rFonts w:ascii="宋体" w:hAnsi="宋体" w:eastAsia="宋体"/>
                <w:b w:val="0"/>
                <w:sz w:val="18"/>
              </w:rPr>
              <w:t>7-8分</w:t>
            </w:r>
          </w:p>
        </w:tc>
        <w:tc>
          <w:tcPr>
            <w:tcW w:type="dxa" w:w="3022"/>
          </w:tcPr>
          <w:p>
            <w:pPr>
              <w:spacing w:line="360" w:lineRule="auto" w:before="0" w:after="0"/>
            </w:pPr>
            <w:r/>
            <w:r>
              <w:rPr>
                <w:rFonts w:ascii="宋体" w:hAnsi="宋体" w:eastAsia="宋体"/>
                <w:b w:val="0"/>
                <w:sz w:val="18"/>
              </w:rPr>
              <w:t>选题有一定新意，并有一定的现实意义或理论价值，对所论述的观点有较明确的认识，切合个人实际。</w:t>
            </w:r>
          </w:p>
        </w:tc>
      </w:tr>
      <w:tr>
        <w:tc>
          <w:tcPr>
            <w:tcW w:type="dxa" w:w="3022"/>
          </w:tcPr>
          <w:p>
            <w:pPr>
              <w:spacing w:line="360" w:lineRule="auto" w:before="0" w:after="0"/>
            </w:pPr>
            <w:r/>
            <w:r>
              <w:rPr>
                <w:rFonts w:ascii="宋体" w:hAnsi="宋体" w:eastAsia="宋体"/>
                <w:b w:val="0"/>
                <w:sz w:val="18"/>
              </w:rPr>
              <w:t>选题（10%）</w:t>
            </w:r>
          </w:p>
        </w:tc>
        <w:tc>
          <w:tcPr>
            <w:tcW w:type="dxa" w:w="3022"/>
          </w:tcPr>
          <w:p>
            <w:pPr>
              <w:spacing w:line="360" w:lineRule="auto" w:before="0" w:after="0"/>
            </w:pPr>
            <w:r/>
            <w:r>
              <w:rPr>
                <w:rFonts w:ascii="宋体" w:hAnsi="宋体" w:eastAsia="宋体"/>
                <w:b w:val="0"/>
                <w:sz w:val="18"/>
              </w:rPr>
              <w:t>5-6分</w:t>
            </w:r>
          </w:p>
        </w:tc>
        <w:tc>
          <w:tcPr>
            <w:tcW w:type="dxa" w:w="3022"/>
          </w:tcPr>
          <w:p>
            <w:pPr>
              <w:spacing w:line="360" w:lineRule="auto" w:before="0" w:after="0"/>
            </w:pPr>
            <w:r/>
            <w:r>
              <w:rPr>
                <w:rFonts w:ascii="宋体" w:hAnsi="宋体" w:eastAsia="宋体"/>
                <w:b w:val="0"/>
                <w:sz w:val="18"/>
              </w:rPr>
              <w:t>选题没有新意，对本门课程现实意义不大，不太切合本门课程。</w:t>
            </w:r>
          </w:p>
        </w:tc>
      </w:tr>
      <w:tr>
        <w:tc>
          <w:tcPr>
            <w:tcW w:type="dxa" w:w="3022"/>
          </w:tcPr>
          <w:p>
            <w:pPr>
              <w:spacing w:line="360" w:lineRule="auto" w:before="0" w:after="0"/>
            </w:pPr>
            <w:r/>
            <w:r>
              <w:rPr>
                <w:rFonts w:ascii="宋体" w:hAnsi="宋体" w:eastAsia="宋体"/>
                <w:b w:val="0"/>
                <w:sz w:val="18"/>
              </w:rPr>
              <w:t>选题（10%）</w:t>
            </w:r>
          </w:p>
        </w:tc>
        <w:tc>
          <w:tcPr>
            <w:tcW w:type="dxa" w:w="3022"/>
          </w:tcPr>
          <w:p>
            <w:pPr>
              <w:spacing w:line="360" w:lineRule="auto" w:before="0" w:after="0"/>
            </w:pPr>
            <w:r/>
            <w:r>
              <w:rPr>
                <w:rFonts w:ascii="宋体" w:hAnsi="宋体" w:eastAsia="宋体"/>
                <w:b w:val="0"/>
                <w:sz w:val="18"/>
              </w:rPr>
              <w:t>4分以下</w:t>
            </w:r>
          </w:p>
        </w:tc>
        <w:tc>
          <w:tcPr>
            <w:tcW w:type="dxa" w:w="3022"/>
          </w:tcPr>
          <w:p>
            <w:pPr>
              <w:spacing w:line="360" w:lineRule="auto" w:before="0" w:after="0"/>
            </w:pPr>
            <w:r/>
            <w:r>
              <w:rPr>
                <w:rFonts w:ascii="宋体" w:hAnsi="宋体" w:eastAsia="宋体"/>
                <w:b w:val="0"/>
                <w:sz w:val="18"/>
              </w:rPr>
              <w:t>选题与以往论文有较大雷同，对该选题缺乏明确认识，对现实意义不大，不切合个人实际。</w:t>
            </w:r>
          </w:p>
        </w:tc>
      </w:tr>
      <w:tr>
        <w:tc>
          <w:tcPr>
            <w:tcW w:type="dxa" w:w="3022"/>
          </w:tcPr>
          <w:p>
            <w:pPr>
              <w:spacing w:line="360" w:lineRule="auto" w:before="0" w:after="0"/>
            </w:pPr>
            <w:r/>
            <w:r>
              <w:rPr>
                <w:rFonts w:ascii="宋体" w:hAnsi="宋体" w:eastAsia="宋体"/>
                <w:b w:val="0"/>
                <w:sz w:val="18"/>
              </w:rPr>
              <w:t>文献资料的引用（10%）</w:t>
            </w:r>
          </w:p>
        </w:tc>
        <w:tc>
          <w:tcPr>
            <w:tcW w:type="dxa" w:w="3022"/>
          </w:tcPr>
          <w:p>
            <w:pPr>
              <w:spacing w:line="360" w:lineRule="auto" w:before="0" w:after="0"/>
            </w:pPr>
            <w:r/>
            <w:r>
              <w:rPr>
                <w:rFonts w:ascii="宋体" w:hAnsi="宋体" w:eastAsia="宋体"/>
                <w:b w:val="0"/>
                <w:sz w:val="18"/>
              </w:rPr>
              <w:t>9-10分</w:t>
            </w:r>
          </w:p>
        </w:tc>
        <w:tc>
          <w:tcPr>
            <w:tcW w:type="dxa" w:w="3022"/>
          </w:tcPr>
          <w:p>
            <w:pPr>
              <w:spacing w:line="360" w:lineRule="auto" w:before="0" w:after="0"/>
            </w:pPr>
            <w:r/>
            <w:r>
              <w:rPr>
                <w:rFonts w:ascii="宋体" w:hAnsi="宋体" w:eastAsia="宋体"/>
                <w:b w:val="0"/>
                <w:sz w:val="18"/>
              </w:rPr>
              <w:t>所参考的文献资料充分；凡直接引用他人原文或间接借用他人观点之处，均明确地标注出处，且直接引用的文字不多于所撰写论文的30%，对所引文献资料的理解准确。</w:t>
            </w:r>
          </w:p>
        </w:tc>
      </w:tr>
      <w:tr>
        <w:tc>
          <w:tcPr>
            <w:tcW w:type="dxa" w:w="3022"/>
          </w:tcPr>
          <w:p>
            <w:pPr>
              <w:spacing w:line="360" w:lineRule="auto" w:before="0" w:after="0"/>
            </w:pPr>
            <w:r/>
            <w:r>
              <w:rPr>
                <w:rFonts w:ascii="宋体" w:hAnsi="宋体" w:eastAsia="宋体"/>
                <w:b w:val="0"/>
                <w:sz w:val="18"/>
              </w:rPr>
              <w:t>文献资料的引用（10%）</w:t>
            </w:r>
          </w:p>
        </w:tc>
        <w:tc>
          <w:tcPr>
            <w:tcW w:type="dxa" w:w="3022"/>
          </w:tcPr>
          <w:p>
            <w:pPr>
              <w:spacing w:line="360" w:lineRule="auto" w:before="0" w:after="0"/>
            </w:pPr>
            <w:r/>
            <w:r>
              <w:rPr>
                <w:rFonts w:ascii="宋体" w:hAnsi="宋体" w:eastAsia="宋体"/>
                <w:b w:val="0"/>
                <w:sz w:val="18"/>
              </w:rPr>
              <w:t>7-8分</w:t>
            </w:r>
          </w:p>
        </w:tc>
        <w:tc>
          <w:tcPr>
            <w:tcW w:type="dxa" w:w="3022"/>
          </w:tcPr>
          <w:p>
            <w:pPr>
              <w:spacing w:line="360" w:lineRule="auto" w:before="0" w:after="0"/>
            </w:pPr>
            <w:r/>
            <w:r>
              <w:rPr>
                <w:rFonts w:ascii="宋体" w:hAnsi="宋体" w:eastAsia="宋体"/>
                <w:b w:val="0"/>
                <w:sz w:val="18"/>
              </w:rPr>
              <w:t>文献资料引用较合理；凡直接引用之处均明确标注出处；所引文字不超过全文的40%，对文献资料的理解正确。</w:t>
            </w:r>
          </w:p>
        </w:tc>
      </w:tr>
      <w:tr>
        <w:tc>
          <w:tcPr>
            <w:tcW w:type="dxa" w:w="3022"/>
          </w:tcPr>
          <w:p>
            <w:pPr>
              <w:spacing w:line="360" w:lineRule="auto" w:before="0" w:after="0"/>
            </w:pPr>
            <w:r/>
            <w:r>
              <w:rPr>
                <w:rFonts w:ascii="宋体" w:hAnsi="宋体" w:eastAsia="宋体"/>
                <w:b w:val="0"/>
                <w:sz w:val="18"/>
              </w:rPr>
              <w:t>文献资料的引用（10%）</w:t>
            </w:r>
          </w:p>
        </w:tc>
        <w:tc>
          <w:tcPr>
            <w:tcW w:type="dxa" w:w="3022"/>
          </w:tcPr>
          <w:p>
            <w:pPr>
              <w:spacing w:line="360" w:lineRule="auto" w:before="0" w:after="0"/>
            </w:pPr>
            <w:r/>
            <w:r>
              <w:rPr>
                <w:rFonts w:ascii="宋体" w:hAnsi="宋体" w:eastAsia="宋体"/>
                <w:b w:val="0"/>
                <w:sz w:val="18"/>
              </w:rPr>
              <w:t>5-6分</w:t>
            </w:r>
          </w:p>
        </w:tc>
        <w:tc>
          <w:tcPr>
            <w:tcW w:type="dxa" w:w="3022"/>
          </w:tcPr>
          <w:p>
            <w:pPr>
              <w:spacing w:line="360" w:lineRule="auto" w:before="0" w:after="0"/>
            </w:pPr>
            <w:r/>
            <w:r>
              <w:rPr>
                <w:rFonts w:ascii="宋体" w:hAnsi="宋体" w:eastAsia="宋体"/>
                <w:b w:val="0"/>
                <w:sz w:val="18"/>
              </w:rPr>
              <w:t>文献资料不够充足，且引用目的不够明确，直接引用之处尚有明确标注，直接引用的文字多于40%，且对部分文献资料的理解存在一定的偏差。</w:t>
            </w:r>
          </w:p>
        </w:tc>
      </w:tr>
      <w:tr>
        <w:tc>
          <w:tcPr>
            <w:tcW w:type="dxa" w:w="3022"/>
          </w:tcPr>
          <w:p>
            <w:pPr>
              <w:spacing w:line="360" w:lineRule="auto" w:before="0" w:after="0"/>
            </w:pPr>
            <w:r/>
            <w:r>
              <w:rPr>
                <w:rFonts w:ascii="宋体" w:hAnsi="宋体" w:eastAsia="宋体"/>
                <w:b w:val="0"/>
                <w:sz w:val="18"/>
              </w:rPr>
              <w:t>文献资料的引用（10%）</w:t>
            </w:r>
          </w:p>
        </w:tc>
        <w:tc>
          <w:tcPr>
            <w:tcW w:type="dxa" w:w="3022"/>
          </w:tcPr>
          <w:p>
            <w:pPr>
              <w:spacing w:line="360" w:lineRule="auto" w:before="0" w:after="0"/>
            </w:pPr>
            <w:r/>
            <w:r>
              <w:rPr>
                <w:rFonts w:ascii="宋体" w:hAnsi="宋体" w:eastAsia="宋体"/>
                <w:b w:val="0"/>
                <w:sz w:val="18"/>
              </w:rPr>
              <w:t>4分以下</w:t>
            </w:r>
          </w:p>
        </w:tc>
        <w:tc>
          <w:tcPr>
            <w:tcW w:type="dxa" w:w="3022"/>
          </w:tcPr>
          <w:p>
            <w:pPr>
              <w:spacing w:line="360" w:lineRule="auto" w:before="0" w:after="0"/>
            </w:pPr>
            <w:r/>
            <w:r>
              <w:rPr>
                <w:rFonts w:ascii="宋体" w:hAnsi="宋体" w:eastAsia="宋体"/>
                <w:b w:val="0"/>
                <w:sz w:val="18"/>
              </w:rPr>
              <w:t>文献资料明显不足，且某些文献资料与题目相关性不大，部分引用他人的文字未作说明，所直接引用的文字超过了全文的70%。</w:t>
            </w:r>
          </w:p>
        </w:tc>
      </w:tr>
      <w:tr>
        <w:tc>
          <w:tcPr>
            <w:tcW w:type="dxa" w:w="3022"/>
          </w:tcPr>
          <w:p>
            <w:pPr>
              <w:spacing w:line="360" w:lineRule="auto" w:before="0" w:after="0"/>
            </w:pPr>
            <w:r/>
            <w:r>
              <w:rPr>
                <w:rFonts w:ascii="宋体" w:hAnsi="宋体" w:eastAsia="宋体"/>
                <w:b w:val="0"/>
                <w:sz w:val="18"/>
              </w:rPr>
              <w:t>论文规范性（10%）</w:t>
            </w:r>
          </w:p>
        </w:tc>
        <w:tc>
          <w:tcPr>
            <w:tcW w:type="dxa" w:w="3022"/>
          </w:tcPr>
          <w:p>
            <w:pPr>
              <w:spacing w:line="360" w:lineRule="auto" w:before="0" w:after="0"/>
            </w:pPr>
            <w:r/>
            <w:r>
              <w:rPr>
                <w:rFonts w:ascii="宋体" w:hAnsi="宋体" w:eastAsia="宋体"/>
                <w:b w:val="0"/>
                <w:sz w:val="18"/>
              </w:rPr>
              <w:t>9-10分</w:t>
            </w:r>
          </w:p>
        </w:tc>
        <w:tc>
          <w:tcPr>
            <w:tcW w:type="dxa" w:w="3022"/>
          </w:tcPr>
          <w:p>
            <w:pPr>
              <w:spacing w:line="360" w:lineRule="auto" w:before="0" w:after="0"/>
            </w:pPr>
            <w:r/>
            <w:r>
              <w:rPr>
                <w:rFonts w:ascii="宋体" w:hAnsi="宋体" w:eastAsia="宋体"/>
                <w:b w:val="0"/>
                <w:sz w:val="18"/>
              </w:rPr>
              <w:t>字数控制在4000-6000字之内，目录、摘要、关键词、正文、参考文献选录、字体以及编排方式均符合要求。</w:t>
            </w:r>
          </w:p>
        </w:tc>
      </w:tr>
      <w:tr>
        <w:tc>
          <w:tcPr>
            <w:tcW w:type="dxa" w:w="3022"/>
          </w:tcPr>
          <w:p>
            <w:pPr>
              <w:spacing w:line="360" w:lineRule="auto" w:before="0" w:after="0"/>
            </w:pPr>
            <w:r/>
            <w:r>
              <w:rPr>
                <w:rFonts w:ascii="宋体" w:hAnsi="宋体" w:eastAsia="宋体"/>
                <w:b w:val="0"/>
                <w:sz w:val="18"/>
              </w:rPr>
              <w:t>论文规范性（10%）</w:t>
            </w:r>
          </w:p>
        </w:tc>
        <w:tc>
          <w:tcPr>
            <w:tcW w:type="dxa" w:w="3022"/>
          </w:tcPr>
          <w:p>
            <w:pPr>
              <w:spacing w:line="360" w:lineRule="auto" w:before="0" w:after="0"/>
            </w:pPr>
            <w:r/>
            <w:r>
              <w:rPr>
                <w:rFonts w:ascii="宋体" w:hAnsi="宋体" w:eastAsia="宋体"/>
                <w:b w:val="0"/>
                <w:sz w:val="18"/>
              </w:rPr>
              <w:t>7-8分</w:t>
            </w:r>
          </w:p>
        </w:tc>
        <w:tc>
          <w:tcPr>
            <w:tcW w:type="dxa" w:w="3022"/>
          </w:tcPr>
          <w:p>
            <w:pPr>
              <w:spacing w:line="360" w:lineRule="auto" w:before="0" w:after="0"/>
            </w:pPr>
            <w:r/>
            <w:r>
              <w:rPr>
                <w:rFonts w:ascii="宋体" w:hAnsi="宋体" w:eastAsia="宋体"/>
                <w:b w:val="0"/>
                <w:sz w:val="18"/>
              </w:rPr>
              <w:t>字数基本在所要求的范围之内，目录、摘要、关键词、正文符合要求，参考文献选录基本适当、字体、编排基本符合要求。</w:t>
            </w:r>
          </w:p>
        </w:tc>
      </w:tr>
      <w:tr>
        <w:tc>
          <w:tcPr>
            <w:tcW w:type="dxa" w:w="3022"/>
          </w:tcPr>
          <w:p>
            <w:pPr>
              <w:spacing w:line="360" w:lineRule="auto" w:before="0" w:after="0"/>
            </w:pPr>
            <w:r/>
            <w:r>
              <w:rPr>
                <w:rFonts w:ascii="宋体" w:hAnsi="宋体" w:eastAsia="宋体"/>
                <w:b w:val="0"/>
                <w:sz w:val="18"/>
              </w:rPr>
              <w:t>论文规范性（10%）</w:t>
            </w:r>
          </w:p>
        </w:tc>
        <w:tc>
          <w:tcPr>
            <w:tcW w:type="dxa" w:w="3022"/>
          </w:tcPr>
          <w:p>
            <w:pPr>
              <w:spacing w:line="360" w:lineRule="auto" w:before="0" w:after="0"/>
            </w:pPr>
            <w:r/>
            <w:r>
              <w:rPr>
                <w:rFonts w:ascii="宋体" w:hAnsi="宋体" w:eastAsia="宋体"/>
                <w:b w:val="0"/>
                <w:sz w:val="18"/>
              </w:rPr>
              <w:t>5-6分</w:t>
            </w:r>
          </w:p>
        </w:tc>
        <w:tc>
          <w:tcPr>
            <w:tcW w:type="dxa" w:w="3022"/>
          </w:tcPr>
          <w:p>
            <w:pPr>
              <w:spacing w:line="360" w:lineRule="auto" w:before="0" w:after="0"/>
            </w:pPr>
            <w:r/>
            <w:r>
              <w:rPr>
                <w:rFonts w:ascii="宋体" w:hAnsi="宋体" w:eastAsia="宋体"/>
                <w:b w:val="0"/>
                <w:sz w:val="18"/>
              </w:rPr>
              <w:t>字数基本在所要求的范围之内，目录、摘要、关键词、正文基本符合要求，参考文献选录不够充分、字体、编排存在个别错误。</w:t>
            </w:r>
          </w:p>
        </w:tc>
      </w:tr>
      <w:tr>
        <w:tc>
          <w:tcPr>
            <w:tcW w:type="dxa" w:w="3022"/>
          </w:tcPr>
          <w:p>
            <w:pPr>
              <w:spacing w:line="360" w:lineRule="auto" w:before="0" w:after="0"/>
            </w:pPr>
            <w:r/>
            <w:r>
              <w:rPr>
                <w:rFonts w:ascii="宋体" w:hAnsi="宋体" w:eastAsia="宋体"/>
                <w:b w:val="0"/>
                <w:sz w:val="18"/>
              </w:rPr>
              <w:t>论文规范性（10%）</w:t>
            </w:r>
          </w:p>
        </w:tc>
        <w:tc>
          <w:tcPr>
            <w:tcW w:type="dxa" w:w="3022"/>
          </w:tcPr>
          <w:p>
            <w:pPr>
              <w:spacing w:line="360" w:lineRule="auto" w:before="0" w:after="0"/>
            </w:pPr>
            <w:r/>
            <w:r>
              <w:rPr>
                <w:rFonts w:ascii="宋体" w:hAnsi="宋体" w:eastAsia="宋体"/>
                <w:b w:val="0"/>
                <w:sz w:val="18"/>
              </w:rPr>
              <w:t>4分以下</w:t>
            </w:r>
          </w:p>
        </w:tc>
        <w:tc>
          <w:tcPr>
            <w:tcW w:type="dxa" w:w="3022"/>
          </w:tcPr>
          <w:p>
            <w:pPr>
              <w:spacing w:line="360" w:lineRule="auto" w:before="0" w:after="0"/>
            </w:pPr>
            <w:r/>
            <w:r>
              <w:rPr>
                <w:rFonts w:ascii="宋体" w:hAnsi="宋体" w:eastAsia="宋体"/>
                <w:b w:val="0"/>
                <w:sz w:val="18"/>
              </w:rPr>
              <w:t>字数明显多于或少于所要求的范围，目录、摘要、关键词、正文等与要求不符，参考文献选录过少、字体、编排明显错误。</w:t>
            </w:r>
          </w:p>
        </w:tc>
      </w:tr>
      <w:tr>
        <w:tc>
          <w:tcPr>
            <w:tcW w:type="dxa" w:w="3022"/>
          </w:tcPr>
          <w:p>
            <w:pPr>
              <w:spacing w:line="360" w:lineRule="auto" w:before="0" w:after="0"/>
            </w:pPr>
            <w:r/>
            <w:r>
              <w:rPr>
                <w:rFonts w:ascii="宋体" w:hAnsi="宋体" w:eastAsia="宋体"/>
                <w:b w:val="0"/>
                <w:sz w:val="18"/>
              </w:rPr>
              <w:t>论文创新性（20%）</w:t>
            </w:r>
          </w:p>
        </w:tc>
        <w:tc>
          <w:tcPr>
            <w:tcW w:type="dxa" w:w="3022"/>
          </w:tcPr>
          <w:p>
            <w:pPr>
              <w:spacing w:line="360" w:lineRule="auto" w:before="0" w:after="0"/>
            </w:pPr>
            <w:r/>
            <w:r>
              <w:rPr>
                <w:rFonts w:ascii="宋体" w:hAnsi="宋体" w:eastAsia="宋体"/>
                <w:b w:val="0"/>
                <w:sz w:val="18"/>
              </w:rPr>
              <w:t>18-20分</w:t>
            </w:r>
          </w:p>
        </w:tc>
        <w:tc>
          <w:tcPr>
            <w:tcW w:type="dxa" w:w="3022"/>
          </w:tcPr>
          <w:p>
            <w:pPr>
              <w:spacing w:line="360" w:lineRule="auto" w:before="0" w:after="0"/>
            </w:pPr>
            <w:r/>
            <w:r>
              <w:rPr>
                <w:rFonts w:ascii="宋体" w:hAnsi="宋体" w:eastAsia="宋体"/>
                <w:b w:val="0"/>
                <w:sz w:val="18"/>
              </w:rPr>
              <w:t>用新方法进行调查研究，采用的资料较新，研究结果有原创性。</w:t>
            </w:r>
          </w:p>
        </w:tc>
      </w:tr>
      <w:tr>
        <w:tc>
          <w:tcPr>
            <w:tcW w:type="dxa" w:w="3022"/>
          </w:tcPr>
          <w:p>
            <w:pPr>
              <w:spacing w:line="360" w:lineRule="auto" w:before="0" w:after="0"/>
            </w:pPr>
            <w:r/>
            <w:r>
              <w:rPr>
                <w:rFonts w:ascii="宋体" w:hAnsi="宋体" w:eastAsia="宋体"/>
                <w:b w:val="0"/>
                <w:sz w:val="18"/>
              </w:rPr>
              <w:t>论文创新性（20%）</w:t>
            </w:r>
          </w:p>
        </w:tc>
        <w:tc>
          <w:tcPr>
            <w:tcW w:type="dxa" w:w="3022"/>
          </w:tcPr>
          <w:p>
            <w:pPr>
              <w:spacing w:line="360" w:lineRule="auto" w:before="0" w:after="0"/>
            </w:pPr>
            <w:r/>
            <w:r>
              <w:rPr>
                <w:rFonts w:ascii="宋体" w:hAnsi="宋体" w:eastAsia="宋体"/>
                <w:b w:val="0"/>
                <w:sz w:val="18"/>
              </w:rPr>
              <w:t>14-17分</w:t>
            </w:r>
          </w:p>
        </w:tc>
        <w:tc>
          <w:tcPr>
            <w:tcW w:type="dxa" w:w="3022"/>
          </w:tcPr>
          <w:p>
            <w:pPr>
              <w:spacing w:line="360" w:lineRule="auto" w:before="0" w:after="0"/>
            </w:pPr>
            <w:r/>
            <w:r>
              <w:rPr>
                <w:rFonts w:ascii="宋体" w:hAnsi="宋体" w:eastAsia="宋体"/>
                <w:b w:val="0"/>
                <w:sz w:val="18"/>
              </w:rPr>
              <w:t>研究视角有一定新意，能够合理运用文献资料提炼观点，论证基本清楚，结论合理。</w:t>
            </w:r>
          </w:p>
        </w:tc>
      </w:tr>
      <w:tr>
        <w:tc>
          <w:tcPr>
            <w:tcW w:type="dxa" w:w="3022"/>
          </w:tcPr>
          <w:p>
            <w:pPr>
              <w:spacing w:line="360" w:lineRule="auto" w:before="0" w:after="0"/>
            </w:pPr>
            <w:r/>
            <w:r>
              <w:rPr>
                <w:rFonts w:ascii="宋体" w:hAnsi="宋体" w:eastAsia="宋体"/>
                <w:b w:val="0"/>
                <w:sz w:val="18"/>
              </w:rPr>
              <w:t>论文创新性（20%）</w:t>
            </w:r>
          </w:p>
        </w:tc>
        <w:tc>
          <w:tcPr>
            <w:tcW w:type="dxa" w:w="3022"/>
          </w:tcPr>
          <w:p>
            <w:pPr>
              <w:spacing w:line="360" w:lineRule="auto" w:before="0" w:after="0"/>
            </w:pPr>
            <w:r/>
            <w:r>
              <w:rPr>
                <w:rFonts w:ascii="宋体" w:hAnsi="宋体" w:eastAsia="宋体"/>
                <w:b w:val="0"/>
                <w:sz w:val="18"/>
              </w:rPr>
              <w:t>10-13分</w:t>
            </w:r>
          </w:p>
        </w:tc>
        <w:tc>
          <w:tcPr>
            <w:tcW w:type="dxa" w:w="3022"/>
          </w:tcPr>
          <w:p>
            <w:pPr>
              <w:spacing w:line="360" w:lineRule="auto" w:before="0" w:after="0"/>
            </w:pPr>
            <w:r/>
            <w:r>
              <w:rPr>
                <w:rFonts w:ascii="宋体" w:hAnsi="宋体" w:eastAsia="宋体"/>
                <w:b w:val="0"/>
                <w:sz w:val="18"/>
              </w:rPr>
              <w:t>研究方法及视角均无创新，但尚能从他人的观点中发现问题，结论有一定可靠性。</w:t>
            </w:r>
          </w:p>
        </w:tc>
      </w:tr>
      <w:tr>
        <w:tc>
          <w:tcPr>
            <w:tcW w:type="dxa" w:w="3022"/>
          </w:tcPr>
          <w:p>
            <w:pPr>
              <w:spacing w:line="360" w:lineRule="auto" w:before="0" w:after="0"/>
            </w:pPr>
            <w:r/>
            <w:r>
              <w:rPr>
                <w:rFonts w:ascii="宋体" w:hAnsi="宋体" w:eastAsia="宋体"/>
                <w:b w:val="0"/>
                <w:sz w:val="18"/>
              </w:rPr>
              <w:t>论文创新性（20%）</w:t>
            </w:r>
          </w:p>
        </w:tc>
        <w:tc>
          <w:tcPr>
            <w:tcW w:type="dxa" w:w="3022"/>
          </w:tcPr>
          <w:p>
            <w:pPr>
              <w:spacing w:line="360" w:lineRule="auto" w:before="0" w:after="0"/>
            </w:pPr>
            <w:r/>
            <w:r>
              <w:rPr>
                <w:rFonts w:ascii="宋体" w:hAnsi="宋体" w:eastAsia="宋体"/>
                <w:b w:val="0"/>
                <w:sz w:val="18"/>
              </w:rPr>
              <w:t>9分以下</w:t>
            </w:r>
          </w:p>
        </w:tc>
        <w:tc>
          <w:tcPr>
            <w:tcW w:type="dxa" w:w="3022"/>
          </w:tcPr>
          <w:p>
            <w:pPr>
              <w:spacing w:line="360" w:lineRule="auto" w:before="0" w:after="0"/>
            </w:pPr>
            <w:r/>
            <w:r>
              <w:rPr>
                <w:rFonts w:ascii="宋体" w:hAnsi="宋体" w:eastAsia="宋体"/>
                <w:b w:val="0"/>
                <w:sz w:val="18"/>
              </w:rPr>
              <w:t>研究方法及研究视角均无创新之处，抄袭别人论文或之前已在刊物中采用，所得出的结论无明显价值。</w:t>
            </w:r>
          </w:p>
        </w:tc>
      </w:tr>
      <w:tr>
        <w:tc>
          <w:tcPr>
            <w:tcW w:type="dxa" w:w="3022"/>
          </w:tcPr>
          <w:p>
            <w:pPr>
              <w:spacing w:line="360" w:lineRule="auto" w:before="0" w:after="0"/>
            </w:pPr>
            <w:r/>
            <w:r>
              <w:rPr>
                <w:rFonts w:ascii="宋体" w:hAnsi="宋体" w:eastAsia="宋体"/>
                <w:b w:val="0"/>
                <w:sz w:val="18"/>
              </w:rPr>
              <w:t>论证（20%）</w:t>
            </w:r>
          </w:p>
        </w:tc>
        <w:tc>
          <w:tcPr>
            <w:tcW w:type="dxa" w:w="3022"/>
          </w:tcPr>
          <w:p>
            <w:pPr>
              <w:spacing w:line="360" w:lineRule="auto" w:before="0" w:after="0"/>
            </w:pPr>
            <w:r/>
            <w:r>
              <w:rPr>
                <w:rFonts w:ascii="宋体" w:hAnsi="宋体" w:eastAsia="宋体"/>
                <w:b w:val="0"/>
                <w:sz w:val="18"/>
              </w:rPr>
              <w:t>18-20分</w:t>
            </w:r>
          </w:p>
        </w:tc>
        <w:tc>
          <w:tcPr>
            <w:tcW w:type="dxa" w:w="3022"/>
          </w:tcPr>
          <w:p>
            <w:pPr>
              <w:spacing w:line="360" w:lineRule="auto" w:before="0" w:after="0"/>
            </w:pPr>
            <w:r/>
            <w:r>
              <w:rPr>
                <w:rFonts w:ascii="宋体" w:hAnsi="宋体" w:eastAsia="宋体"/>
                <w:b w:val="0"/>
                <w:sz w:val="18"/>
              </w:rPr>
              <w:t>论证思路清楚，逻辑性强；显示了比较扎实的专业知识；能准确理解并合理利用所引文献，遵守学术规范，体现了作者良好的学风；研究所得结论可靠。</w:t>
            </w:r>
          </w:p>
        </w:tc>
      </w:tr>
      <w:tr>
        <w:tc>
          <w:tcPr>
            <w:tcW w:type="dxa" w:w="3022"/>
          </w:tcPr>
          <w:p>
            <w:pPr>
              <w:spacing w:line="360" w:lineRule="auto" w:before="0" w:after="0"/>
            </w:pPr>
            <w:r/>
            <w:r>
              <w:rPr>
                <w:rFonts w:ascii="宋体" w:hAnsi="宋体" w:eastAsia="宋体"/>
                <w:b w:val="0"/>
                <w:sz w:val="18"/>
              </w:rPr>
              <w:t>论证（20%）</w:t>
            </w:r>
          </w:p>
        </w:tc>
        <w:tc>
          <w:tcPr>
            <w:tcW w:type="dxa" w:w="3022"/>
          </w:tcPr>
          <w:p>
            <w:pPr>
              <w:spacing w:line="360" w:lineRule="auto" w:before="0" w:after="0"/>
            </w:pPr>
            <w:r/>
            <w:r>
              <w:rPr>
                <w:rFonts w:ascii="宋体" w:hAnsi="宋体" w:eastAsia="宋体"/>
                <w:b w:val="0"/>
                <w:sz w:val="18"/>
              </w:rPr>
              <w:t>14-17分</w:t>
            </w:r>
          </w:p>
        </w:tc>
        <w:tc>
          <w:tcPr>
            <w:tcW w:type="dxa" w:w="3022"/>
          </w:tcPr>
          <w:p>
            <w:pPr>
              <w:spacing w:line="360" w:lineRule="auto" w:before="0" w:after="0"/>
            </w:pPr>
            <w:r/>
            <w:r>
              <w:rPr>
                <w:rFonts w:ascii="宋体" w:hAnsi="宋体" w:eastAsia="宋体"/>
                <w:b w:val="0"/>
                <w:sz w:val="18"/>
              </w:rPr>
              <w:t>论证思路比较清楚，有一定的逻辑性；对文献资料理解正确，引用比较合理，注解基本清楚；结论比较可靠。</w:t>
            </w:r>
          </w:p>
        </w:tc>
      </w:tr>
      <w:tr>
        <w:tc>
          <w:tcPr>
            <w:tcW w:type="dxa" w:w="3022"/>
          </w:tcPr>
          <w:p>
            <w:pPr>
              <w:spacing w:line="360" w:lineRule="auto" w:before="0" w:after="0"/>
            </w:pPr>
            <w:r/>
            <w:r>
              <w:rPr>
                <w:rFonts w:ascii="宋体" w:hAnsi="宋体" w:eastAsia="宋体"/>
                <w:b w:val="0"/>
                <w:sz w:val="18"/>
              </w:rPr>
              <w:t>论证（20%）</w:t>
            </w:r>
          </w:p>
        </w:tc>
        <w:tc>
          <w:tcPr>
            <w:tcW w:type="dxa" w:w="3022"/>
          </w:tcPr>
          <w:p>
            <w:pPr>
              <w:spacing w:line="360" w:lineRule="auto" w:before="0" w:after="0"/>
            </w:pPr>
            <w:r/>
            <w:r>
              <w:rPr>
                <w:rFonts w:ascii="宋体" w:hAnsi="宋体" w:eastAsia="宋体"/>
                <w:b w:val="0"/>
                <w:sz w:val="18"/>
              </w:rPr>
              <w:t>10-13分</w:t>
            </w:r>
          </w:p>
        </w:tc>
        <w:tc>
          <w:tcPr>
            <w:tcW w:type="dxa" w:w="3022"/>
          </w:tcPr>
          <w:p>
            <w:pPr>
              <w:spacing w:line="360" w:lineRule="auto" w:before="0" w:after="0"/>
            </w:pPr>
            <w:r/>
            <w:r>
              <w:rPr>
                <w:rFonts w:ascii="宋体" w:hAnsi="宋体" w:eastAsia="宋体"/>
                <w:b w:val="0"/>
                <w:sz w:val="18"/>
              </w:rPr>
              <w:t>论证基本清楚，某些地方层次不够合理，个别地方引用不当，或表达不够清楚，但整体看来，尚可从所用材料中得到论文的结论。</w:t>
            </w:r>
          </w:p>
        </w:tc>
      </w:tr>
      <w:tr>
        <w:tc>
          <w:tcPr>
            <w:tcW w:type="dxa" w:w="3022"/>
          </w:tcPr>
          <w:p>
            <w:pPr>
              <w:spacing w:line="360" w:lineRule="auto" w:before="0" w:after="0"/>
            </w:pPr>
            <w:r/>
            <w:r>
              <w:rPr>
                <w:rFonts w:ascii="宋体" w:hAnsi="宋体" w:eastAsia="宋体"/>
                <w:b w:val="0"/>
                <w:sz w:val="18"/>
              </w:rPr>
              <w:t>论证（20%）</w:t>
            </w:r>
          </w:p>
        </w:tc>
        <w:tc>
          <w:tcPr>
            <w:tcW w:type="dxa" w:w="3022"/>
          </w:tcPr>
          <w:p>
            <w:pPr>
              <w:spacing w:line="360" w:lineRule="auto" w:before="0" w:after="0"/>
            </w:pPr>
            <w:r/>
            <w:r>
              <w:rPr>
                <w:rFonts w:ascii="宋体" w:hAnsi="宋体" w:eastAsia="宋体"/>
                <w:b w:val="0"/>
                <w:sz w:val="18"/>
              </w:rPr>
              <w:t>9分以下</w:t>
            </w:r>
          </w:p>
        </w:tc>
        <w:tc>
          <w:tcPr>
            <w:tcW w:type="dxa" w:w="3022"/>
          </w:tcPr>
          <w:p>
            <w:pPr>
              <w:spacing w:line="360" w:lineRule="auto" w:before="0" w:after="0"/>
            </w:pPr>
            <w:r/>
            <w:r>
              <w:rPr>
                <w:rFonts w:ascii="宋体" w:hAnsi="宋体" w:eastAsia="宋体"/>
                <w:b w:val="0"/>
                <w:sz w:val="18"/>
              </w:rPr>
              <w:t>思路不清楚，论证不够严密，超过20%的篇幅表述不清楚，结论不够可靠。</w:t>
            </w:r>
          </w:p>
        </w:tc>
      </w:tr>
      <w:tr>
        <w:tc>
          <w:tcPr>
            <w:tcW w:type="dxa" w:w="3022"/>
          </w:tcPr>
          <w:p>
            <w:pPr>
              <w:spacing w:line="360" w:lineRule="auto" w:before="0" w:after="0"/>
            </w:pPr>
            <w:r/>
            <w:r>
              <w:rPr>
                <w:rFonts w:ascii="宋体" w:hAnsi="宋体" w:eastAsia="宋体"/>
                <w:b w:val="0"/>
                <w:sz w:val="18"/>
              </w:rPr>
              <w:t>论文工作量（10%）</w:t>
            </w:r>
          </w:p>
        </w:tc>
        <w:tc>
          <w:tcPr>
            <w:tcW w:type="dxa" w:w="3022"/>
          </w:tcPr>
          <w:p>
            <w:pPr>
              <w:spacing w:line="360" w:lineRule="auto" w:before="0" w:after="0"/>
            </w:pPr>
            <w:r/>
            <w:r>
              <w:rPr>
                <w:rFonts w:ascii="宋体" w:hAnsi="宋体" w:eastAsia="宋体"/>
                <w:b w:val="0"/>
                <w:sz w:val="18"/>
              </w:rPr>
              <w:t>9-10分</w:t>
            </w:r>
          </w:p>
        </w:tc>
        <w:tc>
          <w:tcPr>
            <w:tcW w:type="dxa" w:w="3022"/>
          </w:tcPr>
          <w:p>
            <w:pPr>
              <w:spacing w:line="360" w:lineRule="auto" w:before="0" w:after="0"/>
            </w:pPr>
            <w:r/>
            <w:r>
              <w:rPr>
                <w:rFonts w:ascii="宋体" w:hAnsi="宋体" w:eastAsia="宋体"/>
                <w:b w:val="0"/>
                <w:sz w:val="18"/>
              </w:rPr>
              <w:t>所写论文需要花费较长的时间的调查研究，文献资料的阅读量比较大，需要较大投入。</w:t>
            </w:r>
          </w:p>
        </w:tc>
      </w:tr>
      <w:tr>
        <w:tc>
          <w:tcPr>
            <w:tcW w:type="dxa" w:w="3022"/>
          </w:tcPr>
          <w:p>
            <w:pPr>
              <w:spacing w:line="360" w:lineRule="auto" w:before="0" w:after="0"/>
            </w:pPr>
            <w:r/>
            <w:r>
              <w:rPr>
                <w:rFonts w:ascii="宋体" w:hAnsi="宋体" w:eastAsia="宋体"/>
                <w:b w:val="0"/>
                <w:sz w:val="18"/>
              </w:rPr>
              <w:t>论文工作量（10%）</w:t>
            </w:r>
          </w:p>
        </w:tc>
        <w:tc>
          <w:tcPr>
            <w:tcW w:type="dxa" w:w="3022"/>
          </w:tcPr>
          <w:p>
            <w:pPr>
              <w:spacing w:line="360" w:lineRule="auto" w:before="0" w:after="0"/>
            </w:pPr>
            <w:r/>
            <w:r>
              <w:rPr>
                <w:rFonts w:ascii="宋体" w:hAnsi="宋体" w:eastAsia="宋体"/>
                <w:b w:val="0"/>
                <w:sz w:val="18"/>
              </w:rPr>
              <w:t>7-8分</w:t>
            </w:r>
          </w:p>
        </w:tc>
        <w:tc>
          <w:tcPr>
            <w:tcW w:type="dxa" w:w="3022"/>
          </w:tcPr>
          <w:p>
            <w:pPr>
              <w:spacing w:line="360" w:lineRule="auto" w:before="0" w:after="0"/>
            </w:pPr>
            <w:r/>
            <w:r>
              <w:rPr>
                <w:rFonts w:ascii="宋体" w:hAnsi="宋体" w:eastAsia="宋体"/>
                <w:b w:val="0"/>
                <w:sz w:val="18"/>
              </w:rPr>
              <w:t>所写论文需要较多的时间和精力的投入，文献资料的阅读有一定的难度，论文显示作者对所研究的问题进行了独立的思考。</w:t>
            </w:r>
          </w:p>
        </w:tc>
      </w:tr>
      <w:tr>
        <w:tc>
          <w:tcPr>
            <w:tcW w:type="dxa" w:w="3022"/>
          </w:tcPr>
          <w:p>
            <w:pPr>
              <w:spacing w:line="360" w:lineRule="auto" w:before="0" w:after="0"/>
            </w:pPr>
            <w:r/>
            <w:r>
              <w:rPr>
                <w:rFonts w:ascii="宋体" w:hAnsi="宋体" w:eastAsia="宋体"/>
                <w:b w:val="0"/>
                <w:sz w:val="18"/>
              </w:rPr>
              <w:t>论文工作量（10%）</w:t>
            </w:r>
          </w:p>
        </w:tc>
        <w:tc>
          <w:tcPr>
            <w:tcW w:type="dxa" w:w="3022"/>
          </w:tcPr>
          <w:p>
            <w:pPr>
              <w:spacing w:line="360" w:lineRule="auto" w:before="0" w:after="0"/>
            </w:pPr>
            <w:r/>
            <w:r>
              <w:rPr>
                <w:rFonts w:ascii="宋体" w:hAnsi="宋体" w:eastAsia="宋体"/>
                <w:b w:val="0"/>
                <w:sz w:val="18"/>
              </w:rPr>
              <w:t>5-6分</w:t>
            </w:r>
          </w:p>
        </w:tc>
        <w:tc>
          <w:tcPr>
            <w:tcW w:type="dxa" w:w="3022"/>
          </w:tcPr>
          <w:p>
            <w:pPr>
              <w:spacing w:line="360" w:lineRule="auto" w:before="0" w:after="0"/>
            </w:pPr>
            <w:r/>
            <w:r>
              <w:rPr>
                <w:rFonts w:ascii="宋体" w:hAnsi="宋体" w:eastAsia="宋体"/>
                <w:b w:val="0"/>
                <w:sz w:val="18"/>
              </w:rPr>
              <w:t>所写论文无需花费长时间的调查研究，所参考的文献资料比较少，但论文显示作者尚能独立思考问题。</w:t>
            </w:r>
          </w:p>
        </w:tc>
      </w:tr>
      <w:tr>
        <w:tc>
          <w:tcPr>
            <w:tcW w:type="dxa" w:w="3022"/>
          </w:tcPr>
          <w:p>
            <w:pPr>
              <w:spacing w:line="360" w:lineRule="auto" w:before="0" w:after="0"/>
            </w:pPr>
            <w:r/>
            <w:r>
              <w:rPr>
                <w:rFonts w:ascii="宋体" w:hAnsi="宋体" w:eastAsia="宋体"/>
                <w:b w:val="0"/>
                <w:sz w:val="18"/>
              </w:rPr>
              <w:t>论文工作量（10%）</w:t>
            </w:r>
          </w:p>
        </w:tc>
        <w:tc>
          <w:tcPr>
            <w:tcW w:type="dxa" w:w="3022"/>
          </w:tcPr>
          <w:p>
            <w:pPr>
              <w:spacing w:line="360" w:lineRule="auto" w:before="0" w:after="0"/>
            </w:pPr>
            <w:r/>
            <w:r>
              <w:rPr>
                <w:rFonts w:ascii="宋体" w:hAnsi="宋体" w:eastAsia="宋体"/>
                <w:b w:val="0"/>
                <w:sz w:val="18"/>
              </w:rPr>
              <w:t>4分以下</w:t>
            </w:r>
          </w:p>
        </w:tc>
        <w:tc>
          <w:tcPr>
            <w:tcW w:type="dxa" w:w="3022"/>
          </w:tcPr>
          <w:p>
            <w:pPr>
              <w:spacing w:line="360" w:lineRule="auto" w:before="0" w:after="0"/>
            </w:pPr>
            <w:r/>
            <w:r>
              <w:rPr>
                <w:rFonts w:ascii="宋体" w:hAnsi="宋体" w:eastAsia="宋体"/>
                <w:b w:val="0"/>
                <w:sz w:val="18"/>
              </w:rPr>
              <w:t>没有认真阅读文献，过多采用网络文献，且未清楚注明来源，有拼凑而成之嫌。</w:t>
            </w:r>
          </w:p>
        </w:tc>
      </w:tr>
      <w:tr>
        <w:tc>
          <w:tcPr>
            <w:tcW w:type="dxa" w:w="3022"/>
          </w:tcPr>
          <w:p>
            <w:pPr>
              <w:spacing w:line="360" w:lineRule="auto" w:before="0" w:after="0"/>
            </w:pPr>
            <w:r/>
            <w:r>
              <w:rPr>
                <w:rFonts w:ascii="宋体" w:hAnsi="宋体" w:eastAsia="宋体"/>
                <w:b w:val="0"/>
                <w:sz w:val="18"/>
              </w:rPr>
              <w:t>语言（20%）</w:t>
            </w:r>
          </w:p>
        </w:tc>
        <w:tc>
          <w:tcPr>
            <w:tcW w:type="dxa" w:w="3022"/>
          </w:tcPr>
          <w:p>
            <w:pPr>
              <w:spacing w:line="360" w:lineRule="auto" w:before="0" w:after="0"/>
            </w:pPr>
            <w:r/>
            <w:r>
              <w:rPr>
                <w:rFonts w:ascii="宋体" w:hAnsi="宋体" w:eastAsia="宋体"/>
                <w:b w:val="0"/>
                <w:sz w:val="18"/>
              </w:rPr>
              <w:t>18-20分</w:t>
            </w:r>
          </w:p>
        </w:tc>
        <w:tc>
          <w:tcPr>
            <w:tcW w:type="dxa" w:w="3022"/>
          </w:tcPr>
          <w:p>
            <w:pPr>
              <w:spacing w:line="360" w:lineRule="auto" w:before="0" w:after="0"/>
            </w:pPr>
            <w:r/>
            <w:r>
              <w:rPr>
                <w:rFonts w:ascii="宋体" w:hAnsi="宋体" w:eastAsia="宋体"/>
                <w:b w:val="0"/>
                <w:sz w:val="18"/>
              </w:rPr>
              <w:t>语言符合论文语体特点，语句之间衔接自然，通顺连贯，遣词造句准确无误，无错别字。</w:t>
            </w:r>
          </w:p>
        </w:tc>
      </w:tr>
      <w:tr>
        <w:tc>
          <w:tcPr>
            <w:tcW w:type="dxa" w:w="3022"/>
          </w:tcPr>
          <w:p>
            <w:pPr>
              <w:spacing w:line="360" w:lineRule="auto" w:before="0" w:after="0"/>
            </w:pPr>
            <w:r/>
            <w:r>
              <w:rPr>
                <w:rFonts w:ascii="宋体" w:hAnsi="宋体" w:eastAsia="宋体"/>
                <w:b w:val="0"/>
                <w:sz w:val="18"/>
              </w:rPr>
              <w:t>语言（20%）</w:t>
            </w:r>
          </w:p>
        </w:tc>
        <w:tc>
          <w:tcPr>
            <w:tcW w:type="dxa" w:w="3022"/>
          </w:tcPr>
          <w:p>
            <w:pPr>
              <w:spacing w:line="360" w:lineRule="auto" w:before="0" w:after="0"/>
            </w:pPr>
            <w:r/>
            <w:r>
              <w:rPr>
                <w:rFonts w:ascii="宋体" w:hAnsi="宋体" w:eastAsia="宋体"/>
                <w:b w:val="0"/>
                <w:sz w:val="18"/>
              </w:rPr>
              <w:t>14-17分</w:t>
            </w:r>
          </w:p>
        </w:tc>
        <w:tc>
          <w:tcPr>
            <w:tcW w:type="dxa" w:w="3022"/>
          </w:tcPr>
          <w:p>
            <w:pPr>
              <w:spacing w:line="360" w:lineRule="auto" w:before="0" w:after="0"/>
            </w:pPr>
            <w:r/>
            <w:r>
              <w:rPr>
                <w:rFonts w:ascii="宋体" w:hAnsi="宋体" w:eastAsia="宋体"/>
                <w:b w:val="0"/>
                <w:sz w:val="18"/>
              </w:rPr>
              <w:t>语言基本符合论文语体特点，语句比较连贯，表达基本清楚，有个别轻微语病，无错别字。</w:t>
            </w:r>
          </w:p>
        </w:tc>
      </w:tr>
      <w:tr>
        <w:tc>
          <w:tcPr>
            <w:tcW w:type="dxa" w:w="3022"/>
          </w:tcPr>
          <w:p>
            <w:pPr>
              <w:spacing w:line="360" w:lineRule="auto" w:before="0" w:after="0"/>
            </w:pPr>
            <w:r/>
            <w:r>
              <w:rPr>
                <w:rFonts w:ascii="宋体" w:hAnsi="宋体" w:eastAsia="宋体"/>
                <w:b w:val="0"/>
                <w:sz w:val="18"/>
              </w:rPr>
              <w:t>语言（20%）</w:t>
            </w:r>
          </w:p>
        </w:tc>
        <w:tc>
          <w:tcPr>
            <w:tcW w:type="dxa" w:w="3022"/>
          </w:tcPr>
          <w:p>
            <w:pPr>
              <w:spacing w:line="360" w:lineRule="auto" w:before="0" w:after="0"/>
            </w:pPr>
            <w:r/>
            <w:r>
              <w:rPr>
                <w:rFonts w:ascii="宋体" w:hAnsi="宋体" w:eastAsia="宋体"/>
                <w:b w:val="0"/>
                <w:sz w:val="18"/>
              </w:rPr>
              <w:t>10-13分</w:t>
            </w:r>
          </w:p>
        </w:tc>
        <w:tc>
          <w:tcPr>
            <w:tcW w:type="dxa" w:w="3022"/>
          </w:tcPr>
          <w:p>
            <w:pPr>
              <w:spacing w:line="360" w:lineRule="auto" w:before="0" w:after="0"/>
            </w:pPr>
            <w:r/>
            <w:r>
              <w:rPr>
                <w:rFonts w:ascii="宋体" w:hAnsi="宋体" w:eastAsia="宋体"/>
                <w:b w:val="0"/>
                <w:sz w:val="18"/>
              </w:rPr>
              <w:t>语句基本通顺，有少量错别字和轻微语病。</w:t>
            </w:r>
          </w:p>
        </w:tc>
      </w:tr>
      <w:tr>
        <w:tc>
          <w:tcPr>
            <w:tcW w:type="dxa" w:w="3022"/>
          </w:tcPr>
          <w:p>
            <w:pPr>
              <w:spacing w:line="360" w:lineRule="auto" w:before="0" w:after="0"/>
            </w:pPr>
            <w:r/>
            <w:r>
              <w:rPr>
                <w:rFonts w:ascii="宋体" w:hAnsi="宋体" w:eastAsia="宋体"/>
                <w:b w:val="0"/>
                <w:sz w:val="18"/>
              </w:rPr>
              <w:t>语言（20%）</w:t>
            </w:r>
          </w:p>
        </w:tc>
        <w:tc>
          <w:tcPr>
            <w:tcW w:type="dxa" w:w="3022"/>
          </w:tcPr>
          <w:p>
            <w:pPr>
              <w:spacing w:line="360" w:lineRule="auto" w:before="0" w:after="0"/>
            </w:pPr>
            <w:r/>
            <w:r>
              <w:rPr>
                <w:rFonts w:ascii="宋体" w:hAnsi="宋体" w:eastAsia="宋体"/>
                <w:b w:val="0"/>
                <w:sz w:val="18"/>
              </w:rPr>
              <w:t>9分以下</w:t>
            </w:r>
          </w:p>
        </w:tc>
        <w:tc>
          <w:tcPr>
            <w:tcW w:type="dxa" w:w="3022"/>
          </w:tcPr>
          <w:p>
            <w:pPr>
              <w:spacing w:line="360" w:lineRule="auto" w:before="0" w:after="0"/>
            </w:pPr>
            <w:r/>
            <w:r>
              <w:rPr>
                <w:rFonts w:ascii="宋体" w:hAnsi="宋体" w:eastAsia="宋体"/>
                <w:b w:val="0"/>
                <w:sz w:val="18"/>
              </w:rPr>
              <w:t>超过10%的篇幅采用非论述性语体，语句不够通畅，错别字在10个以上，语病在5处以上。</w:t>
            </w:r>
          </w:p>
        </w:tc>
      </w:tr>
      <w:tr>
        <w:tc>
          <w:tcPr>
            <w:tcW w:type="dxa" w:w="3022"/>
          </w:tcPr>
          <w:p>
            <w:pPr>
              <w:spacing w:line="360" w:lineRule="auto" w:before="0" w:after="0"/>
            </w:pPr>
            <w:r/>
            <w:r>
              <w:rPr>
                <w:rFonts w:ascii="宋体" w:hAnsi="宋体" w:eastAsia="宋体"/>
                <w:b w:val="0"/>
                <w:sz w:val="18"/>
              </w:rPr>
              <w:t>总得分</w:t>
            </w:r>
          </w:p>
        </w:tc>
        <w:tc>
          <w:tcPr>
            <w:tcW w:type="dxa" w:w="3022"/>
          </w:tcPr>
          <w:p>
            <w:pPr>
              <w:spacing w:line="360" w:lineRule="auto" w:before="0" w:after="0"/>
            </w:pPr>
            <w:r/>
            <w:r>
              <w:rPr>
                <w:rFonts w:ascii="宋体" w:hAnsi="宋体" w:eastAsia="宋体"/>
                <w:b w:val="0"/>
                <w:sz w:val="18"/>
              </w:rPr>
            </w:r>
          </w:p>
        </w:tc>
        <w:tc>
          <w:tcPr>
            <w:tcW w:type="dxa" w:w="3022"/>
          </w:tcPr>
          <w:p>
            <w:pPr>
              <w:spacing w:line="360" w:lineRule="auto" w:before="0" w:after="0"/>
            </w:pPr>
            <w:r/>
            <w:r>
              <w:rPr>
                <w:rFonts w:ascii="宋体" w:hAnsi="宋体" w:eastAsia="宋体"/>
                <w:b w:val="0"/>
                <w:sz w:val="18"/>
              </w:rPr>
            </w:r>
          </w:p>
        </w:tc>
      </w:tr>
      <w:tr>
        <w:tc>
          <w:tcPr>
            <w:tcW w:type="dxa" w:w="3022"/>
          </w:tcPr>
          <w:p>
            <w:pPr>
              <w:spacing w:line="360" w:lineRule="auto" w:before="0" w:after="0"/>
            </w:pPr>
            <w:r/>
            <w:r>
              <w:rPr>
                <w:rFonts w:ascii="宋体" w:hAnsi="宋体" w:eastAsia="宋体"/>
                <w:b w:val="0"/>
                <w:sz w:val="18"/>
              </w:rPr>
              <w:t>备注</w:t>
            </w:r>
          </w:p>
        </w:tc>
        <w:tc>
          <w:tcPr>
            <w:tcW w:type="dxa" w:w="3022"/>
          </w:tcPr>
          <w:p>
            <w:pPr>
              <w:spacing w:line="360" w:lineRule="auto" w:before="0" w:after="0"/>
            </w:pPr>
            <w:r/>
            <w:r>
              <w:rPr>
                <w:rFonts w:ascii="宋体" w:hAnsi="宋体" w:eastAsia="宋体"/>
                <w:b w:val="0"/>
                <w:sz w:val="18"/>
              </w:rPr>
            </w:r>
          </w:p>
        </w:tc>
        <w:tc>
          <w:tcPr>
            <w:tcW w:type="dxa" w:w="3022"/>
          </w:tcPr>
          <w:p>
            <w:pPr>
              <w:spacing w:line="360" w:lineRule="auto" w:before="0" w:after="0"/>
            </w:pPr>
            <w:r/>
            <w:r>
              <w:rPr>
                <w:rFonts w:ascii="宋体" w:hAnsi="宋体" w:eastAsia="宋体"/>
                <w:b w:val="0"/>
                <w:sz w:val="18"/>
              </w:rPr>
              <w:t>凡有以下情况者，合计得分不应超过60分：（1）引用超过80%，且未作注解说明出处；（2）整篇错别字累计超过15个；（3）语病超过10处。</w:t>
            </w:r>
          </w:p>
        </w:tc>
      </w:tr>
    </w:tbl>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