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C9B15">
      <w:pPr>
        <w:pStyle w:val="2"/>
        <w:keepNext w:val="0"/>
        <w:keepLines w:val="0"/>
        <w:widowControl/>
        <w:suppressLineNumbers w:val="0"/>
        <w:spacing w:line="420" w:lineRule="atLeast"/>
        <w:ind w:firstLine="408" w:firstLineChars="200"/>
        <w:jc w:val="both"/>
      </w:pPr>
      <w:bookmarkStart w:id="0" w:name="_GoBack"/>
      <w:bookmarkEnd w:id="0"/>
      <w:r>
        <w:rPr>
          <w:rFonts w:ascii="微软雅黑" w:hAnsi="微软雅黑" w:eastAsia="微软雅黑" w:cs="微软雅黑"/>
          <w:color w:val="333333"/>
          <w:spacing w:val="7"/>
          <w:sz w:val="19"/>
          <w:szCs w:val="19"/>
        </w:rPr>
        <w:t>无论是为了应对2008年全球金融海啸还是应对2020年新冠肺炎疫情全球大流行引致的全球经济下行，世界各国政府往往会推出“货币政策-财政政策”组合拳来刺激经济。</w:t>
      </w:r>
    </w:p>
    <w:p w14:paraId="2BE7C3DA">
      <w:pPr>
        <w:pStyle w:val="2"/>
        <w:keepNext w:val="0"/>
        <w:keepLines w:val="0"/>
        <w:widowControl/>
        <w:suppressLineNumbers w:val="0"/>
        <w:spacing w:line="420" w:lineRule="atLeast"/>
        <w:ind w:firstLine="408" w:firstLineChars="200"/>
        <w:jc w:val="both"/>
        <w:rPr>
          <w:rFonts w:hint="eastAsia" w:ascii="微软雅黑" w:hAnsi="微软雅黑" w:eastAsia="微软雅黑" w:cs="微软雅黑"/>
          <w:color w:val="333333"/>
          <w:spacing w:val="7"/>
          <w:sz w:val="19"/>
          <w:szCs w:val="19"/>
        </w:rPr>
      </w:pPr>
      <w:r>
        <w:rPr>
          <w:rFonts w:hint="eastAsia" w:ascii="微软雅黑" w:hAnsi="微软雅黑" w:eastAsia="微软雅黑" w:cs="微软雅黑"/>
          <w:color w:val="333333"/>
          <w:spacing w:val="7"/>
          <w:sz w:val="19"/>
          <w:szCs w:val="19"/>
        </w:rPr>
        <w:t>其中，宽松的货币政策会增加货币供给从而助力经济运行，积极的财政政策则通过扩大内需来促进经济增长，当然财政扩张的同时也会伴随着信贷的扩张以及银行贷款向特定经济部门流动，这不禁引人深思：如何区分货币刺激对信贷跨部门配置和银行系统的影响以及财政扩张对信贷跨部门配置和银行系统的影响呢？两者是彼此互补的还是彼此替代的呢？如果货币刺激与财政扩张之间存在交互作用，那这一交互作用又是如何影响经济的呢？</w:t>
      </w:r>
    </w:p>
    <w:p w14:paraId="3C8C58FE">
      <w:pPr>
        <w:pStyle w:val="2"/>
        <w:keepNext w:val="0"/>
        <w:keepLines w:val="0"/>
        <w:widowControl/>
        <w:suppressLineNumbers w:val="0"/>
        <w:spacing w:line="420" w:lineRule="atLeast"/>
        <w:ind w:firstLine="408" w:firstLineChars="200"/>
        <w:jc w:val="both"/>
        <w:rPr>
          <w:rStyle w:val="5"/>
          <w:rFonts w:ascii="宋体" w:hAnsi="宋体" w:eastAsia="宋体" w:cs="宋体"/>
          <w:kern w:val="0"/>
          <w:sz w:val="24"/>
          <w:szCs w:val="24"/>
          <w:lang w:val="en-US" w:eastAsia="zh-CN" w:bidi="ar"/>
        </w:rPr>
      </w:pPr>
      <w:r>
        <w:rPr>
          <w:rFonts w:ascii="微软雅黑" w:hAnsi="微软雅黑" w:eastAsia="微软雅黑" w:cs="微软雅黑"/>
          <w:color w:val="333333"/>
          <w:spacing w:val="7"/>
          <w:sz w:val="19"/>
          <w:szCs w:val="19"/>
          <w:lang w:val="en-US" w:eastAsia="zh-CN"/>
        </w:rPr>
        <w:t>该研究以中国2008年11月份开始实施的经济刺激计划为背景，考察了以基础设施建设大规模投资为代表的积极财政政策对宽松货币政策在实体经济中的执行和传导效率的影响，刻画了货币政策与财政政策之间的交互作用对信贷资金配置结构和货币政策传导效率的影响。</w:t>
      </w:r>
    </w:p>
    <w:p w14:paraId="6CB3EAAF">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2" w:firstLineChars="200"/>
        <w:jc w:val="left"/>
        <w:textAlignment w:val="auto"/>
      </w:pPr>
      <w:r>
        <w:rPr>
          <w:rStyle w:val="5"/>
          <w:rFonts w:ascii="宋体" w:hAnsi="宋体" w:eastAsia="宋体" w:cs="宋体"/>
          <w:kern w:val="0"/>
          <w:sz w:val="24"/>
          <w:szCs w:val="24"/>
          <w:lang w:val="en-US" w:eastAsia="zh-CN" w:bidi="ar"/>
        </w:rPr>
        <w:t>01制度背景</w:t>
      </w:r>
      <w:r>
        <w:rPr>
          <w:rFonts w:ascii="宋体" w:hAnsi="宋体" w:eastAsia="宋体" w:cs="宋体"/>
          <w:kern w:val="0"/>
          <w:sz w:val="24"/>
          <w:szCs w:val="24"/>
          <w:lang w:val="en-US" w:eastAsia="zh-CN" w:bidi="ar"/>
        </w:rPr>
        <w:br w:type="textWrapping"/>
      </w:r>
      <w:r>
        <w:rPr>
          <w:rStyle w:val="5"/>
          <w:rFonts w:ascii="宋体" w:hAnsi="宋体" w:eastAsia="宋体" w:cs="宋体"/>
          <w:kern w:val="0"/>
          <w:sz w:val="24"/>
          <w:szCs w:val="24"/>
          <w:lang w:val="en-US" w:eastAsia="zh-CN" w:bidi="ar"/>
        </w:rPr>
        <w:t>01</w:t>
      </w:r>
      <w:r>
        <w:rPr>
          <w:rStyle w:val="5"/>
          <w:rFonts w:hint="eastAsia"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2009年前的货币与财政政策实践</w:t>
      </w:r>
    </w:p>
    <w:p w14:paraId="0F89AB1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jc w:val="both"/>
        <w:textAlignment w:val="auto"/>
      </w:pPr>
      <w:r>
        <w:rPr>
          <w:rFonts w:ascii="微软雅黑" w:hAnsi="微软雅黑" w:eastAsia="微软雅黑" w:cs="微软雅黑"/>
          <w:color w:val="333333"/>
          <w:spacing w:val="7"/>
          <w:sz w:val="19"/>
          <w:szCs w:val="19"/>
        </w:rPr>
        <w:t>在1994年以前，货币政策受到财政的影响较大，财政赤字往往首先由中央银行去填补。</w:t>
      </w:r>
      <w:r>
        <w:rPr>
          <w:rFonts w:hint="eastAsia" w:ascii="微软雅黑" w:hAnsi="微软雅黑" w:eastAsia="微软雅黑" w:cs="微软雅黑"/>
          <w:color w:val="333333"/>
          <w:spacing w:val="7"/>
          <w:sz w:val="19"/>
          <w:szCs w:val="19"/>
        </w:rPr>
        <w:t>直到1993年12月25日，国务院发布了《关于金融体制改革的决定》，提出我国金融体制改革的目标是建立在国务院领导下独立执行货币政策的中央银行宏观调控体系以及建立政策性金融与商业性金融分离，以国有商业银行为主体、多种金融机构并存的金融组织体系。</w:t>
      </w:r>
    </w:p>
    <w:p w14:paraId="0D4E8CC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jc w:val="both"/>
        <w:textAlignment w:val="auto"/>
      </w:pPr>
      <w:r>
        <w:rPr>
          <w:rFonts w:hint="eastAsia" w:ascii="微软雅黑" w:hAnsi="微软雅黑" w:eastAsia="微软雅黑" w:cs="微软雅黑"/>
          <w:color w:val="333333"/>
          <w:spacing w:val="7"/>
          <w:sz w:val="19"/>
          <w:szCs w:val="19"/>
        </w:rPr>
        <w:t>1995颁布的《中国人民银行法》则进一步明确禁止央行向地方政府、非银行企业或个人贷款，央行也不得购买财政部发行的政府债券或为地方政府进行债务融资。由此可见在2009年之前，地方政府很难利用银行贷款来为基础设施投资进行融资。此外，我国央行执行的是数量型货币政策，即以M2为目标而非利率。</w:t>
      </w:r>
      <w:r>
        <w:rPr>
          <w:rFonts w:ascii="宋体" w:hAnsi="宋体" w:eastAsia="宋体" w:cs="宋体"/>
          <w:kern w:val="0"/>
          <w:sz w:val="24"/>
          <w:szCs w:val="24"/>
          <w:lang w:val="en-US" w:eastAsia="zh-CN" w:bidi="ar"/>
        </w:rPr>
        <w:br w:type="textWrapping"/>
      </w:r>
      <w:r>
        <w:rPr>
          <w:rStyle w:val="5"/>
          <w:rFonts w:ascii="宋体" w:hAnsi="宋体" w:eastAsia="宋体" w:cs="宋体"/>
          <w:kern w:val="0"/>
          <w:sz w:val="24"/>
          <w:szCs w:val="24"/>
          <w:lang w:val="en-US" w:eastAsia="zh-CN" w:bidi="ar"/>
        </w:rPr>
        <w:t>02</w:t>
      </w:r>
      <w:r>
        <w:rPr>
          <w:rStyle w:val="5"/>
          <w:rFonts w:hint="eastAsia" w:ascii="宋体" w:hAnsi="宋体" w:eastAsia="宋体" w:cs="宋体"/>
          <w:kern w:val="0"/>
          <w:sz w:val="24"/>
          <w:szCs w:val="24"/>
          <w:lang w:val="en-US" w:eastAsia="zh-CN" w:bidi="ar"/>
        </w:rPr>
        <w:t xml:space="preserve"> </w:t>
      </w:r>
      <w:r>
        <w:rPr>
          <w:rStyle w:val="5"/>
          <w:rFonts w:ascii="宋体" w:hAnsi="宋体" w:eastAsia="宋体" w:cs="宋体"/>
          <w:kern w:val="0"/>
          <w:sz w:val="24"/>
          <w:szCs w:val="24"/>
          <w:lang w:val="en-US" w:eastAsia="zh-CN" w:bidi="ar"/>
        </w:rPr>
        <w:t>2009年中国的“四万亿”经济刺激计划</w:t>
      </w:r>
    </w:p>
    <w:p w14:paraId="274EB51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jc w:val="both"/>
        <w:textAlignment w:val="auto"/>
      </w:pPr>
      <w:r>
        <w:rPr>
          <w:rFonts w:hint="eastAsia" w:ascii="微软雅黑" w:hAnsi="微软雅黑" w:eastAsia="微软雅黑" w:cs="微软雅黑"/>
          <w:color w:val="333333"/>
          <w:spacing w:val="7"/>
          <w:sz w:val="19"/>
          <w:szCs w:val="19"/>
        </w:rPr>
        <w:t>为应对2008年全球金融海啸，我国实施了一揽子经济刺激计划，这既包括央行实行宽松货币政策向经济投放的数万亿广义货币（见图1）又包括国务院推出的大规模财政刺激计划以引导各方财政和社会资金流向基础设施投资领域（见图2）。</w:t>
      </w:r>
    </w:p>
    <w:p w14:paraId="6E1A31D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jc w:val="both"/>
        <w:textAlignment w:val="auto"/>
      </w:pPr>
      <w:r>
        <w:rPr>
          <w:rFonts w:hint="eastAsia" w:ascii="微软雅黑" w:hAnsi="微软雅黑" w:eastAsia="微软雅黑" w:cs="微软雅黑"/>
          <w:color w:val="333333"/>
          <w:spacing w:val="7"/>
          <w:sz w:val="19"/>
          <w:szCs w:val="19"/>
        </w:rPr>
        <w:t>具体地，央行实施了超常规的扩张性货币政策，仅2009年一季度就增加了4.2 万亿元的M2，2009年一季度至三季度共增加了11.5万亿元；该计划针对七个关键投资领域，其中用于基础设施投资的资金金额高达1.87万亿元，占比46.8%。</w:t>
      </w:r>
    </w:p>
    <w:p w14:paraId="1603A46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jc w:val="both"/>
        <w:textAlignment w:val="auto"/>
      </w:pPr>
      <w:r>
        <w:rPr>
          <w:rFonts w:hint="eastAsia" w:ascii="微软雅黑" w:hAnsi="微软雅黑" w:eastAsia="微软雅黑" w:cs="微软雅黑"/>
          <w:color w:val="333333"/>
          <w:spacing w:val="7"/>
          <w:sz w:val="19"/>
          <w:szCs w:val="19"/>
        </w:rPr>
        <w:t>中国政府应对2008年金融危机的经济政策实践为研究“货币政策-财政政策”的交互作用影响提供了宝贵的实验场景，也是该研究开展实证研究的重要制度背景。</w:t>
      </w:r>
    </w:p>
    <w:p w14:paraId="18812DC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7A5C772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jc w:val="center"/>
        <w:textAlignment w:val="auto"/>
      </w:pPr>
      <w:r>
        <w:drawing>
          <wp:inline distT="0" distB="0" distL="114300" distR="114300">
            <wp:extent cx="7924800" cy="7410450"/>
            <wp:effectExtent l="0" t="0" r="0" b="11430"/>
            <wp:docPr id="2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IMG_256"/>
                    <pic:cNvPicPr>
                      <a:picLocks noChangeAspect="1"/>
                    </pic:cNvPicPr>
                  </pic:nvPicPr>
                  <pic:blipFill>
                    <a:blip r:embed="rId4"/>
                    <a:stretch>
                      <a:fillRect/>
                    </a:stretch>
                  </pic:blipFill>
                  <pic:spPr>
                    <a:xfrm>
                      <a:off x="0" y="0"/>
                      <a:ext cx="7924800" cy="7410450"/>
                    </a:xfrm>
                    <a:prstGeom prst="rect">
                      <a:avLst/>
                    </a:prstGeom>
                    <a:noFill/>
                    <a:ln w="9525">
                      <a:noFill/>
                    </a:ln>
                  </pic:spPr>
                </pic:pic>
              </a:graphicData>
            </a:graphic>
          </wp:inline>
        </w:drawing>
      </w:r>
      <w:r>
        <w:drawing>
          <wp:inline distT="0" distB="0" distL="114300" distR="114300">
            <wp:extent cx="7924800" cy="6553200"/>
            <wp:effectExtent l="0" t="0" r="0" b="0"/>
            <wp:docPr id="1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7"/>
                    <pic:cNvPicPr>
                      <a:picLocks noChangeAspect="1"/>
                    </pic:cNvPicPr>
                  </pic:nvPicPr>
                  <pic:blipFill>
                    <a:blip r:embed="rId5"/>
                    <a:stretch>
                      <a:fillRect/>
                    </a:stretch>
                  </pic:blipFill>
                  <pic:spPr>
                    <a:xfrm>
                      <a:off x="0" y="0"/>
                      <a:ext cx="7924800" cy="6553200"/>
                    </a:xfrm>
                    <a:prstGeom prst="rect">
                      <a:avLst/>
                    </a:prstGeom>
                    <a:noFill/>
                    <a:ln w="9525">
                      <a:noFill/>
                    </a:ln>
                  </pic:spPr>
                </pic:pic>
              </a:graphicData>
            </a:graphic>
          </wp:inline>
        </w:drawing>
      </w:r>
    </w:p>
    <w:p w14:paraId="5C033E6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1FEB414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427F373E">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br w:type="textWrapping"/>
      </w:r>
    </w:p>
    <w:p w14:paraId="3B4801D6">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left"/>
        <w:textAlignment w:val="auto"/>
        <w:rPr>
          <w:rFonts w:ascii="宋体" w:hAnsi="宋体" w:eastAsia="宋体" w:cs="宋体"/>
          <w:kern w:val="0"/>
          <w:sz w:val="24"/>
          <w:szCs w:val="24"/>
          <w:lang w:val="en-US" w:eastAsia="zh-CN" w:bidi="ar"/>
        </w:rPr>
      </w:pPr>
    </w:p>
    <w:p w14:paraId="43412DCE">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left"/>
        <w:textAlignment w:val="auto"/>
      </w:pPr>
      <w:r>
        <w:rPr>
          <w:rStyle w:val="5"/>
          <w:rFonts w:ascii="宋体" w:hAnsi="宋体" w:eastAsia="宋体" w:cs="宋体"/>
          <w:kern w:val="0"/>
          <w:sz w:val="24"/>
          <w:szCs w:val="24"/>
          <w:lang w:val="en-US" w:eastAsia="zh-CN" w:bidi="ar"/>
        </w:rPr>
        <w:t>03基础设施投资的资金来源</w:t>
      </w:r>
    </w:p>
    <w:p w14:paraId="1B71588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中央政府承诺为“4万亿”经济刺激计划提供29.5%的资金（即11800亿元），剩余部分由地方政府预算、公司债券、私人基金和银行贷款提供。除了中央政府直接融资外，地方政府还成立了地方政府融资平台为基础设施建设进行融资。</w:t>
      </w:r>
    </w:p>
    <w:p w14:paraId="3F189A5C">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2" w:firstLineChars="200"/>
        <w:jc w:val="left"/>
        <w:textAlignment w:val="auto"/>
      </w:pPr>
      <w:r>
        <w:rPr>
          <w:rStyle w:val="5"/>
          <w:rFonts w:ascii="宋体" w:hAnsi="宋体" w:eastAsia="宋体" w:cs="宋体"/>
          <w:kern w:val="0"/>
          <w:sz w:val="24"/>
          <w:szCs w:val="24"/>
          <w:lang w:val="en-US" w:eastAsia="zh-CN" w:bidi="ar"/>
        </w:rPr>
        <w:t>02数据与描述统计</w:t>
      </w:r>
      <w:r>
        <w:rPr>
          <w:rFonts w:ascii="宋体" w:hAnsi="宋体" w:eastAsia="宋体" w:cs="宋体"/>
          <w:kern w:val="0"/>
          <w:sz w:val="24"/>
          <w:szCs w:val="24"/>
          <w:lang w:val="en-US" w:eastAsia="zh-CN" w:bidi="ar"/>
        </w:rPr>
        <w:br w:type="textWrapping"/>
      </w:r>
      <w:r>
        <w:rPr>
          <w:rStyle w:val="5"/>
          <w:rFonts w:ascii="宋体" w:hAnsi="宋体" w:eastAsia="宋体" w:cs="宋体"/>
          <w:kern w:val="0"/>
          <w:sz w:val="24"/>
          <w:szCs w:val="24"/>
          <w:lang w:val="en-US" w:eastAsia="zh-CN" w:bidi="ar"/>
        </w:rPr>
        <w:t>01数据</w:t>
      </w:r>
    </w:p>
    <w:p w14:paraId="217C013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Style w:val="5"/>
          <w:rFonts w:hint="eastAsia" w:ascii="微软雅黑" w:hAnsi="微软雅黑" w:eastAsia="微软雅黑" w:cs="微软雅黑"/>
          <w:color w:val="333333"/>
          <w:spacing w:val="7"/>
          <w:sz w:val="19"/>
          <w:szCs w:val="19"/>
        </w:rPr>
        <w:t>（1）贷款数据</w:t>
      </w:r>
    </w:p>
    <w:p w14:paraId="3E38A9C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该研究的贷款数据涵盖了2007年1月至2013年6月年度信贷额度超过5000万元的新发银行贷款，且该数据由中国17家银行向16万多家公司发放的700多万份个人贷款合同构成，覆盖全国31个省市和90多个行业。</w:t>
      </w:r>
    </w:p>
    <w:p w14:paraId="30FB213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Style w:val="5"/>
          <w:rFonts w:hint="eastAsia" w:ascii="微软雅黑" w:hAnsi="微软雅黑" w:eastAsia="微软雅黑" w:cs="微软雅黑"/>
          <w:color w:val="333333"/>
          <w:spacing w:val="7"/>
          <w:sz w:val="19"/>
          <w:szCs w:val="19"/>
        </w:rPr>
        <w:t>（2）企业数据</w:t>
      </w:r>
    </w:p>
    <w:p w14:paraId="2DFA07E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企业的资本支出季度数据来自CSMAR数据库，且该数据覆盖在上交所和深交所上市的所有公司。此外，作者将样本公司分为国有企业和非国有企业两种。</w:t>
      </w:r>
    </w:p>
    <w:p w14:paraId="59F76DE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为了获得企业注册类型的信息，作者将所用数据与1998-2013年中国工业普查（CIC）数据合并，但是CIC数据并不覆盖工业部门以外的企业，因此作者使用2008年全国经济普查（NEC）的数据和国家企业信用信息公示系统（NECIPS）提供的信息进行补充以获取非工业部门的企业的注册信息。</w:t>
      </w:r>
      <w:r>
        <w:rPr>
          <w:rFonts w:ascii="宋体" w:hAnsi="宋体" w:eastAsia="宋体" w:cs="宋体"/>
          <w:kern w:val="0"/>
          <w:sz w:val="24"/>
          <w:szCs w:val="24"/>
          <w:lang w:val="en-US" w:eastAsia="zh-CN" w:bidi="ar"/>
        </w:rPr>
        <w:br w:type="textWrapping"/>
      </w:r>
      <w:r>
        <w:rPr>
          <w:rStyle w:val="5"/>
          <w:rFonts w:ascii="宋体" w:hAnsi="宋体" w:eastAsia="宋体" w:cs="宋体"/>
          <w:kern w:val="0"/>
          <w:sz w:val="24"/>
          <w:szCs w:val="24"/>
          <w:lang w:val="en-US" w:eastAsia="zh-CN" w:bidi="ar"/>
        </w:rPr>
        <w:t>02描述统计</w:t>
      </w:r>
    </w:p>
    <w:p w14:paraId="39D9072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图3上图显示了新发放贷款占GDP的比例，在2007-2008年该比例的平均水平为5.65%，在2009年货币刺激期间（2009年一到三季度）该比例急剧上升至2009年二季度的17.24%，之后开始回落。</w:t>
      </w:r>
    </w:p>
    <w:p w14:paraId="589B212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80" w:firstLineChars="200"/>
        <w:jc w:val="both"/>
        <w:textAlignment w:val="auto"/>
      </w:pPr>
    </w:p>
    <w:p w14:paraId="07786F4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图3下图显示了相较于2007年一季度至2008年四季度的平均水平，新发放贷款与GDP之比的净增加。在2009年一季度至2010年四季度期间，新发放贷款净增加额4.97万亿元，与“4万亿”投资金额基本一致。新发放的基础设施建设贷款的季度净增加在货币刺激期间也遵循了类似的模式。</w:t>
      </w:r>
    </w:p>
    <w:p w14:paraId="570E389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相较于2007年一季度至2008年四季度的平均水平，在2009年一季度至2010年四季度期间分配给基础设施建设的贷款净增加额为2.28万亿元，占银行新发放贷款净增加额的45.9%，这与基础设施投资在“4万亿”投资计划中的份额一致。</w:t>
      </w:r>
    </w:p>
    <w:p w14:paraId="675E904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jc w:val="center"/>
        <w:textAlignment w:val="auto"/>
      </w:pPr>
      <w:r>
        <w:drawing>
          <wp:inline distT="0" distB="0" distL="114300" distR="114300">
            <wp:extent cx="7924800" cy="7639050"/>
            <wp:effectExtent l="0" t="0" r="0" b="11430"/>
            <wp:docPr id="1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descr="IMG_258"/>
                    <pic:cNvPicPr>
                      <a:picLocks noChangeAspect="1"/>
                    </pic:cNvPicPr>
                  </pic:nvPicPr>
                  <pic:blipFill>
                    <a:blip r:embed="rId6"/>
                    <a:stretch>
                      <a:fillRect/>
                    </a:stretch>
                  </pic:blipFill>
                  <pic:spPr>
                    <a:xfrm>
                      <a:off x="0" y="0"/>
                      <a:ext cx="7924800" cy="7639050"/>
                    </a:xfrm>
                    <a:prstGeom prst="rect">
                      <a:avLst/>
                    </a:prstGeom>
                    <a:noFill/>
                    <a:ln w="9525">
                      <a:noFill/>
                    </a:ln>
                  </pic:spPr>
                </pic:pic>
              </a:graphicData>
            </a:graphic>
          </wp:inline>
        </w:drawing>
      </w:r>
    </w:p>
    <w:p w14:paraId="5EFB2F7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307AE41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图4显示了2007-2008年新发放给所有企业和国有企业的银行贷款净增加（占GDP的百分比）。基础设施建设贷款占新增贷款净增加额的50%左右，且国有企业贷款增幅最大的是基建部门，这反映出政府在2009年经济刺激期间鼓励商业银行为该部门的投资项目融资。</w:t>
      </w:r>
    </w:p>
    <w:p w14:paraId="15F76B6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1D72A7B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jc w:val="center"/>
        <w:textAlignment w:val="auto"/>
      </w:pPr>
      <w:r>
        <w:drawing>
          <wp:inline distT="0" distB="0" distL="114300" distR="114300">
            <wp:extent cx="7924800" cy="7315200"/>
            <wp:effectExtent l="0" t="0" r="0" b="0"/>
            <wp:docPr id="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9"/>
                    <pic:cNvPicPr>
                      <a:picLocks noChangeAspect="1"/>
                    </pic:cNvPicPr>
                  </pic:nvPicPr>
                  <pic:blipFill>
                    <a:blip r:embed="rId7"/>
                    <a:stretch>
                      <a:fillRect/>
                    </a:stretch>
                  </pic:blipFill>
                  <pic:spPr>
                    <a:xfrm>
                      <a:off x="0" y="0"/>
                      <a:ext cx="7924800" cy="7315200"/>
                    </a:xfrm>
                    <a:prstGeom prst="rect">
                      <a:avLst/>
                    </a:prstGeom>
                    <a:noFill/>
                    <a:ln w="9525">
                      <a:noFill/>
                    </a:ln>
                  </pic:spPr>
                </pic:pic>
              </a:graphicData>
            </a:graphic>
          </wp:inline>
        </w:drawing>
      </w:r>
    </w:p>
    <w:p w14:paraId="6886AD3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56C65FA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表1则提供了该研究公司季度贷款样本的汇总统计数据，这包括各部门的贷款规模、资产、杠杆率、不良贷款占总贷款的比率等。</w:t>
      </w:r>
    </w:p>
    <w:p w14:paraId="04F0904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80" w:firstLineChars="200"/>
        <w:jc w:val="both"/>
        <w:textAlignment w:val="auto"/>
      </w:pPr>
    </w:p>
    <w:p w14:paraId="16A50C7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jc w:val="center"/>
        <w:textAlignment w:val="auto"/>
      </w:pPr>
      <w:r>
        <w:drawing>
          <wp:inline distT="0" distB="0" distL="114300" distR="114300">
            <wp:extent cx="7048500" cy="7772400"/>
            <wp:effectExtent l="0" t="0" r="7620" b="0"/>
            <wp:docPr id="1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IMG_260"/>
                    <pic:cNvPicPr>
                      <a:picLocks noChangeAspect="1"/>
                    </pic:cNvPicPr>
                  </pic:nvPicPr>
                  <pic:blipFill>
                    <a:blip r:embed="rId8"/>
                    <a:stretch>
                      <a:fillRect/>
                    </a:stretch>
                  </pic:blipFill>
                  <pic:spPr>
                    <a:xfrm>
                      <a:off x="0" y="0"/>
                      <a:ext cx="7048500" cy="7772400"/>
                    </a:xfrm>
                    <a:prstGeom prst="rect">
                      <a:avLst/>
                    </a:prstGeom>
                    <a:noFill/>
                    <a:ln w="9525">
                      <a:noFill/>
                    </a:ln>
                  </pic:spPr>
                </pic:pic>
              </a:graphicData>
            </a:graphic>
          </wp:inline>
        </w:drawing>
      </w:r>
    </w:p>
    <w:p w14:paraId="6D60EC2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37EB24F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2F7F057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024BD1E8">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2" w:firstLineChars="200"/>
        <w:jc w:val="left"/>
        <w:textAlignment w:val="auto"/>
      </w:pPr>
      <w:r>
        <w:rPr>
          <w:rStyle w:val="5"/>
          <w:rFonts w:ascii="宋体" w:hAnsi="宋体" w:eastAsia="宋体" w:cs="宋体"/>
          <w:kern w:val="0"/>
          <w:sz w:val="24"/>
          <w:szCs w:val="24"/>
          <w:lang w:val="en-US" w:eastAsia="zh-CN" w:bidi="ar"/>
        </w:rPr>
        <w:t>03两阶段动态实证框架</w:t>
      </w:r>
    </w:p>
    <w:p w14:paraId="1A857E5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考察基础设施投资活动对货币政策实施效果的影响时，一个实证上的挑战是剥离宽松货币政策本身对基础设施投资活动的影响。</w:t>
      </w:r>
    </w:p>
    <w:p w14:paraId="32122C7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为此，该研究相应地开发和引入了一个两阶段模型，包括第一阶段中借助动态宏观经济模型识别出不受宽松货币政策冲击影响的基础设施投资活动，和第二阶段中基于微观信贷数据、运用动态面板模型分析宽松货币政策本身对信贷配置决策的影响，以及货币政策与基建投资对银行信贷的交互作用。具体地：</w:t>
      </w:r>
      <w:r>
        <w:rPr>
          <w:rFonts w:ascii="宋体" w:hAnsi="宋体" w:eastAsia="宋体" w:cs="宋体"/>
          <w:kern w:val="0"/>
          <w:sz w:val="24"/>
          <w:szCs w:val="24"/>
          <w:lang w:val="en-US" w:eastAsia="zh-CN" w:bidi="ar"/>
        </w:rPr>
        <w:br w:type="textWrapping"/>
      </w:r>
      <w:r>
        <w:rPr>
          <w:rStyle w:val="5"/>
          <w:rFonts w:ascii="宋体" w:hAnsi="宋体" w:eastAsia="宋体" w:cs="宋体"/>
          <w:kern w:val="0"/>
          <w:sz w:val="24"/>
          <w:szCs w:val="24"/>
          <w:lang w:val="en-US" w:eastAsia="zh-CN" w:bidi="ar"/>
        </w:rPr>
        <w:t>01第一阶段：宏观经济模型</w:t>
      </w:r>
    </w:p>
    <w:p w14:paraId="1282453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VAR模型包括货币政策方程、基础设施投资方程，以及关于政策和宏观经济条件之间反馈的另外两个方程。在该模型中，宏观经济变量被拆解为货币成分和非货币成分以识别出基础设施投资活动中不受货币政策影响的部分。作者首先使用了Chen，Ren and Zha（2018）的区制转换货币政策方程以获得外生的货币政策冲击：</w:t>
      </w:r>
    </w:p>
    <w:p w14:paraId="1FF5C2F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2D70418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jc w:val="center"/>
        <w:textAlignment w:val="auto"/>
      </w:pPr>
      <w:r>
        <w:drawing>
          <wp:inline distT="0" distB="0" distL="114300" distR="114300">
            <wp:extent cx="7753350" cy="495300"/>
            <wp:effectExtent l="0" t="0" r="3810" b="7620"/>
            <wp:docPr id="9"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61"/>
                    <pic:cNvPicPr>
                      <a:picLocks noChangeAspect="1"/>
                    </pic:cNvPicPr>
                  </pic:nvPicPr>
                  <pic:blipFill>
                    <a:blip r:embed="rId9"/>
                    <a:stretch>
                      <a:fillRect/>
                    </a:stretch>
                  </pic:blipFill>
                  <pic:spPr>
                    <a:xfrm>
                      <a:off x="0" y="0"/>
                      <a:ext cx="7753350" cy="495300"/>
                    </a:xfrm>
                    <a:prstGeom prst="rect">
                      <a:avLst/>
                    </a:prstGeom>
                    <a:noFill/>
                    <a:ln w="9525">
                      <a:noFill/>
                    </a:ln>
                  </pic:spPr>
                </pic:pic>
              </a:graphicData>
            </a:graphic>
          </wp:inline>
        </w:drawing>
      </w:r>
    </w:p>
    <w:p w14:paraId="7B687BE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601DE71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textAlignment w:val="auto"/>
      </w:pPr>
      <w:r>
        <w:rPr>
          <w:rFonts w:hint="eastAsia" w:ascii="微软雅黑" w:hAnsi="微软雅黑" w:eastAsia="微软雅黑" w:cs="微软雅黑"/>
          <w:color w:val="333333"/>
          <w:spacing w:val="7"/>
          <w:sz w:val="19"/>
          <w:szCs w:val="19"/>
        </w:rPr>
        <w:t xml:space="preserve">其中， </w:t>
      </w:r>
      <w:r>
        <w:rPr>
          <w:rFonts w:ascii="Calibri" w:hAnsi="Calibri" w:eastAsia="微软雅黑" w:cs="Calibri"/>
          <w:color w:val="333333"/>
          <w:spacing w:val="7"/>
          <w:sz w:val="19"/>
          <w:szCs w:val="19"/>
        </w:rPr>
        <w:drawing>
          <wp:inline distT="0" distB="0" distL="114300" distR="114300">
            <wp:extent cx="419100" cy="419100"/>
            <wp:effectExtent l="0" t="0" r="7620" b="7620"/>
            <wp:docPr id="25"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descr="IMG_262"/>
                    <pic:cNvPicPr>
                      <a:picLocks noChangeAspect="1"/>
                    </pic:cNvPicPr>
                  </pic:nvPicPr>
                  <pic:blipFill>
                    <a:blip r:embed="rId10"/>
                    <a:stretch>
                      <a:fillRect/>
                    </a:stretch>
                  </pic:blipFill>
                  <pic:spPr>
                    <a:xfrm>
                      <a:off x="0" y="0"/>
                      <a:ext cx="419100" cy="419100"/>
                    </a:xfrm>
                    <a:prstGeom prst="rect">
                      <a:avLst/>
                    </a:prstGeom>
                    <a:noFill/>
                    <a:ln w="9525">
                      <a:noFill/>
                    </a:ln>
                  </pic:spPr>
                </pic:pic>
              </a:graphicData>
            </a:graphic>
          </wp:inline>
        </w:drawing>
      </w:r>
      <w:r>
        <w:rPr>
          <w:rFonts w:hint="eastAsia" w:ascii="微软雅黑" w:hAnsi="微软雅黑" w:eastAsia="微软雅黑" w:cs="微软雅黑"/>
          <w:color w:val="333333"/>
          <w:spacing w:val="7"/>
          <w:sz w:val="19"/>
          <w:szCs w:val="19"/>
        </w:rPr>
        <w:t>是服从标准正态分布的序列独立的随机冲击，</w:t>
      </w:r>
      <w:r>
        <w:rPr>
          <w:rFonts w:hint="eastAsia" w:ascii="微软雅黑" w:hAnsi="微软雅黑" w:eastAsia="微软雅黑" w:cs="微软雅黑"/>
          <w:color w:val="333333"/>
          <w:spacing w:val="7"/>
          <w:sz w:val="19"/>
          <w:szCs w:val="19"/>
        </w:rPr>
        <w:drawing>
          <wp:inline distT="0" distB="0" distL="114300" distR="114300">
            <wp:extent cx="1181100" cy="371475"/>
            <wp:effectExtent l="0" t="0" r="7620" b="9525"/>
            <wp:docPr id="3"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IMG_263"/>
                    <pic:cNvPicPr>
                      <a:picLocks noChangeAspect="1"/>
                    </pic:cNvPicPr>
                  </pic:nvPicPr>
                  <pic:blipFill>
                    <a:blip r:embed="rId11"/>
                    <a:stretch>
                      <a:fillRect/>
                    </a:stretch>
                  </pic:blipFill>
                  <pic:spPr>
                    <a:xfrm>
                      <a:off x="0" y="0"/>
                      <a:ext cx="1181100" cy="371475"/>
                    </a:xfrm>
                    <a:prstGeom prst="rect">
                      <a:avLst/>
                    </a:prstGeom>
                    <a:noFill/>
                    <a:ln w="9525">
                      <a:noFill/>
                    </a:ln>
                  </pic:spPr>
                </pic:pic>
              </a:graphicData>
            </a:graphic>
          </wp:inline>
        </w:drawing>
      </w:r>
      <w:r>
        <w:rPr>
          <w:rFonts w:hint="eastAsia" w:ascii="微软雅黑" w:hAnsi="微软雅黑" w:eastAsia="微软雅黑" w:cs="微软雅黑"/>
          <w:color w:val="333333"/>
          <w:spacing w:val="7"/>
          <w:sz w:val="19"/>
          <w:szCs w:val="19"/>
        </w:rPr>
        <w:t xml:space="preserve"> 是用Mt表示的M2季度增长， </w:t>
      </w:r>
      <w:r>
        <w:rPr>
          <w:rFonts w:hint="eastAsia" w:ascii="微软雅黑" w:hAnsi="微软雅黑" w:eastAsia="微软雅黑" w:cs="微软雅黑"/>
          <w:color w:val="333333"/>
          <w:spacing w:val="7"/>
          <w:sz w:val="19"/>
          <w:szCs w:val="19"/>
        </w:rPr>
        <w:drawing>
          <wp:inline distT="0" distB="0" distL="114300" distR="114300">
            <wp:extent cx="885825" cy="314325"/>
            <wp:effectExtent l="0" t="0" r="13335" b="5715"/>
            <wp:docPr id="1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IMG_264"/>
                    <pic:cNvPicPr>
                      <a:picLocks noChangeAspect="1"/>
                    </pic:cNvPicPr>
                  </pic:nvPicPr>
                  <pic:blipFill>
                    <a:blip r:embed="rId12"/>
                    <a:stretch>
                      <a:fillRect/>
                    </a:stretch>
                  </pic:blipFill>
                  <pic:spPr>
                    <a:xfrm>
                      <a:off x="0" y="0"/>
                      <a:ext cx="885825" cy="314325"/>
                    </a:xfrm>
                    <a:prstGeom prst="rect">
                      <a:avLst/>
                    </a:prstGeom>
                    <a:noFill/>
                    <a:ln w="9525">
                      <a:noFill/>
                    </a:ln>
                  </pic:spPr>
                </pic:pic>
              </a:graphicData>
            </a:graphic>
          </wp:inline>
        </w:drawing>
      </w:r>
      <w:r>
        <w:rPr>
          <w:rFonts w:hint="eastAsia" w:ascii="微软雅黑" w:hAnsi="微软雅黑" w:eastAsia="微软雅黑" w:cs="微软雅黑"/>
          <w:color w:val="333333"/>
          <w:spacing w:val="7"/>
          <w:sz w:val="19"/>
          <w:szCs w:val="19"/>
        </w:rPr>
        <w:t xml:space="preserve">是用CPI衡量的季度通胀， </w:t>
      </w:r>
      <w:r>
        <w:rPr>
          <w:rFonts w:hint="eastAsia" w:ascii="微软雅黑" w:hAnsi="微软雅黑" w:eastAsia="微软雅黑" w:cs="微软雅黑"/>
          <w:color w:val="333333"/>
          <w:spacing w:val="7"/>
          <w:sz w:val="19"/>
          <w:szCs w:val="19"/>
        </w:rPr>
        <w:drawing>
          <wp:inline distT="0" distB="0" distL="114300" distR="114300">
            <wp:extent cx="219075" cy="257175"/>
            <wp:effectExtent l="0" t="0" r="9525" b="1905"/>
            <wp:docPr id="2"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IMG_265"/>
                    <pic:cNvPicPr>
                      <a:picLocks noChangeAspect="1"/>
                    </pic:cNvPicPr>
                  </pic:nvPicPr>
                  <pic:blipFill>
                    <a:blip r:embed="rId13"/>
                    <a:stretch>
                      <a:fillRect/>
                    </a:stretch>
                  </pic:blipFill>
                  <pic:spPr>
                    <a:xfrm>
                      <a:off x="0" y="0"/>
                      <a:ext cx="219075" cy="257175"/>
                    </a:xfrm>
                    <a:prstGeom prst="rect">
                      <a:avLst/>
                    </a:prstGeom>
                    <a:noFill/>
                    <a:ln w="9525">
                      <a:noFill/>
                    </a:ln>
                  </pic:spPr>
                </pic:pic>
              </a:graphicData>
            </a:graphic>
          </wp:inline>
        </w:drawing>
      </w:r>
      <w:r>
        <w:rPr>
          <w:rFonts w:hint="eastAsia" w:ascii="微软雅黑" w:hAnsi="微软雅黑" w:eastAsia="微软雅黑" w:cs="微软雅黑"/>
          <w:color w:val="333333"/>
          <w:spacing w:val="7"/>
          <w:sz w:val="19"/>
          <w:szCs w:val="19"/>
        </w:rPr>
        <w:t xml:space="preserve">是政府设定的平均通胀率， </w:t>
      </w:r>
      <w:r>
        <w:rPr>
          <w:rFonts w:hint="eastAsia" w:ascii="微软雅黑" w:hAnsi="微软雅黑" w:eastAsia="微软雅黑" w:cs="微软雅黑"/>
          <w:color w:val="333333"/>
          <w:spacing w:val="7"/>
          <w:sz w:val="19"/>
          <w:szCs w:val="19"/>
        </w:rPr>
        <w:drawing>
          <wp:inline distT="0" distB="0" distL="114300" distR="114300">
            <wp:extent cx="952500" cy="276225"/>
            <wp:effectExtent l="0" t="0" r="7620" b="13335"/>
            <wp:docPr id="2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descr="IMG_266"/>
                    <pic:cNvPicPr>
                      <a:picLocks noChangeAspect="1"/>
                    </pic:cNvPicPr>
                  </pic:nvPicPr>
                  <pic:blipFill>
                    <a:blip r:embed="rId14"/>
                    <a:stretch>
                      <a:fillRect/>
                    </a:stretch>
                  </pic:blipFill>
                  <pic:spPr>
                    <a:xfrm>
                      <a:off x="0" y="0"/>
                      <a:ext cx="952500" cy="276225"/>
                    </a:xfrm>
                    <a:prstGeom prst="rect">
                      <a:avLst/>
                    </a:prstGeom>
                    <a:noFill/>
                    <a:ln w="9525">
                      <a:noFill/>
                    </a:ln>
                  </pic:spPr>
                </pic:pic>
              </a:graphicData>
            </a:graphic>
          </wp:inline>
        </w:drawing>
      </w:r>
      <w:r>
        <w:rPr>
          <w:rFonts w:hint="eastAsia" w:ascii="微软雅黑" w:hAnsi="微软雅黑" w:eastAsia="微软雅黑" w:cs="微软雅黑"/>
          <w:color w:val="333333"/>
          <w:spacing w:val="7"/>
          <w:sz w:val="19"/>
          <w:szCs w:val="19"/>
        </w:rPr>
        <w:t>是用</w:t>
      </w:r>
      <w:r>
        <w:rPr>
          <w:rFonts w:hint="eastAsia" w:ascii="微软雅黑" w:hAnsi="微软雅黑" w:eastAsia="微软雅黑" w:cs="微软雅黑"/>
          <w:color w:val="333333"/>
          <w:spacing w:val="7"/>
          <w:sz w:val="19"/>
          <w:szCs w:val="19"/>
        </w:rPr>
        <w:drawing>
          <wp:inline distT="0" distB="0" distL="114300" distR="114300">
            <wp:extent cx="180975" cy="247650"/>
            <wp:effectExtent l="0" t="0" r="1905" b="11430"/>
            <wp:docPr id="27"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descr="IMG_267"/>
                    <pic:cNvPicPr>
                      <a:picLocks noChangeAspect="1"/>
                    </pic:cNvPicPr>
                  </pic:nvPicPr>
                  <pic:blipFill>
                    <a:blip r:embed="rId15"/>
                    <a:stretch>
                      <a:fillRect/>
                    </a:stretch>
                  </pic:blipFill>
                  <pic:spPr>
                    <a:xfrm>
                      <a:off x="0" y="0"/>
                      <a:ext cx="180975" cy="247650"/>
                    </a:xfrm>
                    <a:prstGeom prst="rect">
                      <a:avLst/>
                    </a:prstGeom>
                    <a:noFill/>
                    <a:ln w="9525">
                      <a:noFill/>
                    </a:ln>
                  </pic:spPr>
                </pic:pic>
              </a:graphicData>
            </a:graphic>
          </wp:inline>
        </w:drawing>
      </w:r>
      <w:r>
        <w:rPr>
          <w:rFonts w:hint="eastAsia" w:ascii="微软雅黑" w:hAnsi="微软雅黑" w:eastAsia="微软雅黑" w:cs="微软雅黑"/>
          <w:color w:val="333333"/>
          <w:spacing w:val="7"/>
          <w:sz w:val="19"/>
          <w:szCs w:val="19"/>
        </w:rPr>
        <w:t xml:space="preserve">表示的实际GDP季度增长， </w:t>
      </w:r>
      <w:r>
        <w:rPr>
          <w:rFonts w:hint="eastAsia" w:ascii="微软雅黑" w:hAnsi="微软雅黑" w:eastAsia="微软雅黑" w:cs="微软雅黑"/>
          <w:color w:val="333333"/>
          <w:spacing w:val="7"/>
          <w:sz w:val="19"/>
          <w:szCs w:val="19"/>
        </w:rPr>
        <w:drawing>
          <wp:inline distT="0" distB="0" distL="114300" distR="114300">
            <wp:extent cx="904875" cy="314325"/>
            <wp:effectExtent l="0" t="0" r="9525" b="5715"/>
            <wp:docPr id="14"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68"/>
                    <pic:cNvPicPr>
                      <a:picLocks noChangeAspect="1"/>
                    </pic:cNvPicPr>
                  </pic:nvPicPr>
                  <pic:blipFill>
                    <a:blip r:embed="rId16"/>
                    <a:stretch>
                      <a:fillRect/>
                    </a:stretch>
                  </pic:blipFill>
                  <pic:spPr>
                    <a:xfrm>
                      <a:off x="0" y="0"/>
                      <a:ext cx="904875" cy="314325"/>
                    </a:xfrm>
                    <a:prstGeom prst="rect">
                      <a:avLst/>
                    </a:prstGeom>
                    <a:noFill/>
                    <a:ln w="9525">
                      <a:noFill/>
                    </a:ln>
                  </pic:spPr>
                </pic:pic>
              </a:graphicData>
            </a:graphic>
          </wp:inline>
        </w:drawing>
      </w:r>
      <w:r>
        <w:rPr>
          <w:rFonts w:hint="eastAsia" w:ascii="微软雅黑" w:hAnsi="微软雅黑" w:eastAsia="微软雅黑" w:cs="微软雅黑"/>
          <w:color w:val="333333"/>
          <w:spacing w:val="7"/>
          <w:sz w:val="19"/>
          <w:szCs w:val="19"/>
        </w:rPr>
        <w:t>是政府设定的GDP季度增长目标。时变系数遵循以下形式：</w:t>
      </w:r>
    </w:p>
    <w:p w14:paraId="3B9E94A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jc w:val="both"/>
        <w:textAlignment w:val="auto"/>
      </w:pPr>
    </w:p>
    <w:p w14:paraId="1061F0F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070990F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jc w:val="center"/>
        <w:textAlignment w:val="auto"/>
      </w:pPr>
      <w:r>
        <w:drawing>
          <wp:inline distT="0" distB="0" distL="114300" distR="114300">
            <wp:extent cx="7677150" cy="857250"/>
            <wp:effectExtent l="0" t="0" r="3810" b="11430"/>
            <wp:docPr id="1"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descr="IMG_269"/>
                    <pic:cNvPicPr>
                      <a:picLocks noChangeAspect="1"/>
                    </pic:cNvPicPr>
                  </pic:nvPicPr>
                  <pic:blipFill>
                    <a:blip r:embed="rId17"/>
                    <a:stretch>
                      <a:fillRect/>
                    </a:stretch>
                  </pic:blipFill>
                  <pic:spPr>
                    <a:xfrm>
                      <a:off x="0" y="0"/>
                      <a:ext cx="7677150" cy="857250"/>
                    </a:xfrm>
                    <a:prstGeom prst="rect">
                      <a:avLst/>
                    </a:prstGeom>
                    <a:noFill/>
                    <a:ln w="9525">
                      <a:noFill/>
                    </a:ln>
                  </pic:spPr>
                </pic:pic>
              </a:graphicData>
            </a:graphic>
          </wp:inline>
        </w:drawing>
      </w:r>
    </w:p>
    <w:p w14:paraId="602A73E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pPr>
    </w:p>
    <w:p w14:paraId="786A5CE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在此之后，为了推导出由货币政策变化以外的总体冲击驱动的基础设施投资的季度增长，作者估计了以下无约束的联立方程组：</w:t>
      </w:r>
    </w:p>
    <w:p w14:paraId="0D14EE9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12456D2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jc w:val="center"/>
        <w:textAlignment w:val="auto"/>
      </w:pPr>
      <w:r>
        <w:drawing>
          <wp:inline distT="0" distB="0" distL="114300" distR="114300">
            <wp:extent cx="7753350" cy="838200"/>
            <wp:effectExtent l="0" t="0" r="3810" b="0"/>
            <wp:docPr id="23"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descr="IMG_270"/>
                    <pic:cNvPicPr>
                      <a:picLocks noChangeAspect="1"/>
                    </pic:cNvPicPr>
                  </pic:nvPicPr>
                  <pic:blipFill>
                    <a:blip r:embed="rId18"/>
                    <a:stretch>
                      <a:fillRect/>
                    </a:stretch>
                  </pic:blipFill>
                  <pic:spPr>
                    <a:xfrm>
                      <a:off x="0" y="0"/>
                      <a:ext cx="7753350" cy="838200"/>
                    </a:xfrm>
                    <a:prstGeom prst="rect">
                      <a:avLst/>
                    </a:prstGeom>
                    <a:noFill/>
                    <a:ln w="9525">
                      <a:noFill/>
                    </a:ln>
                  </pic:spPr>
                </pic:pic>
              </a:graphicData>
            </a:graphic>
          </wp:inline>
        </w:drawing>
      </w:r>
    </w:p>
    <w:p w14:paraId="527C013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2FC8D4B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3253043A">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jc w:val="left"/>
        <w:textAlignment w:val="auto"/>
      </w:pPr>
      <w:r>
        <w:rPr>
          <w:rFonts w:ascii="宋体" w:hAnsi="宋体" w:eastAsia="宋体" w:cs="宋体"/>
          <w:kern w:val="0"/>
          <w:sz w:val="24"/>
          <w:szCs w:val="24"/>
          <w:lang w:val="en-US" w:eastAsia="zh-CN" w:bidi="ar"/>
        </w:rPr>
        <w:br w:type="textWrapping"/>
      </w:r>
      <w:r>
        <w:rPr>
          <w:rStyle w:val="5"/>
          <w:rFonts w:ascii="宋体" w:hAnsi="宋体" w:eastAsia="宋体" w:cs="宋体"/>
          <w:kern w:val="0"/>
          <w:sz w:val="24"/>
          <w:szCs w:val="24"/>
          <w:lang w:val="en-US" w:eastAsia="zh-CN" w:bidi="ar"/>
        </w:rPr>
        <w:t>02第二阶段：动态面板模型</w:t>
      </w:r>
    </w:p>
    <w:p w14:paraId="6734EAA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作者首先提出了基于公司季度贷款数据的季度面板回归，如下所示：</w:t>
      </w:r>
    </w:p>
    <w:p w14:paraId="1D2B14B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3817CBA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jc w:val="center"/>
        <w:textAlignment w:val="auto"/>
      </w:pPr>
      <w:r>
        <w:drawing>
          <wp:inline distT="0" distB="0" distL="114300" distR="114300">
            <wp:extent cx="7658100" cy="1200150"/>
            <wp:effectExtent l="0" t="0" r="7620" b="3810"/>
            <wp:docPr id="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descr="IMG_271"/>
                    <pic:cNvPicPr>
                      <a:picLocks noChangeAspect="1"/>
                    </pic:cNvPicPr>
                  </pic:nvPicPr>
                  <pic:blipFill>
                    <a:blip r:embed="rId19"/>
                    <a:stretch>
                      <a:fillRect/>
                    </a:stretch>
                  </pic:blipFill>
                  <pic:spPr>
                    <a:xfrm>
                      <a:off x="0" y="0"/>
                      <a:ext cx="7658100" cy="1200150"/>
                    </a:xfrm>
                    <a:prstGeom prst="rect">
                      <a:avLst/>
                    </a:prstGeom>
                    <a:noFill/>
                    <a:ln w="9525">
                      <a:noFill/>
                    </a:ln>
                  </pic:spPr>
                </pic:pic>
              </a:graphicData>
            </a:graphic>
          </wp:inline>
        </w:drawing>
      </w:r>
    </w:p>
    <w:p w14:paraId="7739B2A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6ADDAB6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jc w:val="both"/>
        <w:textAlignment w:val="auto"/>
      </w:pPr>
      <w:r>
        <w:rPr>
          <w:rFonts w:hint="eastAsia" w:ascii="微软雅黑" w:hAnsi="微软雅黑" w:eastAsia="微软雅黑" w:cs="微软雅黑"/>
          <w:color w:val="333333"/>
          <w:spacing w:val="7"/>
          <w:sz w:val="19"/>
          <w:szCs w:val="19"/>
        </w:rPr>
        <w:t>其中：</w:t>
      </w:r>
    </w:p>
    <w:p w14:paraId="525B2AA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jc w:val="both"/>
        <w:textAlignment w:val="auto"/>
      </w:pPr>
      <w:r>
        <w:rPr>
          <w:rFonts w:hint="eastAsia" w:ascii="微软雅黑" w:hAnsi="微软雅黑" w:eastAsia="微软雅黑" w:cs="微软雅黑"/>
          <w:color w:val="333333"/>
          <w:spacing w:val="7"/>
          <w:sz w:val="19"/>
          <w:szCs w:val="19"/>
        </w:rPr>
        <w:drawing>
          <wp:inline distT="0" distB="0" distL="114300" distR="114300">
            <wp:extent cx="2476500" cy="228600"/>
            <wp:effectExtent l="0" t="0" r="0" b="0"/>
            <wp:docPr id="19"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IMG_272"/>
                    <pic:cNvPicPr>
                      <a:picLocks noChangeAspect="1"/>
                    </pic:cNvPicPr>
                  </pic:nvPicPr>
                  <pic:blipFill>
                    <a:blip r:embed="rId20"/>
                    <a:stretch>
                      <a:fillRect/>
                    </a:stretch>
                  </pic:blipFill>
                  <pic:spPr>
                    <a:xfrm>
                      <a:off x="0" y="0"/>
                      <a:ext cx="2476500" cy="228600"/>
                    </a:xfrm>
                    <a:prstGeom prst="rect">
                      <a:avLst/>
                    </a:prstGeom>
                    <a:noFill/>
                    <a:ln w="9525">
                      <a:noFill/>
                    </a:ln>
                  </pic:spPr>
                </pic:pic>
              </a:graphicData>
            </a:graphic>
          </wp:inline>
        </w:drawing>
      </w:r>
      <w:r>
        <w:rPr>
          <w:rFonts w:hint="eastAsia" w:ascii="微软雅黑" w:hAnsi="微软雅黑" w:eastAsia="微软雅黑" w:cs="微软雅黑"/>
          <w:color w:val="333333"/>
          <w:spacing w:val="7"/>
          <w:sz w:val="19"/>
          <w:szCs w:val="19"/>
        </w:rPr>
        <w:t>；</w:t>
      </w:r>
      <w:r>
        <w:rPr>
          <w:rFonts w:hint="eastAsia" w:ascii="微软雅黑" w:hAnsi="微软雅黑" w:eastAsia="微软雅黑" w:cs="微软雅黑"/>
          <w:color w:val="333333"/>
          <w:spacing w:val="7"/>
          <w:sz w:val="19"/>
          <w:szCs w:val="19"/>
        </w:rPr>
        <w:drawing>
          <wp:inline distT="0" distB="0" distL="114300" distR="114300">
            <wp:extent cx="352425" cy="304800"/>
            <wp:effectExtent l="0" t="0" r="13335" b="0"/>
            <wp:docPr id="12"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descr="IMG_273"/>
                    <pic:cNvPicPr>
                      <a:picLocks noChangeAspect="1"/>
                    </pic:cNvPicPr>
                  </pic:nvPicPr>
                  <pic:blipFill>
                    <a:blip r:embed="rId21"/>
                    <a:stretch>
                      <a:fillRect/>
                    </a:stretch>
                  </pic:blipFill>
                  <pic:spPr>
                    <a:xfrm>
                      <a:off x="0" y="0"/>
                      <a:ext cx="352425" cy="304800"/>
                    </a:xfrm>
                    <a:prstGeom prst="rect">
                      <a:avLst/>
                    </a:prstGeom>
                    <a:noFill/>
                    <a:ln w="9525">
                      <a:noFill/>
                    </a:ln>
                  </pic:spPr>
                </pic:pic>
              </a:graphicData>
            </a:graphic>
          </wp:inline>
        </w:drawing>
      </w:r>
      <w:r>
        <w:rPr>
          <w:rFonts w:hint="eastAsia" w:ascii="微软雅黑" w:hAnsi="微软雅黑" w:eastAsia="微软雅黑" w:cs="微软雅黑"/>
          <w:color w:val="333333"/>
          <w:spacing w:val="7"/>
          <w:sz w:val="19"/>
          <w:szCs w:val="19"/>
        </w:rPr>
        <w:t>表示在时间t，j类企业中单个企业i的借款，由t期新发放银行贷款除以企业i在上一期的名义总资产得到；</w:t>
      </w:r>
      <w:r>
        <w:rPr>
          <w:rFonts w:hint="eastAsia" w:ascii="微软雅黑" w:hAnsi="微软雅黑" w:eastAsia="微软雅黑" w:cs="微软雅黑"/>
          <w:color w:val="333333"/>
          <w:spacing w:val="7"/>
          <w:sz w:val="19"/>
          <w:szCs w:val="19"/>
        </w:rPr>
        <w:drawing>
          <wp:inline distT="0" distB="0" distL="114300" distR="114300">
            <wp:extent cx="285750" cy="314325"/>
            <wp:effectExtent l="0" t="0" r="3810" b="5715"/>
            <wp:docPr id="15"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descr="IMG_274"/>
                    <pic:cNvPicPr>
                      <a:picLocks noChangeAspect="1"/>
                    </pic:cNvPicPr>
                  </pic:nvPicPr>
                  <pic:blipFill>
                    <a:blip r:embed="rId22"/>
                    <a:stretch>
                      <a:fillRect/>
                    </a:stretch>
                  </pic:blipFill>
                  <pic:spPr>
                    <a:xfrm>
                      <a:off x="0" y="0"/>
                      <a:ext cx="285750" cy="314325"/>
                    </a:xfrm>
                    <a:prstGeom prst="rect">
                      <a:avLst/>
                    </a:prstGeom>
                    <a:noFill/>
                    <a:ln w="9525">
                      <a:noFill/>
                    </a:ln>
                  </pic:spPr>
                </pic:pic>
              </a:graphicData>
            </a:graphic>
          </wp:inline>
        </w:drawing>
      </w:r>
      <w:r>
        <w:rPr>
          <w:rFonts w:hint="eastAsia" w:ascii="微软雅黑" w:hAnsi="微软雅黑" w:eastAsia="微软雅黑" w:cs="微软雅黑"/>
          <w:color w:val="333333"/>
          <w:spacing w:val="7"/>
          <w:sz w:val="19"/>
          <w:szCs w:val="19"/>
        </w:rPr>
        <w:t>表示由非货币加总因子驱动的加总控制变量的向量；L表示滞后长度；</w:t>
      </w:r>
      <w:r>
        <w:rPr>
          <w:rFonts w:hint="eastAsia" w:ascii="微软雅黑" w:hAnsi="微软雅黑" w:eastAsia="微软雅黑" w:cs="微软雅黑"/>
          <w:color w:val="333333"/>
          <w:spacing w:val="7"/>
          <w:sz w:val="19"/>
          <w:szCs w:val="19"/>
        </w:rPr>
        <w:drawing>
          <wp:inline distT="0" distB="0" distL="114300" distR="114300">
            <wp:extent cx="304800" cy="295275"/>
            <wp:effectExtent l="0" t="0" r="0" b="9525"/>
            <wp:docPr id="4"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descr="IMG_275"/>
                    <pic:cNvPicPr>
                      <a:picLocks noChangeAspect="1"/>
                    </pic:cNvPicPr>
                  </pic:nvPicPr>
                  <pic:blipFill>
                    <a:blip r:embed="rId23"/>
                    <a:stretch>
                      <a:fillRect/>
                    </a:stretch>
                  </pic:blipFill>
                  <pic:spPr>
                    <a:xfrm>
                      <a:off x="0" y="0"/>
                      <a:ext cx="304800" cy="295275"/>
                    </a:xfrm>
                    <a:prstGeom prst="rect">
                      <a:avLst/>
                    </a:prstGeom>
                    <a:noFill/>
                    <a:ln w="9525">
                      <a:noFill/>
                    </a:ln>
                  </pic:spPr>
                </pic:pic>
              </a:graphicData>
            </a:graphic>
          </wp:inline>
        </w:drawing>
      </w:r>
      <w:r>
        <w:rPr>
          <w:rFonts w:hint="eastAsia" w:ascii="微软雅黑" w:hAnsi="微软雅黑" w:eastAsia="微软雅黑" w:cs="微软雅黑"/>
          <w:color w:val="333333"/>
          <w:spacing w:val="7"/>
          <w:sz w:val="19"/>
          <w:szCs w:val="19"/>
        </w:rPr>
        <w:t>捕捉了企业固定效应；向量</w:t>
      </w:r>
      <w:r>
        <w:rPr>
          <w:rFonts w:hint="eastAsia" w:ascii="微软雅黑" w:hAnsi="微软雅黑" w:eastAsia="微软雅黑" w:cs="微软雅黑"/>
          <w:color w:val="333333"/>
          <w:spacing w:val="7"/>
          <w:sz w:val="19"/>
          <w:szCs w:val="19"/>
        </w:rPr>
        <w:drawing>
          <wp:inline distT="0" distB="0" distL="114300" distR="114300">
            <wp:extent cx="323850" cy="304800"/>
            <wp:effectExtent l="0" t="0" r="11430" b="0"/>
            <wp:docPr id="20"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descr="IMG_276"/>
                    <pic:cNvPicPr>
                      <a:picLocks noChangeAspect="1"/>
                    </pic:cNvPicPr>
                  </pic:nvPicPr>
                  <pic:blipFill>
                    <a:blip r:embed="rId24"/>
                    <a:stretch>
                      <a:fillRect/>
                    </a:stretch>
                  </pic:blipFill>
                  <pic:spPr>
                    <a:xfrm>
                      <a:off x="0" y="0"/>
                      <a:ext cx="323850" cy="304800"/>
                    </a:xfrm>
                    <a:prstGeom prst="rect">
                      <a:avLst/>
                    </a:prstGeom>
                    <a:noFill/>
                    <a:ln w="9525">
                      <a:noFill/>
                    </a:ln>
                  </pic:spPr>
                </pic:pic>
              </a:graphicData>
            </a:graphic>
          </wp:inline>
        </w:drawing>
      </w:r>
      <w:r>
        <w:rPr>
          <w:rFonts w:hint="eastAsia" w:ascii="微软雅黑" w:hAnsi="微软雅黑" w:eastAsia="微软雅黑" w:cs="微软雅黑"/>
          <w:color w:val="333333"/>
          <w:spacing w:val="7"/>
          <w:sz w:val="19"/>
          <w:szCs w:val="19"/>
        </w:rPr>
        <w:t>控制企业特定特征，比如企业规模、杠杆率等；</w:t>
      </w:r>
      <w:r>
        <w:rPr>
          <w:rFonts w:hint="eastAsia" w:ascii="微软雅黑" w:hAnsi="微软雅黑" w:eastAsia="微软雅黑" w:cs="微软雅黑"/>
          <w:color w:val="333333"/>
          <w:spacing w:val="7"/>
          <w:sz w:val="19"/>
          <w:szCs w:val="19"/>
        </w:rPr>
        <w:drawing>
          <wp:inline distT="0" distB="0" distL="114300" distR="114300">
            <wp:extent cx="381000" cy="342900"/>
            <wp:effectExtent l="0" t="0" r="0" b="7620"/>
            <wp:docPr id="5"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descr="IMG_277"/>
                    <pic:cNvPicPr>
                      <a:picLocks noChangeAspect="1"/>
                    </pic:cNvPicPr>
                  </pic:nvPicPr>
                  <pic:blipFill>
                    <a:blip r:embed="rId25"/>
                    <a:stretch>
                      <a:fillRect/>
                    </a:stretch>
                  </pic:blipFill>
                  <pic:spPr>
                    <a:xfrm>
                      <a:off x="0" y="0"/>
                      <a:ext cx="381000" cy="342900"/>
                    </a:xfrm>
                    <a:prstGeom prst="rect">
                      <a:avLst/>
                    </a:prstGeom>
                    <a:noFill/>
                    <a:ln w="9525">
                      <a:noFill/>
                    </a:ln>
                  </pic:spPr>
                </pic:pic>
              </a:graphicData>
            </a:graphic>
          </wp:inline>
        </w:drawing>
      </w:r>
      <w:r>
        <w:rPr>
          <w:rFonts w:hint="eastAsia" w:ascii="微软雅黑" w:hAnsi="微软雅黑" w:eastAsia="微软雅黑" w:cs="微软雅黑"/>
          <w:color w:val="333333"/>
          <w:spacing w:val="7"/>
          <w:sz w:val="19"/>
          <w:szCs w:val="19"/>
        </w:rPr>
        <w:t>表示随机残差项。</w:t>
      </w:r>
    </w:p>
    <w:p w14:paraId="281EF6B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jc w:val="both"/>
        <w:textAlignment w:val="auto"/>
      </w:pPr>
      <w:r>
        <w:rPr>
          <w:rFonts w:hint="eastAsia" w:ascii="微软雅黑" w:hAnsi="微软雅黑" w:eastAsia="微软雅黑" w:cs="微软雅黑"/>
          <w:color w:val="333333"/>
          <w:spacing w:val="7"/>
          <w:sz w:val="19"/>
          <w:szCs w:val="19"/>
        </w:rPr>
        <w:t>在此之后，作者讨论了内生性问题，而这两阶段动态实证框架便是要创造性地克服这一问题。</w:t>
      </w:r>
    </w:p>
    <w:p w14:paraId="694E6997">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2" w:firstLineChars="200"/>
        <w:jc w:val="left"/>
        <w:textAlignment w:val="auto"/>
      </w:pPr>
      <w:r>
        <w:rPr>
          <w:rStyle w:val="5"/>
          <w:rFonts w:ascii="宋体" w:hAnsi="宋体" w:eastAsia="宋体" w:cs="宋体"/>
          <w:kern w:val="0"/>
          <w:sz w:val="24"/>
          <w:szCs w:val="24"/>
          <w:lang w:val="en-US" w:eastAsia="zh-CN" w:bidi="ar"/>
        </w:rPr>
        <w:t>04</w:t>
      </w:r>
      <w:r>
        <w:rPr>
          <w:rFonts w:ascii="宋体" w:hAnsi="宋体" w:eastAsia="宋体" w:cs="宋体"/>
          <w:kern w:val="0"/>
          <w:sz w:val="24"/>
          <w:szCs w:val="24"/>
          <w:lang w:val="en-US" w:eastAsia="zh-CN" w:bidi="ar"/>
        </w:rPr>
        <w:br w:type="textWrapping"/>
      </w:r>
      <w:r>
        <w:rPr>
          <w:rStyle w:val="5"/>
          <w:rFonts w:ascii="宋体" w:hAnsi="宋体" w:eastAsia="宋体" w:cs="宋体"/>
          <w:kern w:val="0"/>
          <w:sz w:val="24"/>
          <w:szCs w:val="24"/>
          <w:lang w:val="en-US" w:eastAsia="zh-CN" w:bidi="ar"/>
        </w:rPr>
        <w:t>货币刺激对信贷分配的影响</w:t>
      </w:r>
      <w:r>
        <w:rPr>
          <w:rFonts w:ascii="宋体" w:hAnsi="宋体" w:eastAsia="宋体" w:cs="宋体"/>
          <w:kern w:val="0"/>
          <w:sz w:val="24"/>
          <w:szCs w:val="24"/>
          <w:lang w:val="en-US" w:eastAsia="zh-CN" w:bidi="ar"/>
        </w:rPr>
        <w:br w:type="textWrapping"/>
      </w:r>
      <w:r>
        <w:rPr>
          <w:rStyle w:val="5"/>
          <w:rFonts w:ascii="宋体" w:hAnsi="宋体" w:eastAsia="宋体" w:cs="宋体"/>
          <w:kern w:val="0"/>
          <w:sz w:val="24"/>
          <w:szCs w:val="24"/>
          <w:lang w:val="en-US" w:eastAsia="zh-CN" w:bidi="ar"/>
        </w:rPr>
        <w:t>01分解货币刺激的总体效果</w:t>
      </w:r>
    </w:p>
    <w:p w14:paraId="5E46482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在完成上述方法论的探讨后，作者便提供货币刺激对信贷分配的动态影响的实证证据。货币政策对信贷分配的总效应可以被分解为两个方面：一是财政-货币互动效应；二是纯货币效应。</w:t>
      </w:r>
    </w:p>
    <w:p w14:paraId="21E6099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由表4可知，对于经济中的普通企业而言，M2平均外生增加1%会促使企业的银行贷款占其总资产的份额上升1.188个百分点。对财政-货币互动效应和纯货币效应的分解表明，如果没有财政扩张，外生的M2每增加1%将导致普通企业的银行贷款增加1.337个百分点。1.337和1.188个百分点之间的差异反映了财政扩张对货币向银行信贷传导的抑制作用。</w:t>
      </w:r>
    </w:p>
    <w:p w14:paraId="02BDA87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那么货币刺激如何影响信贷在国有和非国有企业间的分配呢？由表4的列2和列3可知，货币刺激对国有企业信贷的总效应是高于对非国有企业的（1.635 &gt; 1.051）。</w:t>
      </w:r>
    </w:p>
    <w:p w14:paraId="71D90C8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此外，财政-货币之间的交互作用对国有企业信贷的总效应为4.774个百分点，而对非国有企业则为-4.070个百分点，这表明财政-货币交互效应抑制了货币刺激对非国有企业信贷的传导。图6则捕捉了表4的这些发现。</w:t>
      </w:r>
    </w:p>
    <w:p w14:paraId="18FD656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6FB2A83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jc w:val="center"/>
        <w:textAlignment w:val="auto"/>
      </w:pPr>
      <w:r>
        <w:drawing>
          <wp:inline distT="0" distB="0" distL="114300" distR="114300">
            <wp:extent cx="6724650" cy="8515350"/>
            <wp:effectExtent l="0" t="0" r="11430" b="3810"/>
            <wp:docPr id="21"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3" descr="IMG_278"/>
                    <pic:cNvPicPr>
                      <a:picLocks noChangeAspect="1"/>
                    </pic:cNvPicPr>
                  </pic:nvPicPr>
                  <pic:blipFill>
                    <a:blip r:embed="rId26"/>
                    <a:stretch>
                      <a:fillRect/>
                    </a:stretch>
                  </pic:blipFill>
                  <pic:spPr>
                    <a:xfrm>
                      <a:off x="0" y="0"/>
                      <a:ext cx="6724650" cy="8515350"/>
                    </a:xfrm>
                    <a:prstGeom prst="rect">
                      <a:avLst/>
                    </a:prstGeom>
                    <a:noFill/>
                    <a:ln w="9525">
                      <a:noFill/>
                    </a:ln>
                  </pic:spPr>
                </pic:pic>
              </a:graphicData>
            </a:graphic>
          </wp:inline>
        </w:drawing>
      </w:r>
      <w:r>
        <w:drawing>
          <wp:inline distT="0" distB="0" distL="114300" distR="114300">
            <wp:extent cx="6343650" cy="8591550"/>
            <wp:effectExtent l="0" t="0" r="11430" b="3810"/>
            <wp:docPr id="10"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4" descr="IMG_279"/>
                    <pic:cNvPicPr>
                      <a:picLocks noChangeAspect="1"/>
                    </pic:cNvPicPr>
                  </pic:nvPicPr>
                  <pic:blipFill>
                    <a:blip r:embed="rId27"/>
                    <a:stretch>
                      <a:fillRect/>
                    </a:stretch>
                  </pic:blipFill>
                  <pic:spPr>
                    <a:xfrm>
                      <a:off x="0" y="0"/>
                      <a:ext cx="6343650" cy="8591550"/>
                    </a:xfrm>
                    <a:prstGeom prst="rect">
                      <a:avLst/>
                    </a:prstGeom>
                    <a:noFill/>
                    <a:ln w="9525">
                      <a:noFill/>
                    </a:ln>
                  </pic:spPr>
                </pic:pic>
              </a:graphicData>
            </a:graphic>
          </wp:inline>
        </w:drawing>
      </w:r>
    </w:p>
    <w:p w14:paraId="093D4CC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203A39F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60BF1A71">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left"/>
        <w:textAlignment w:val="auto"/>
      </w:pPr>
      <w:r>
        <w:rPr>
          <w:rFonts w:ascii="宋体" w:hAnsi="宋体" w:eastAsia="宋体" w:cs="宋体"/>
          <w:kern w:val="0"/>
          <w:sz w:val="24"/>
          <w:szCs w:val="24"/>
          <w:lang w:val="en-US" w:eastAsia="zh-CN" w:bidi="ar"/>
        </w:rPr>
        <w:br w:type="textWrapping"/>
      </w:r>
      <w:r>
        <w:rPr>
          <w:rStyle w:val="5"/>
          <w:rFonts w:ascii="宋体" w:hAnsi="宋体" w:eastAsia="宋体" w:cs="宋体"/>
          <w:kern w:val="0"/>
          <w:sz w:val="24"/>
          <w:szCs w:val="24"/>
          <w:lang w:val="en-US" w:eastAsia="zh-CN" w:bidi="ar"/>
        </w:rPr>
        <w:t>02财政-货币交互效应</w:t>
      </w:r>
    </w:p>
    <w:p w14:paraId="7FDFD0D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jc w:val="both"/>
        <w:textAlignment w:val="auto"/>
      </w:pPr>
      <w:r>
        <w:rPr>
          <w:rFonts w:hint="eastAsia" w:ascii="微软雅黑" w:hAnsi="微软雅黑" w:eastAsia="微软雅黑" w:cs="微软雅黑"/>
          <w:color w:val="333333"/>
          <w:spacing w:val="7"/>
          <w:sz w:val="19"/>
          <w:szCs w:val="19"/>
        </w:rPr>
        <w:t>为了了解财政-货币交互效应是如何起作用的，有必要理解通过基础设施投资进行的财政扩张是如何加强2009年货币刺激对国有企业银行信贷的影响（挤出效应）同时抑制对非国有企业贷款的货币影响（挤出效应）的。在中央政府的鼓励下，基础设施企业积极参与基础设施相关项目，享受有明确或隐含的政府担保的优惠信贷准入。为了证明挤出效应和挤入效应，作者提供了证据。</w:t>
      </w:r>
    </w:p>
    <w:p w14:paraId="768F8D1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jc w:val="both"/>
        <w:textAlignment w:val="auto"/>
      </w:pPr>
      <w:r>
        <w:rPr>
          <w:rFonts w:hint="eastAsia" w:ascii="微软雅黑" w:hAnsi="微软雅黑" w:eastAsia="微软雅黑" w:cs="微软雅黑"/>
          <w:color w:val="333333"/>
          <w:spacing w:val="7"/>
          <w:sz w:val="19"/>
          <w:szCs w:val="19"/>
        </w:rPr>
        <w:t>表5的第1列和第2列便报告了基建部门国有企业和非国有企业的估计结果。估计出的对国有企业信贷的交互影响在影响和滞后两个方面都是正的，显著性水平为0.01（第1列），且这些影响几乎是对整个经济中国有经济效应的两倍，这表明通过基础设施投资进行的财政扩张对货币政策向基建部门的国有企业贷款的影响要比对经济的其他部门大得多。</w:t>
      </w:r>
    </w:p>
    <w:p w14:paraId="6E230E6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jc w:val="both"/>
        <w:textAlignment w:val="auto"/>
      </w:pPr>
      <w:r>
        <w:rPr>
          <w:rFonts w:hint="eastAsia" w:ascii="微软雅黑" w:hAnsi="微软雅黑" w:eastAsia="微软雅黑" w:cs="微软雅黑"/>
          <w:color w:val="333333"/>
          <w:spacing w:val="7"/>
          <w:sz w:val="19"/>
          <w:szCs w:val="19"/>
        </w:rPr>
        <w:t>基建部门非国有企业的银行信贷的累积交互效应在统计上是不显著的（第2列），尽管这些效应在影响上是显著为正的而且是滞后的。因此，通过基础设施投资进行的财政扩张加强了对国有企业贷款的货币传导，同时不会削弱对基建部门非国有企业贷款的货币传导，此即挤入效应的证据。</w:t>
      </w:r>
    </w:p>
    <w:p w14:paraId="2D0BB4E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jc w:val="both"/>
        <w:textAlignment w:val="auto"/>
      </w:pPr>
      <w:r>
        <w:rPr>
          <w:rFonts w:hint="eastAsia" w:ascii="微软雅黑" w:hAnsi="微软雅黑" w:eastAsia="微软雅黑" w:cs="微软雅黑"/>
          <w:color w:val="333333"/>
          <w:spacing w:val="7"/>
          <w:sz w:val="19"/>
          <w:szCs w:val="19"/>
        </w:rPr>
        <w:t>表5的第4列至第6列则表明对于制造业和房地产业，财政-货币交互效应显著挤出了银行对非国有企业的信贷，此即挤出效应的证据。</w:t>
      </w:r>
    </w:p>
    <w:p w14:paraId="13C58C7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jc w:val="both"/>
        <w:textAlignment w:val="auto"/>
      </w:pPr>
      <w:r>
        <w:rPr>
          <w:rFonts w:hint="eastAsia" w:ascii="微软雅黑" w:hAnsi="微软雅黑" w:eastAsia="微软雅黑" w:cs="微软雅黑"/>
          <w:color w:val="333333"/>
          <w:spacing w:val="7"/>
          <w:sz w:val="19"/>
          <w:szCs w:val="19"/>
        </w:rPr>
        <w:t>图7则捕捉了表5的这些发现。</w:t>
      </w:r>
    </w:p>
    <w:p w14:paraId="2A1A27A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131988B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jc w:val="center"/>
        <w:textAlignment w:val="auto"/>
      </w:pPr>
      <w:r>
        <w:drawing>
          <wp:inline distT="0" distB="0" distL="114300" distR="114300">
            <wp:extent cx="7924800" cy="8991600"/>
            <wp:effectExtent l="0" t="0" r="0" b="0"/>
            <wp:docPr id="17"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5" descr="IMG_280"/>
                    <pic:cNvPicPr>
                      <a:picLocks noChangeAspect="1"/>
                    </pic:cNvPicPr>
                  </pic:nvPicPr>
                  <pic:blipFill>
                    <a:blip r:embed="rId28"/>
                    <a:stretch>
                      <a:fillRect/>
                    </a:stretch>
                  </pic:blipFill>
                  <pic:spPr>
                    <a:xfrm>
                      <a:off x="0" y="0"/>
                      <a:ext cx="7924800" cy="8991600"/>
                    </a:xfrm>
                    <a:prstGeom prst="rect">
                      <a:avLst/>
                    </a:prstGeom>
                    <a:noFill/>
                    <a:ln w="9525">
                      <a:noFill/>
                    </a:ln>
                  </pic:spPr>
                </pic:pic>
              </a:graphicData>
            </a:graphic>
          </wp:inline>
        </w:drawing>
      </w:r>
      <w:r>
        <w:drawing>
          <wp:inline distT="0" distB="0" distL="114300" distR="114300">
            <wp:extent cx="6877050" cy="9239250"/>
            <wp:effectExtent l="0" t="0" r="11430" b="11430"/>
            <wp:docPr id="7"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6" descr="IMG_281"/>
                    <pic:cNvPicPr>
                      <a:picLocks noChangeAspect="1"/>
                    </pic:cNvPicPr>
                  </pic:nvPicPr>
                  <pic:blipFill>
                    <a:blip r:embed="rId29"/>
                    <a:stretch>
                      <a:fillRect/>
                    </a:stretch>
                  </pic:blipFill>
                  <pic:spPr>
                    <a:xfrm>
                      <a:off x="0" y="0"/>
                      <a:ext cx="6877050" cy="9239250"/>
                    </a:xfrm>
                    <a:prstGeom prst="rect">
                      <a:avLst/>
                    </a:prstGeom>
                    <a:noFill/>
                    <a:ln w="9525">
                      <a:noFill/>
                    </a:ln>
                  </pic:spPr>
                </pic:pic>
              </a:graphicData>
            </a:graphic>
          </wp:inline>
        </w:drawing>
      </w:r>
    </w:p>
    <w:p w14:paraId="2C83731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1466F03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304C0B71">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left"/>
        <w:textAlignment w:val="auto"/>
      </w:pPr>
      <w:r>
        <w:rPr>
          <w:rFonts w:ascii="宋体" w:hAnsi="宋体" w:eastAsia="宋体" w:cs="宋体"/>
          <w:kern w:val="0"/>
          <w:sz w:val="24"/>
          <w:szCs w:val="24"/>
          <w:lang w:val="en-US" w:eastAsia="zh-CN" w:bidi="ar"/>
        </w:rPr>
        <w:br w:type="textWrapping"/>
      </w:r>
      <w:r>
        <w:rPr>
          <w:rStyle w:val="5"/>
          <w:rFonts w:ascii="宋体" w:hAnsi="宋体" w:eastAsia="宋体" w:cs="宋体"/>
          <w:kern w:val="0"/>
          <w:sz w:val="24"/>
          <w:szCs w:val="24"/>
          <w:lang w:val="en-US" w:eastAsia="zh-CN" w:bidi="ar"/>
        </w:rPr>
        <w:t>03纯货币效应</w:t>
      </w:r>
    </w:p>
    <w:p w14:paraId="7C8616A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jc w:val="both"/>
        <w:textAlignment w:val="auto"/>
      </w:pPr>
      <w:r>
        <w:rPr>
          <w:rFonts w:hint="eastAsia" w:ascii="微软雅黑" w:hAnsi="微软雅黑" w:eastAsia="微软雅黑" w:cs="微软雅黑"/>
          <w:color w:val="333333"/>
          <w:spacing w:val="7"/>
          <w:sz w:val="19"/>
          <w:szCs w:val="19"/>
        </w:rPr>
        <w:t>由表5可知，在剥离财政扩张后，货币政策对基建部门里的国有企业信贷和非国有企业信贷的效应没有较大区别（1.369和1.396），但是在房地产业中货币政策对非国有企业信贷的效应显著大于对国有企业信贷的效应（3.105和0.839），在制造业中货币政策对国有企业信贷的效应则大于对非国有企业信贷的效应（1.177和0.716）。</w:t>
      </w:r>
    </w:p>
    <w:p w14:paraId="5F3FB9A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08" w:firstLineChars="200"/>
        <w:jc w:val="both"/>
        <w:textAlignment w:val="auto"/>
      </w:pPr>
      <w:r>
        <w:rPr>
          <w:rFonts w:hint="eastAsia" w:ascii="微软雅黑" w:hAnsi="微软雅黑" w:eastAsia="微软雅黑" w:cs="微软雅黑"/>
          <w:color w:val="333333"/>
          <w:spacing w:val="7"/>
          <w:sz w:val="19"/>
          <w:szCs w:val="19"/>
        </w:rPr>
        <w:t>图8则捕捉了表5的这些发现。</w:t>
      </w:r>
    </w:p>
    <w:p w14:paraId="163646A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73147CB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jc w:val="center"/>
        <w:textAlignment w:val="auto"/>
      </w:pPr>
      <w:r>
        <w:drawing>
          <wp:inline distT="0" distB="0" distL="114300" distR="114300">
            <wp:extent cx="6324600" cy="8724900"/>
            <wp:effectExtent l="0" t="0" r="0" b="7620"/>
            <wp:docPr id="24"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7" descr="IMG_282"/>
                    <pic:cNvPicPr>
                      <a:picLocks noChangeAspect="1"/>
                    </pic:cNvPicPr>
                  </pic:nvPicPr>
                  <pic:blipFill>
                    <a:blip r:embed="rId30"/>
                    <a:stretch>
                      <a:fillRect/>
                    </a:stretch>
                  </pic:blipFill>
                  <pic:spPr>
                    <a:xfrm>
                      <a:off x="0" y="0"/>
                      <a:ext cx="6324600" cy="8724900"/>
                    </a:xfrm>
                    <a:prstGeom prst="rect">
                      <a:avLst/>
                    </a:prstGeom>
                    <a:noFill/>
                    <a:ln w="9525">
                      <a:noFill/>
                    </a:ln>
                  </pic:spPr>
                </pic:pic>
              </a:graphicData>
            </a:graphic>
          </wp:inline>
        </w:drawing>
      </w:r>
    </w:p>
    <w:p w14:paraId="1A56354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50F110F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210B1542">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jc w:val="left"/>
        <w:textAlignment w:val="auto"/>
      </w:pPr>
      <w:r>
        <w:rPr>
          <w:rFonts w:ascii="宋体" w:hAnsi="宋体" w:eastAsia="宋体" w:cs="宋体"/>
          <w:kern w:val="0"/>
          <w:sz w:val="24"/>
          <w:szCs w:val="24"/>
          <w:lang w:val="en-US" w:eastAsia="zh-CN" w:bidi="ar"/>
        </w:rPr>
        <w:br w:type="textWrapping"/>
      </w:r>
      <w:r>
        <w:rPr>
          <w:rStyle w:val="5"/>
          <w:rFonts w:ascii="宋体" w:hAnsi="宋体" w:eastAsia="宋体" w:cs="宋体"/>
          <w:kern w:val="0"/>
          <w:sz w:val="24"/>
          <w:szCs w:val="24"/>
          <w:lang w:val="en-US" w:eastAsia="zh-CN" w:bidi="ar"/>
        </w:rPr>
        <w:t>04稳定性检验</w:t>
      </w:r>
    </w:p>
    <w:p w14:paraId="16B8763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接下来作者使用由货币政策驱动的企业特定信贷供给冲击来代替原有的货币政策冲击，得出的结果是稳健的，这表明财政-货币交互效应是货币刺激对国有企业和非国有企业之间的信贷配置施加影响的关键。</w:t>
      </w:r>
    </w:p>
    <w:p w14:paraId="4306F7D7">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2" w:firstLineChars="200"/>
        <w:jc w:val="left"/>
        <w:textAlignment w:val="auto"/>
        <w:rPr>
          <w:color w:val="2369FF"/>
          <w:spacing w:val="18"/>
        </w:rPr>
      </w:pPr>
      <w:r>
        <w:rPr>
          <w:rStyle w:val="5"/>
          <w:rFonts w:ascii="宋体" w:hAnsi="宋体" w:eastAsia="宋体" w:cs="宋体"/>
          <w:kern w:val="0"/>
          <w:sz w:val="24"/>
          <w:szCs w:val="24"/>
          <w:lang w:val="en-US" w:eastAsia="zh-CN" w:bidi="ar"/>
        </w:rPr>
        <w:t>05</w:t>
      </w:r>
      <w:r>
        <w:rPr>
          <w:rStyle w:val="5"/>
          <w:color w:val="2369FF"/>
          <w:spacing w:val="18"/>
        </w:rPr>
        <w:t>结论与启示</w:t>
      </w:r>
    </w:p>
    <w:p w14:paraId="6102C2F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480" w:firstLineChars="200"/>
        <w:textAlignment w:val="auto"/>
      </w:pPr>
    </w:p>
    <w:p w14:paraId="534904C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本研究以中国贷款层面的数据为证据，探讨了通过基础设施投资进行的财政扩张如何影响货币刺激对信贷分配的动态影响，得到了以下关键发现：</w:t>
      </w:r>
    </w:p>
    <w:p w14:paraId="0195894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第一，基础设施投资的增加显著削弱了货币政策向非国有企业贷款的传导，同时强化了货币对国有企业信贷的影响。财政-货币互动渠道是理解国有企业在刺激期享受优惠信贷的关键。通过基础设施投资进行的财政扩张放大了对基础设施部门国有企业信贷的积极货币影响，但没有削弱对该部门非国有企业信贷影响。</w:t>
      </w:r>
    </w:p>
    <w:p w14:paraId="485C1ED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第二，基础设施投资热潮挤占了2009年货币刺激计划原本会产生的银行贷款，对非国有企业在整个经济中的投资产生了不利影响，由此产生的资本错配是财政扩张对货币传导的意外后果。</w:t>
      </w:r>
    </w:p>
    <w:p w14:paraId="0BAE506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货币政策和财政政策往往以组合拳形式制定和实施，政策间也存在内生作用，因而识别影响货币政策传导的财政政策因素成为宏观金融文献和政策制定者关注的重要问题。</w:t>
      </w:r>
    </w:p>
    <w:p w14:paraId="224900B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该研究通过测度基建投资信贷，精准分解一揽子经济刺激计划中包含的财政和货币政策，理解货币政策在国有和非国有企业间、不同产业间非对称传导的逻辑。在近年来各国政府愈加重视基建投资提振经济作用的背景下，该研究立足中国的政策效应，为研究政策间相互作用提供一般性分析框架，具有较强的外部效度，对后续评估政策组合效应的文章提供重要参考。</w:t>
      </w:r>
    </w:p>
    <w:p w14:paraId="58309B9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0" w:firstLine="408" w:firstLineChars="200"/>
        <w:jc w:val="both"/>
        <w:textAlignment w:val="auto"/>
      </w:pPr>
      <w:r>
        <w:rPr>
          <w:rFonts w:hint="eastAsia" w:ascii="微软雅黑" w:hAnsi="微软雅黑" w:eastAsia="微软雅黑" w:cs="微软雅黑"/>
          <w:color w:val="333333"/>
          <w:spacing w:val="7"/>
          <w:sz w:val="19"/>
          <w:szCs w:val="19"/>
        </w:rPr>
        <w:t>作为全球第二大经济体、最大贸易国和主要外资流入国，中国不断向世界经济输送增长动能，该项研究对中国问题提出深刻思考，其结论也有助于理解发达经济体和其他新兴市场国家经济刺激政策的效应。</w:t>
      </w:r>
    </w:p>
    <w:p w14:paraId="42E308A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E34B96"/>
    <w:rsid w:val="2FDC7F41"/>
    <w:rsid w:val="634F22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4377</Words>
  <Characters>4669</Characters>
  <Lines>0</Lines>
  <Paragraphs>0</Paragraphs>
  <TotalTime>4</TotalTime>
  <ScaleCrop>false</ScaleCrop>
  <LinksUpToDate>false</LinksUpToDate>
  <CharactersWithSpaces>4682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2026-04-21T12:10:00Z</dcterms:created>
  <dc:creator>jiatiankai</dc:creator>
  <cp:lastModifiedBy>胡家骏</cp:lastModifiedBy>
  <dcterms:modified xsi:type="dcterms:W3CDTF">2026-04-25T11:24:35Z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24AD455EC1774A7A95163BEBA848557D_13</vt:lpwstr>
  </property>
</Properties>
</file>