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F2A1F10">
      <w:pPr>
        <w:pStyle w:val="style0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color w:val="000000"/>
          <w:sz w:val="32"/>
          <w:szCs w:val="32"/>
          <w:shd w:val="clear" w:color="auto" w:fill="ffffff"/>
        </w:rPr>
        <w:t>Prefixes</w:t>
      </w:r>
    </w:p>
    <w:p w14:paraId="7DF681AD">
      <w:pPr>
        <w:pStyle w:val="style0"/>
        <w:rPr>
          <w:rFonts w:ascii="Verdana" w:hAnsi="Verdana"/>
          <w:color w:val="000000"/>
          <w:sz w:val="32"/>
          <w:szCs w:val="32"/>
          <w:shd w:val="clear" w:color="auto" w:fill="ffffff"/>
        </w:rPr>
      </w:pPr>
      <w:r>
        <w:rPr>
          <w:rFonts w:ascii="Verdana" w:hAnsi="Verdana"/>
          <w:color w:val="000000"/>
          <w:sz w:val="32"/>
          <w:szCs w:val="32"/>
          <w:shd w:val="clear" w:color="auto" w:fill="ffffff"/>
        </w:rPr>
        <w:t>A </w:t>
      </w:r>
      <w:r>
        <w:rPr>
          <w:rFonts w:ascii="Times New Roman" w:cs="Times New Roman" w:hAnsi="Times New Roman"/>
          <w:b/>
          <w:bCs/>
          <w:color w:val="000000"/>
          <w:sz w:val="32"/>
          <w:szCs w:val="32"/>
          <w:shd w:val="clear" w:color="auto" w:fill="ffffff"/>
        </w:rPr>
        <w:t>prefix</w:t>
      </w:r>
      <w:r>
        <w:rPr>
          <w:rFonts w:ascii="Verdana" w:hAnsi="Verdana"/>
          <w:color w:val="000000"/>
          <w:sz w:val="32"/>
          <w:szCs w:val="32"/>
          <w:shd w:val="clear" w:color="auto" w:fill="ffffff"/>
        </w:rPr>
        <w:t> is a set of letters that is added to the beginning of a word to change its meaning. Each prefix has a general meaning, so you will be able to understand what a word with a prefix means more easily</w:t>
      </w:r>
      <w:r>
        <w:rPr>
          <w:rFonts w:ascii="Verdana" w:hAnsi="Verdana"/>
          <w:color w:val="000000"/>
          <w:sz w:val="32"/>
          <w:szCs w:val="32"/>
          <w:shd w:val="clear" w:color="auto" w:fill="ffffff"/>
        </w:rPr>
        <w:t>.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14:paraId="0DA48401">
        <w:trPr/>
        <w:tc>
          <w:tcPr>
            <w:tcW w:w="3192" w:type="dxa"/>
            <w:tcBorders/>
          </w:tcPr>
          <w:p w14:paraId="74D9B405"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</w:rPr>
              <w:t>Prefix</w:t>
            </w:r>
          </w:p>
        </w:tc>
        <w:tc>
          <w:tcPr>
            <w:tcW w:w="3192" w:type="dxa"/>
            <w:tcBorders/>
          </w:tcPr>
          <w:p w14:paraId="5EDC0C7D"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</w:rPr>
              <w:t>Definition</w:t>
            </w:r>
          </w:p>
        </w:tc>
        <w:tc>
          <w:tcPr>
            <w:tcW w:w="3192" w:type="dxa"/>
            <w:tcBorders/>
          </w:tcPr>
          <w:p w14:paraId="3AD80E2C"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</w:rPr>
              <w:t>Example</w:t>
            </w:r>
          </w:p>
        </w:tc>
      </w:tr>
      <w:tr w14:paraId="5027EEE2">
        <w:tblPrEx/>
        <w:trPr/>
        <w:tc>
          <w:tcPr>
            <w:tcW w:w="3192" w:type="dxa"/>
            <w:tcBorders/>
          </w:tcPr>
          <w:p w14:paraId="7B68E1EB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>un-</w:t>
            </w:r>
          </w:p>
        </w:tc>
        <w:tc>
          <w:tcPr>
            <w:tcW w:w="3192" w:type="dxa"/>
            <w:tcBorders/>
          </w:tcPr>
          <w:p w14:paraId="01AFE01F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>not/ opposite</w:t>
            </w:r>
          </w:p>
        </w:tc>
        <w:tc>
          <w:tcPr>
            <w:tcW w:w="3192" w:type="dxa"/>
            <w:tcBorders/>
          </w:tcPr>
          <w:p w14:paraId="5335C087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>unlock, unsafe</w:t>
            </w:r>
          </w:p>
        </w:tc>
      </w:tr>
      <w:tr w14:paraId="4548247F">
        <w:tblPrEx/>
        <w:trPr/>
        <w:tc>
          <w:tcPr>
            <w:tcW w:w="3192" w:type="dxa"/>
            <w:tcBorders/>
          </w:tcPr>
          <w:p w14:paraId="27043DE7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>re</w:t>
            </w:r>
            <w:r>
              <w:rPr>
                <w:sz w:val="32"/>
                <w:szCs w:val="32"/>
              </w:rPr>
              <w:t>-</w:t>
            </w:r>
          </w:p>
        </w:tc>
        <w:tc>
          <w:tcPr>
            <w:tcW w:w="3192" w:type="dxa"/>
            <w:tcBorders/>
          </w:tcPr>
          <w:p w14:paraId="68C78CAD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>again/ back</w:t>
            </w:r>
          </w:p>
        </w:tc>
        <w:tc>
          <w:tcPr>
            <w:tcW w:w="3192" w:type="dxa"/>
            <w:tcBorders/>
          </w:tcPr>
          <w:p w14:paraId="4A6CA6CF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reread, rewrite, </w:t>
            </w:r>
            <w:r>
              <w:rPr>
                <w:sz w:val="32"/>
                <w:szCs w:val="32"/>
              </w:rPr>
              <w:t>rebuild</w:t>
            </w:r>
          </w:p>
        </w:tc>
      </w:tr>
      <w:tr w14:paraId="5D0311AA">
        <w:tblPrEx/>
        <w:trPr/>
        <w:tc>
          <w:tcPr>
            <w:tcW w:w="3192" w:type="dxa"/>
            <w:tcBorders/>
          </w:tcPr>
          <w:p w14:paraId="7BACF90B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>dis-</w:t>
            </w:r>
          </w:p>
        </w:tc>
        <w:tc>
          <w:tcPr>
            <w:tcW w:w="3192" w:type="dxa"/>
            <w:tcBorders/>
          </w:tcPr>
          <w:p w14:paraId="35DB2431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>not/ opposite of</w:t>
            </w:r>
          </w:p>
        </w:tc>
        <w:tc>
          <w:tcPr>
            <w:tcW w:w="3192" w:type="dxa"/>
            <w:tcBorders/>
          </w:tcPr>
          <w:p w14:paraId="330835C2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>dislike, distrust, disagree</w:t>
            </w:r>
          </w:p>
        </w:tc>
      </w:tr>
      <w:tr w14:paraId="33F175AB">
        <w:tblPrEx/>
        <w:trPr/>
        <w:tc>
          <w:tcPr>
            <w:tcW w:w="3192" w:type="dxa"/>
            <w:tcBorders/>
          </w:tcPr>
          <w:p w14:paraId="59C99DD1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>in-</w:t>
            </w:r>
          </w:p>
        </w:tc>
        <w:tc>
          <w:tcPr>
            <w:tcW w:w="3192" w:type="dxa"/>
            <w:tcBorders/>
          </w:tcPr>
          <w:p w14:paraId="26B84CD2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>n</w:t>
            </w:r>
            <w:r>
              <w:rPr>
                <w:sz w:val="32"/>
                <w:szCs w:val="32"/>
              </w:rPr>
              <w:t>ot</w:t>
            </w:r>
            <w:r>
              <w:rPr>
                <w:sz w:val="32"/>
                <w:szCs w:val="32"/>
              </w:rPr>
              <w:t>/ opposite of</w:t>
            </w:r>
          </w:p>
        </w:tc>
        <w:tc>
          <w:tcPr>
            <w:tcW w:w="3192" w:type="dxa"/>
            <w:tcBorders/>
          </w:tcPr>
          <w:p w14:paraId="0767CB5D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>inactive, insane, inexpensive</w:t>
            </w:r>
          </w:p>
        </w:tc>
      </w:tr>
      <w:tr w14:paraId="0D8860F8">
        <w:tblPrEx/>
        <w:trPr/>
        <w:tc>
          <w:tcPr>
            <w:tcW w:w="3192" w:type="dxa"/>
            <w:tcBorders/>
          </w:tcPr>
          <w:p w14:paraId="513BF484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>under-</w:t>
            </w:r>
          </w:p>
        </w:tc>
        <w:tc>
          <w:tcPr>
            <w:tcW w:w="3192" w:type="dxa"/>
            <w:tcBorders/>
          </w:tcPr>
          <w:p w14:paraId="04204C2A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too little/ below </w:t>
            </w:r>
          </w:p>
        </w:tc>
        <w:tc>
          <w:tcPr>
            <w:tcW w:w="3192" w:type="dxa"/>
            <w:tcBorders/>
          </w:tcPr>
          <w:p w14:paraId="6616A36C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>underfeed, underground</w:t>
            </w:r>
          </w:p>
        </w:tc>
      </w:tr>
      <w:tr w14:paraId="30099633">
        <w:tblPrEx/>
        <w:trPr/>
        <w:tc>
          <w:tcPr>
            <w:tcW w:w="3192" w:type="dxa"/>
            <w:tcBorders/>
          </w:tcPr>
          <w:p w14:paraId="43FCD1CD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>over-</w:t>
            </w:r>
          </w:p>
        </w:tc>
        <w:tc>
          <w:tcPr>
            <w:tcW w:w="3192" w:type="dxa"/>
            <w:tcBorders/>
          </w:tcPr>
          <w:p w14:paraId="550978CB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too much/ above </w:t>
            </w:r>
          </w:p>
        </w:tc>
        <w:tc>
          <w:tcPr>
            <w:tcW w:w="3192" w:type="dxa"/>
            <w:tcBorders/>
          </w:tcPr>
          <w:p w14:paraId="676BDCFC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>overdone, overhead</w:t>
            </w:r>
          </w:p>
        </w:tc>
      </w:tr>
      <w:tr w14:paraId="41B4299F">
        <w:tblPrEx/>
        <w:trPr/>
        <w:tc>
          <w:tcPr>
            <w:tcW w:w="3192" w:type="dxa"/>
            <w:tcBorders/>
          </w:tcPr>
          <w:p w14:paraId="7AD3F685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non- </w:t>
            </w:r>
          </w:p>
        </w:tc>
        <w:tc>
          <w:tcPr>
            <w:tcW w:w="3192" w:type="dxa"/>
            <w:tcBorders/>
          </w:tcPr>
          <w:p w14:paraId="30A53DE9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>not</w:t>
            </w:r>
          </w:p>
        </w:tc>
        <w:tc>
          <w:tcPr>
            <w:tcW w:w="3192" w:type="dxa"/>
            <w:tcBorders/>
          </w:tcPr>
          <w:p w14:paraId="4E44D535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>nonfat, nonsense</w:t>
            </w:r>
          </w:p>
        </w:tc>
      </w:tr>
      <w:tr w14:paraId="366E331E">
        <w:tblPrEx/>
        <w:trPr/>
        <w:tc>
          <w:tcPr>
            <w:tcW w:w="3192" w:type="dxa"/>
            <w:tcBorders/>
          </w:tcPr>
          <w:p w14:paraId="37AD8AA9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pre- </w:t>
            </w:r>
          </w:p>
        </w:tc>
        <w:tc>
          <w:tcPr>
            <w:tcW w:w="3192" w:type="dxa"/>
            <w:tcBorders/>
          </w:tcPr>
          <w:p w14:paraId="17AD3D54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>before</w:t>
            </w:r>
          </w:p>
        </w:tc>
        <w:tc>
          <w:tcPr>
            <w:tcW w:w="3192" w:type="dxa"/>
            <w:tcBorders/>
          </w:tcPr>
          <w:p w14:paraId="6C168160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>preplan, pretest</w:t>
            </w:r>
          </w:p>
        </w:tc>
      </w:tr>
      <w:tr w14:paraId="6485C098">
        <w:tblPrEx/>
        <w:trPr/>
        <w:tc>
          <w:tcPr>
            <w:tcW w:w="3192" w:type="dxa"/>
            <w:tcBorders/>
          </w:tcPr>
          <w:p w14:paraId="3CABC776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multi- </w:t>
            </w:r>
          </w:p>
        </w:tc>
        <w:tc>
          <w:tcPr>
            <w:tcW w:w="3192" w:type="dxa"/>
            <w:tcBorders/>
          </w:tcPr>
          <w:p w14:paraId="250FD13C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>many/ much</w:t>
            </w:r>
          </w:p>
        </w:tc>
        <w:tc>
          <w:tcPr>
            <w:tcW w:w="3192" w:type="dxa"/>
            <w:tcBorders/>
          </w:tcPr>
          <w:p w14:paraId="6ADABCB1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>multicolor, multifamily, multitask</w:t>
            </w:r>
          </w:p>
        </w:tc>
      </w:tr>
      <w:tr w14:paraId="01C3BF92">
        <w:tblPrEx/>
        <w:trPr/>
        <w:tc>
          <w:tcPr>
            <w:tcW w:w="3192" w:type="dxa"/>
            <w:tcBorders/>
          </w:tcPr>
          <w:p w14:paraId="7A3A6F71"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poly- </w:t>
            </w:r>
          </w:p>
        </w:tc>
        <w:tc>
          <w:tcPr>
            <w:tcW w:w="3192" w:type="dxa"/>
            <w:tcBorders/>
          </w:tcPr>
          <w:p w14:paraId="2ED2354B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 xml:space="preserve">many/ much </w:t>
            </w:r>
          </w:p>
        </w:tc>
        <w:tc>
          <w:tcPr>
            <w:tcW w:w="3192" w:type="dxa"/>
            <w:tcBorders/>
          </w:tcPr>
          <w:p w14:paraId="51533FCF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>polyg</w:t>
            </w:r>
            <w:r>
              <w:rPr>
                <w:rFonts w:ascii="Times New Roman" w:cs="Times New Roman" w:hAnsi="Times New Roman"/>
                <w:sz w:val="32"/>
                <w:szCs w:val="32"/>
              </w:rPr>
              <w:t>amy</w:t>
            </w:r>
            <w:r>
              <w:rPr>
                <w:rFonts w:ascii="Times New Roman" w:cs="Times New Roman" w:hAnsi="Times New Roman"/>
                <w:sz w:val="32"/>
                <w:szCs w:val="32"/>
              </w:rPr>
              <w:t>, polysyllable</w:t>
            </w:r>
          </w:p>
        </w:tc>
      </w:tr>
      <w:tr w14:paraId="332E7422">
        <w:tblPrEx/>
        <w:trPr/>
        <w:tc>
          <w:tcPr>
            <w:tcW w:w="3192" w:type="dxa"/>
            <w:tcBorders/>
          </w:tcPr>
          <w:p w14:paraId="4D98EF92"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tele- </w:t>
            </w:r>
          </w:p>
        </w:tc>
        <w:tc>
          <w:tcPr>
            <w:tcW w:w="3192" w:type="dxa"/>
            <w:tcBorders/>
          </w:tcPr>
          <w:p w14:paraId="7F2BA255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 xml:space="preserve">distant/far </w:t>
            </w:r>
          </w:p>
        </w:tc>
        <w:tc>
          <w:tcPr>
            <w:tcW w:w="3192" w:type="dxa"/>
            <w:tcBorders/>
          </w:tcPr>
          <w:p w14:paraId="47FF961B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>Television, telephone</w:t>
            </w:r>
          </w:p>
        </w:tc>
      </w:tr>
      <w:tr w14:paraId="1D448867">
        <w:tblPrEx/>
        <w:trPr/>
        <w:tc>
          <w:tcPr>
            <w:tcW w:w="3192" w:type="dxa"/>
            <w:tcBorders/>
          </w:tcPr>
          <w:p w14:paraId="182A0C87"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mis- </w:t>
            </w:r>
          </w:p>
        </w:tc>
        <w:tc>
          <w:tcPr>
            <w:tcW w:w="3192" w:type="dxa"/>
            <w:tcBorders/>
          </w:tcPr>
          <w:p w14:paraId="202F5828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 xml:space="preserve">bad or badly/ wrong or wrongly </w:t>
            </w:r>
          </w:p>
        </w:tc>
        <w:tc>
          <w:tcPr>
            <w:tcW w:w="3192" w:type="dxa"/>
            <w:tcBorders/>
          </w:tcPr>
          <w:p w14:paraId="5355CA73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>misbehave, misread, misspell</w:t>
            </w:r>
          </w:p>
        </w:tc>
      </w:tr>
      <w:tr w14:paraId="70D6FB58">
        <w:tblPrEx/>
        <w:trPr/>
        <w:tc>
          <w:tcPr>
            <w:tcW w:w="3192" w:type="dxa"/>
            <w:tcBorders/>
          </w:tcPr>
          <w:p w14:paraId="69319D19"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mid- </w:t>
            </w:r>
          </w:p>
        </w:tc>
        <w:tc>
          <w:tcPr>
            <w:tcW w:w="3192" w:type="dxa"/>
            <w:tcBorders/>
          </w:tcPr>
          <w:p w14:paraId="2F64C570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 xml:space="preserve">middle </w:t>
            </w:r>
          </w:p>
        </w:tc>
        <w:tc>
          <w:tcPr>
            <w:tcW w:w="3192" w:type="dxa"/>
            <w:tcBorders/>
          </w:tcPr>
          <w:p w14:paraId="47F72F1B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>midnight, midweek</w:t>
            </w:r>
          </w:p>
        </w:tc>
      </w:tr>
      <w:tr w14:paraId="00CB4C4B">
        <w:tblPrEx/>
        <w:trPr/>
        <w:tc>
          <w:tcPr>
            <w:tcW w:w="3192" w:type="dxa"/>
            <w:tcBorders/>
          </w:tcPr>
          <w:p w14:paraId="02754553"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en-, </w:t>
            </w:r>
            <w:r>
              <w:rPr>
                <w:sz w:val="32"/>
                <w:szCs w:val="32"/>
              </w:rPr>
              <w:t>em</w:t>
            </w:r>
            <w:r>
              <w:rPr>
                <w:sz w:val="32"/>
                <w:szCs w:val="32"/>
              </w:rPr>
              <w:t xml:space="preserve">- </w:t>
            </w:r>
          </w:p>
        </w:tc>
        <w:tc>
          <w:tcPr>
            <w:tcW w:w="3192" w:type="dxa"/>
            <w:tcBorders/>
          </w:tcPr>
          <w:p w14:paraId="67F1396C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 xml:space="preserve">to cause to be/ to put into or onto/ to go into </w:t>
            </w:r>
          </w:p>
        </w:tc>
        <w:tc>
          <w:tcPr>
            <w:tcW w:w="3192" w:type="dxa"/>
            <w:tcBorders/>
          </w:tcPr>
          <w:p w14:paraId="2C34CDE3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>encounter, enable, employ, embark, encircle</w:t>
            </w:r>
          </w:p>
        </w:tc>
      </w:tr>
      <w:tr w14:paraId="2A948866">
        <w:tblPrEx/>
        <w:trPr/>
        <w:tc>
          <w:tcPr>
            <w:tcW w:w="3192" w:type="dxa"/>
            <w:tcBorders/>
          </w:tcPr>
          <w:p w14:paraId="123A9006"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fore- </w:t>
            </w:r>
          </w:p>
        </w:tc>
        <w:tc>
          <w:tcPr>
            <w:tcW w:w="3192" w:type="dxa"/>
            <w:tcBorders/>
          </w:tcPr>
          <w:p w14:paraId="6BB3E130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 xml:space="preserve">before/ earlier </w:t>
            </w:r>
          </w:p>
        </w:tc>
        <w:tc>
          <w:tcPr>
            <w:tcW w:w="3192" w:type="dxa"/>
            <w:tcBorders/>
          </w:tcPr>
          <w:p w14:paraId="6ED2DDD1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>forearm, foreword</w:t>
            </w:r>
          </w:p>
        </w:tc>
      </w:tr>
      <w:tr w14:paraId="44EB3998">
        <w:tblPrEx/>
        <w:trPr/>
        <w:tc>
          <w:tcPr>
            <w:tcW w:w="3192" w:type="dxa"/>
            <w:tcBorders/>
          </w:tcPr>
          <w:p w14:paraId="1F417312"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trans- </w:t>
            </w:r>
          </w:p>
        </w:tc>
        <w:tc>
          <w:tcPr>
            <w:tcW w:w="3192" w:type="dxa"/>
            <w:tcBorders/>
          </w:tcPr>
          <w:p w14:paraId="2CE82DFE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 xml:space="preserve">across/ change/ </w:t>
            </w:r>
            <w:r>
              <w:rPr>
                <w:rFonts w:ascii="Times New Roman" w:cs="Times New Roman" w:hAnsi="Times New Roman"/>
                <w:sz w:val="32"/>
                <w:szCs w:val="32"/>
              </w:rPr>
              <w:t xml:space="preserve">through </w:t>
            </w:r>
          </w:p>
        </w:tc>
        <w:tc>
          <w:tcPr>
            <w:tcW w:w="3192" w:type="dxa"/>
            <w:tcBorders/>
          </w:tcPr>
          <w:p w14:paraId="62392271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 xml:space="preserve">transformation, </w:t>
            </w:r>
            <w:r>
              <w:rPr>
                <w:rFonts w:ascii="Times New Roman" w:cs="Times New Roman" w:hAnsi="Times New Roman"/>
                <w:sz w:val="32"/>
                <w:szCs w:val="32"/>
              </w:rPr>
              <w:t xml:space="preserve">transportation </w:t>
            </w:r>
            <w:r>
              <w:rPr>
                <w:rFonts w:ascii="Times New Roman" w:cs="Times New Roman" w:hAnsi="Times New Roman"/>
                <w:sz w:val="32"/>
                <w:szCs w:val="32"/>
              </w:rPr>
              <w:t>n</w:t>
            </w:r>
          </w:p>
        </w:tc>
      </w:tr>
      <w:tr w14:paraId="06346FA6">
        <w:tblPrEx/>
        <w:trPr/>
        <w:tc>
          <w:tcPr>
            <w:tcW w:w="3192" w:type="dxa"/>
            <w:tcBorders/>
          </w:tcPr>
          <w:p w14:paraId="0F0D4F51"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anti- </w:t>
            </w:r>
          </w:p>
        </w:tc>
        <w:tc>
          <w:tcPr>
            <w:tcW w:w="3192" w:type="dxa"/>
            <w:tcBorders/>
          </w:tcPr>
          <w:p w14:paraId="0CA89AC4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 xml:space="preserve">opposite/ against </w:t>
            </w:r>
          </w:p>
        </w:tc>
        <w:tc>
          <w:tcPr>
            <w:tcW w:w="3192" w:type="dxa"/>
            <w:tcBorders/>
          </w:tcPr>
          <w:p w14:paraId="3B45F77E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>antibiotic, antifreeze</w:t>
            </w:r>
          </w:p>
        </w:tc>
      </w:tr>
      <w:tr w14:paraId="3E9412A2">
        <w:tblPrEx/>
        <w:trPr/>
        <w:tc>
          <w:tcPr>
            <w:tcW w:w="3192" w:type="dxa"/>
            <w:tcBorders/>
          </w:tcPr>
          <w:p w14:paraId="24ABE2BC"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in- (il-, im-, </w:t>
            </w:r>
            <w:r>
              <w:rPr>
                <w:sz w:val="32"/>
                <w:szCs w:val="32"/>
              </w:rPr>
              <w:t>ir</w:t>
            </w:r>
            <w:r>
              <w:rPr>
                <w:sz w:val="32"/>
                <w:szCs w:val="32"/>
              </w:rPr>
              <w:t xml:space="preserve">-) </w:t>
            </w:r>
          </w:p>
        </w:tc>
        <w:tc>
          <w:tcPr>
            <w:tcW w:w="3192" w:type="dxa"/>
            <w:tcBorders/>
          </w:tcPr>
          <w:p w14:paraId="71261F4F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 xml:space="preserve">not </w:t>
            </w:r>
          </w:p>
        </w:tc>
        <w:tc>
          <w:tcPr>
            <w:tcW w:w="3192" w:type="dxa"/>
            <w:tcBorders/>
          </w:tcPr>
          <w:p w14:paraId="5E8C11CF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>inability, impatient, irregular, illega</w:t>
            </w:r>
            <w:r>
              <w:rPr>
                <w:rFonts w:ascii="Times New Roman" w:cs="Times New Roman" w:hAnsi="Times New Roman"/>
                <w:sz w:val="32"/>
                <w:szCs w:val="32"/>
              </w:rPr>
              <w:t>l</w:t>
            </w:r>
          </w:p>
        </w:tc>
      </w:tr>
      <w:tr w14:paraId="05943156">
        <w:tblPrEx/>
        <w:trPr/>
        <w:tc>
          <w:tcPr>
            <w:tcW w:w="3192" w:type="dxa"/>
            <w:tcBorders/>
          </w:tcPr>
          <w:p w14:paraId="519BA1EC"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micro - </w:t>
            </w:r>
          </w:p>
        </w:tc>
        <w:tc>
          <w:tcPr>
            <w:tcW w:w="3192" w:type="dxa"/>
            <w:tcBorders/>
          </w:tcPr>
          <w:p w14:paraId="5A9FC91A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 xml:space="preserve">small/ minute </w:t>
            </w:r>
          </w:p>
        </w:tc>
        <w:tc>
          <w:tcPr>
            <w:tcW w:w="3192" w:type="dxa"/>
            <w:tcBorders/>
          </w:tcPr>
          <w:p w14:paraId="3EF2D9A4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>microbiology, microscope</w:t>
            </w:r>
          </w:p>
        </w:tc>
      </w:tr>
      <w:tr w14:paraId="78B7C4EB">
        <w:tblPrEx/>
        <w:trPr/>
        <w:tc>
          <w:tcPr>
            <w:tcW w:w="3192" w:type="dxa"/>
            <w:tcBorders/>
          </w:tcPr>
          <w:p w14:paraId="21357208"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 -</w:t>
            </w:r>
          </w:p>
        </w:tc>
        <w:tc>
          <w:tcPr>
            <w:tcW w:w="3192" w:type="dxa"/>
            <w:tcBorders/>
          </w:tcPr>
          <w:p w14:paraId="1A6462D1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 xml:space="preserve">after/ following </w:t>
            </w:r>
          </w:p>
        </w:tc>
        <w:tc>
          <w:tcPr>
            <w:tcW w:w="3192" w:type="dxa"/>
            <w:tcBorders/>
          </w:tcPr>
          <w:p w14:paraId="182FB176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>postpone, postwar</w:t>
            </w:r>
          </w:p>
        </w:tc>
      </w:tr>
      <w:tr w14:paraId="3E55FB98">
        <w:tblPrEx/>
        <w:trPr/>
        <w:tc>
          <w:tcPr>
            <w:tcW w:w="3192" w:type="dxa"/>
            <w:tcBorders/>
          </w:tcPr>
          <w:p w14:paraId="3D0A6F65">
            <w:pPr>
              <w:pStyle w:val="style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hyper- </w:t>
            </w:r>
          </w:p>
        </w:tc>
        <w:tc>
          <w:tcPr>
            <w:tcW w:w="3192" w:type="dxa"/>
            <w:tcBorders/>
          </w:tcPr>
          <w:p w14:paraId="546051A1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 xml:space="preserve">over/ above/ excessive </w:t>
            </w:r>
          </w:p>
        </w:tc>
        <w:tc>
          <w:tcPr>
            <w:tcW w:w="3192" w:type="dxa"/>
            <w:tcBorders/>
          </w:tcPr>
          <w:p w14:paraId="0E286276">
            <w:pPr>
              <w:pStyle w:val="style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</w:rPr>
              <w:t>hyperactive, hyper</w:t>
            </w:r>
            <w:r>
              <w:rPr>
                <w:rFonts w:ascii="Times New Roman" w:cs="Times New Roman" w:hAnsi="Times New Roman"/>
                <w:sz w:val="32"/>
                <w:szCs w:val="32"/>
              </w:rPr>
              <w:t>tension</w:t>
            </w:r>
          </w:p>
        </w:tc>
      </w:tr>
    </w:tbl>
    <w:p w14:paraId="03A1CEF0">
      <w:pPr>
        <w:pStyle w:val="style0"/>
        <w:rPr>
          <w:rFonts w:ascii="Times New Roman" w:cs="Times New Roman" w:hAnsi="Times New Roman"/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005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5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Words>183</Words>
  <Pages>2</Pages>
  <Characters>1068</Characters>
  <Application>WPS Office</Application>
  <DocSecurity>0</DocSecurity>
  <Paragraphs>91</Paragraphs>
  <ScaleCrop>false</ScaleCrop>
  <Company>Microsoft</Company>
  <LinksUpToDate>false</LinksUpToDate>
  <CharactersWithSpaces>1212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2021-06-16T09:40:00Z</dcterms:created>
  <dc:creator>CEP StARS Maadi</dc:creator>
  <lastModifiedBy>RKY-LX2</lastModifiedBy>
  <dcterms:modified xsi:type="dcterms:W3CDTF">2026-09-05T14:26:16Z</dcterms:modified>
  <revision>21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a0d2443b5a674aea93004d5b1af98e60_23</vt:lpwstr>
  </property>
</Properties>
</file>