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val="0"/>
          <w:i w:val="0"/>
          <w:sz w:val="48"/>
        </w:rPr>
        <w:t>CodeStrike: A Three-Layer Security Benchmark</w:t>
        <w:br/>
        <w:t>for AI-Generated Web Applications</w:t>
      </w:r>
    </w:p>
    <w:p>
      <w:pPr>
        <w:spacing w:before="80" w:after="40"/>
        <w:jc w:val="center"/>
      </w:pPr>
      <w:r>
        <w:rPr>
          <w:rFonts w:ascii="Times New Roman" w:hAnsi="Times New Roman"/>
          <w:b/>
          <w:i w:val="0"/>
          <w:sz w:val="20"/>
        </w:rPr>
        <w:t>Deepansh Sharma</w:t>
      </w:r>
      <w:r>
        <w:br/>
      </w:r>
      <w:r>
        <w:rPr>
          <w:rFonts w:ascii="Times New Roman" w:hAnsi="Times New Roman"/>
          <w:b w:val="0"/>
          <w:i/>
          <w:sz w:val="18"/>
        </w:rPr>
        <w:t>Dept. of Computing Science</w:t>
      </w:r>
      <w:r>
        <w:br/>
      </w:r>
      <w:r>
        <w:rPr>
          <w:rFonts w:ascii="Times New Roman" w:hAnsi="Times New Roman"/>
          <w:b w:val="0"/>
          <w:i/>
          <w:sz w:val="18"/>
        </w:rPr>
        <w:t>Thompson Rivers University</w:t>
      </w:r>
      <w:r>
        <w:br/>
      </w:r>
      <w:r>
        <w:rPr>
          <w:rFonts w:ascii="Times New Roman" w:hAnsi="Times New Roman"/>
          <w:b w:val="0"/>
          <w:i/>
          <w:sz w:val="18"/>
        </w:rPr>
        <w:t>Kamloops, Canada</w:t>
      </w:r>
      <w:r>
        <w:br/>
      </w:r>
      <w:r>
        <w:rPr>
          <w:rFonts w:ascii="Times New Roman" w:hAnsi="Times New Roman"/>
          <w:b w:val="0"/>
          <w:i/>
          <w:sz w:val="18"/>
        </w:rPr>
        <w:t>deepansh.sharma@mytru.ca</w:t>
      </w:r>
    </w:p>
    <w:p>
      <w:pPr>
        <w:spacing w:before="40" w:after="20"/>
        <w:jc w:val="center"/>
      </w:pPr>
      <w:r>
        <w:rPr>
          <w:rFonts w:ascii="Times New Roman" w:hAnsi="Times New Roman"/>
          <w:b/>
          <w:i w:val="0"/>
          <w:sz w:val="20"/>
        </w:rPr>
        <w:t>Yaash Iyassu</w:t>
      </w:r>
      <w:r>
        <w:br/>
      </w:r>
      <w:r>
        <w:rPr>
          <w:rFonts w:ascii="Times New Roman" w:hAnsi="Times New Roman"/>
          <w:b w:val="0"/>
          <w:i/>
          <w:sz w:val="18"/>
        </w:rPr>
        <w:t>Dept. of Computing Science</w:t>
        <w:br/>
        <w:t>Thompson Rivers University</w:t>
        <w:br/>
        <w:t>Kamloops, Canada</w:t>
        <w:br/>
        <w:t>yaash.iyassu@mytru.ca</w:t>
      </w:r>
    </w:p>
    <w:p>
      <w:pPr>
        <w:spacing w:before="40" w:after="20"/>
        <w:jc w:val="center"/>
      </w:pPr>
      <w:r>
        <w:rPr>
          <w:rFonts w:ascii="Times New Roman" w:hAnsi="Times New Roman"/>
          <w:b/>
          <w:i w:val="0"/>
          <w:sz w:val="20"/>
        </w:rPr>
        <w:t>Ravinder Singh</w:t>
      </w:r>
      <w:r>
        <w:br/>
      </w:r>
      <w:r>
        <w:rPr>
          <w:rFonts w:ascii="Times New Roman" w:hAnsi="Times New Roman"/>
          <w:b w:val="0"/>
          <w:i/>
          <w:sz w:val="18"/>
        </w:rPr>
        <w:t>Dept. of Computing Science</w:t>
        <w:br/>
        <w:t>Thompson Rivers University</w:t>
        <w:br/>
        <w:t>Kamloops, Canada</w:t>
        <w:br/>
        <w:t>ravinder.singh@mytru.ca</w:t>
      </w:r>
    </w:p>
    <w:p>
      <w:pPr>
        <w:spacing w:before="40" w:after="20"/>
        <w:jc w:val="center"/>
      </w:pPr>
      <w:r>
        <w:rPr>
          <w:rFonts w:ascii="Times New Roman" w:hAnsi="Times New Roman"/>
          <w:b/>
          <w:i w:val="0"/>
          <w:sz w:val="20"/>
        </w:rPr>
        <w:t>Vansh Patel</w:t>
      </w:r>
      <w:r>
        <w:br/>
      </w:r>
      <w:r>
        <w:rPr>
          <w:rFonts w:ascii="Times New Roman" w:hAnsi="Times New Roman"/>
          <w:b w:val="0"/>
          <w:i/>
          <w:sz w:val="18"/>
        </w:rPr>
        <w:t>Dept. of Computing Science</w:t>
        <w:br/>
        <w:t>Thompson Rivers University</w:t>
        <w:br/>
        <w:t>Kamloops, Canada</w:t>
        <w:br/>
        <w:t>vansh.patel@mytru.ca</w:t>
      </w:r>
    </w:p>
    <w:p>
      <w:pPr>
        <w:spacing w:before="160" w:after="80"/>
        <w:ind w:firstLine="0"/>
      </w:pPr>
      <w:r>
        <w:rPr>
          <w:rFonts w:ascii="Times New Roman" w:hAnsi="Times New Roman"/>
          <w:b/>
          <w:i/>
          <w:sz w:val="18"/>
        </w:rPr>
        <w:t>Abstract—</w:t>
      </w:r>
      <w:r>
        <w:rPr>
          <w:rFonts w:ascii="Times New Roman" w:hAnsi="Times New Roman"/>
          <w:b w:val="0"/>
          <w:i/>
          <w:sz w:val="18"/>
        </w:rPr>
        <w:t>Large language models (LLMs) are increasingly used to generate production web application code, yet the security properties of this code remain poorly understood. This paper presents CodeStrike, an extended security benchmark that evaluates AI-generated web applications through a three-layer validation methodology: automated exploit testing, industry-standard OWASP ZAP scanning, and manual penetration testing. We tested 20 model configurations across 28 security-critical scenarios, 3 web frameworks, and 3 safety prompt levels, producing 3,686 test results. Our analysis reveals that fewer than 7% of AI-generated applications are both functional and free of detected vulnerabilities. Safety prompts have a dramatic effect: specific security instructions improve the secure pass rate from 0.0% to 21.0%, a finding with immediate practical implications. We further demonstrate that OWASP ZAP, the industry-standard dynamic application security testing (DAST) tool, achieves only 14.3% agreement with CodeStrike when scanning AI-generated JSON APIs. Manual penetration testing of 10 applications uncovered 47 vulnerabilities, of which CodeStrike's automated tests detected 11 (100% precision, 23.4% recall). These results establish that no single testing method is sufficient, and that layered security validation is essential for AI-generated code.</w:t>
      </w:r>
    </w:p>
    <w:p>
      <w:pPr>
        <w:spacing w:before="40" w:after="160"/>
      </w:pPr>
      <w:r>
        <w:rPr>
          <w:rFonts w:ascii="Times New Roman" w:hAnsi="Times New Roman"/>
          <w:b/>
          <w:i/>
          <w:sz w:val="18"/>
        </w:rPr>
        <w:t>Keywords—</w:t>
      </w:r>
      <w:r>
        <w:rPr>
          <w:rFonts w:ascii="Times New Roman" w:hAnsi="Times New Roman"/>
          <w:b w:val="0"/>
          <w:i/>
          <w:sz w:val="18"/>
        </w:rPr>
        <w:t>AI code security, large language models, penetration testing, OWASP, vulnerability detection, security benchmark</w:t>
      </w:r>
    </w:p>
    <w:p>
      <w:pPr>
        <w:spacing w:before="240" w:after="120"/>
        <w:jc w:val="center"/>
      </w:pPr>
      <w:r>
        <w:rPr>
          <w:rFonts w:ascii="Times New Roman" w:hAnsi="Times New Roman"/>
          <w:b w:val="0"/>
          <w:i w:val="0"/>
          <w:sz w:val="20"/>
          <w:smallCaps w:val="true"/>
        </w:rPr>
        <w:t>I. INTRODUCTION</w:t>
      </w:r>
    </w:p>
    <w:p>
      <w:pPr>
        <w:spacing w:before="0" w:after="40"/>
        <w:ind w:firstLine="283"/>
        <w:jc w:val="both"/>
      </w:pPr>
      <w:r>
        <w:rPr>
          <w:rFonts w:ascii="Times New Roman" w:hAnsi="Times New Roman"/>
          <w:b w:val="0"/>
          <w:i w:val="0"/>
          <w:sz w:val="20"/>
        </w:rPr>
        <w:t>The adoption of AI-assisted code generation has accelerated rapidly, with industry surveys indicating that 97% of developers use AI coding tools in some capacity [1]. Tools such as GitHub Copilot, ChatGPT, and Claude are now routinely used to generate complete web application backends, including authentication systems, database interactions, and API endpoints. However, the security implications of this practice remain a critical open question.</w:t>
      </w:r>
    </w:p>
    <w:p>
      <w:pPr>
        <w:spacing w:before="0" w:after="40"/>
        <w:ind w:firstLine="283"/>
        <w:jc w:val="both"/>
      </w:pPr>
      <w:r>
        <w:rPr>
          <w:rFonts w:ascii="Times New Roman" w:hAnsi="Times New Roman"/>
          <w:b w:val="0"/>
          <w:i w:val="0"/>
          <w:sz w:val="20"/>
        </w:rPr>
        <w:t>Prior work has demonstrated that AI-generated code frequently contains security vulnerabilities [2], [3]. The BaxBench framework [4] introduced the first systematic benchmark for evaluating the security of AI-generated web applications, testing 12 models across 28 scenarios. However, existing benchmarks rely exclusively on automated testing and lack validation against industry-standard tools or human expert assessment.</w:t>
      </w:r>
    </w:p>
    <w:p>
      <w:pPr>
        <w:spacing w:before="0" w:after="40"/>
        <w:ind w:firstLine="283"/>
        <w:jc w:val="both"/>
      </w:pPr>
      <w:r>
        <w:rPr>
          <w:rFonts w:ascii="Times New Roman" w:hAnsi="Times New Roman"/>
          <w:b w:val="0"/>
          <w:i w:val="0"/>
          <w:sz w:val="20"/>
        </w:rPr>
        <w:t>This paper presents CodeStrike, an extension of BaxBench that addresses three key limitations of prior work:</w:t>
      </w:r>
    </w:p>
    <w:p>
      <w:pPr>
        <w:spacing w:before="0" w:after="40"/>
        <w:ind w:firstLine="0"/>
        <w:jc w:val="both"/>
      </w:pPr>
      <w:r>
        <w:rPr>
          <w:rFonts w:ascii="Times New Roman" w:hAnsi="Times New Roman"/>
          <w:b w:val="0"/>
          <w:i w:val="0"/>
          <w:sz w:val="20"/>
        </w:rPr>
        <w:t>1) Coverage expansion: We extend vulnerability coverage from 23 to 38 CWE types, add 7 new OWASP 2025-aligned scenarios, and increase attack vector diversity (25 XSS vectors, 25 SQL injection vectors).</w:t>
      </w:r>
    </w:p>
    <w:p>
      <w:pPr>
        <w:spacing w:before="0" w:after="40"/>
        <w:ind w:firstLine="0"/>
        <w:jc w:val="both"/>
      </w:pPr>
      <w:r>
        <w:rPr>
          <w:rFonts w:ascii="Times New Roman" w:hAnsi="Times New Roman"/>
          <w:b w:val="0"/>
          <w:i w:val="0"/>
          <w:sz w:val="20"/>
        </w:rPr>
        <w:t>2) Three-layer validation: We introduce a systematic comparison of automated testing, OWASP ZAP scanning, and manual penetration testing to establish ground truth and measure each method's effectiveness.</w:t>
      </w:r>
    </w:p>
    <w:p>
      <w:pPr>
        <w:spacing w:before="0" w:after="40"/>
        <w:ind w:firstLine="0"/>
        <w:jc w:val="both"/>
      </w:pPr>
      <w:r>
        <w:rPr>
          <w:rFonts w:ascii="Times New Roman" w:hAnsi="Times New Roman"/>
          <w:b w:val="0"/>
          <w:i w:val="0"/>
          <w:sz w:val="20"/>
        </w:rPr>
        <w:t>3) Measurement correction: We identify and correct a critical measurement bug in the original benchmark where crashed applications were counted as "secure," inflating security rates by approximately 20x.</w:t>
      </w:r>
    </w:p>
    <w:p>
      <w:pPr>
        <w:spacing w:before="0" w:after="40"/>
        <w:ind w:firstLine="283"/>
        <w:jc w:val="both"/>
      </w:pPr>
      <w:r>
        <w:rPr>
          <w:rFonts w:ascii="Times New Roman" w:hAnsi="Times New Roman"/>
          <w:b w:val="0"/>
          <w:i w:val="0"/>
          <w:sz w:val="20"/>
        </w:rPr>
        <w:t>Our contributions include: (a) a comprehensive security evaluation of 20 AI model configurations producing 3,686 test results; (b) empirical evidence that specific safety prompts improve security pass rates from 0.0% to 21.0%; (c) demonstration that OWASP ZAP achieves only 14.3% agreement with targeted exploit testing on JSON APIs; and (d) a manual penetration testing validation showing 100% automated precision but only 23.4% recall.</w:t>
      </w:r>
    </w:p>
    <w:p>
      <w:pPr>
        <w:spacing w:before="0" w:after="40"/>
        <w:ind w:firstLine="283"/>
        <w:jc w:val="both"/>
      </w:pPr>
      <w:r>
        <w:rPr>
          <w:rFonts w:ascii="Times New Roman" w:hAnsi="Times New Roman"/>
          <w:b w:val="0"/>
          <w:i w:val="0"/>
          <w:sz w:val="20"/>
        </w:rPr>
        <w:t>The remainder of this paper is organized as follows: Section II reviews related work in AI code security and automated testing. Section III describes our methodology, including the three-layer validation approach. Section IV presents results and analysis. Section V discusses implications and limitations, and Section VI concludes with recommendations.</w:t>
      </w:r>
    </w:p>
    <w:p>
      <w:pPr>
        <w:spacing w:before="240" w:after="120"/>
        <w:jc w:val="center"/>
      </w:pPr>
      <w:r>
        <w:rPr>
          <w:rFonts w:ascii="Times New Roman" w:hAnsi="Times New Roman"/>
          <w:b w:val="0"/>
          <w:i w:val="0"/>
          <w:sz w:val="20"/>
          <w:smallCaps w:val="true"/>
        </w:rPr>
        <w:t>II. LITERATURE REVIEW</w:t>
      </w:r>
    </w:p>
    <w:p>
      <w:pPr>
        <w:spacing w:before="160" w:after="80"/>
        <w:ind w:firstLine="0"/>
      </w:pPr>
      <w:r>
        <w:rPr>
          <w:rFonts w:ascii="Times New Roman" w:hAnsi="Times New Roman"/>
          <w:b w:val="0"/>
          <w:i/>
          <w:sz w:val="20"/>
        </w:rPr>
        <w:t>A. Security of AI-Generated Code</w:t>
      </w:r>
    </w:p>
    <w:p>
      <w:pPr>
        <w:spacing w:before="0" w:after="40"/>
        <w:ind w:firstLine="283"/>
        <w:jc w:val="both"/>
      </w:pPr>
      <w:r>
        <w:rPr>
          <w:rFonts w:ascii="Times New Roman" w:hAnsi="Times New Roman"/>
          <w:b w:val="0"/>
          <w:i w:val="0"/>
          <w:sz w:val="20"/>
        </w:rPr>
        <w:t>The security risks of LLM-generated code have been the subject of growing academic scrutiny. Pearce et al. [2] conducted one of the first systematic studies, demonstrating that GitHub Copilot generates vulnerable code in approximately 40% of security-relevant scenarios. Their work examined 89 scenarios across three CWE categories and found that Copilot frequently produced code susceptible to SQL injection, path traversal, and cross-site scripting.</w:t>
      </w:r>
    </w:p>
    <w:p>
      <w:pPr>
        <w:spacing w:before="0" w:after="40"/>
        <w:ind w:firstLine="283"/>
        <w:jc w:val="both"/>
      </w:pPr>
      <w:r>
        <w:rPr>
          <w:rFonts w:ascii="Times New Roman" w:hAnsi="Times New Roman"/>
          <w:b w:val="0"/>
          <w:i w:val="0"/>
          <w:sz w:val="20"/>
        </w:rPr>
        <w:t>Perry et al. [3] extended this analysis with a controlled user study at Stanford University, finding that developers using AI assistants produced significantly less secure code than those coding without assistance, while paradoxically expressing greater confidence in their code's security. This finding underscores the danger of treating AI-generated code as trustworthy without systematic validation.</w:t>
      </w:r>
    </w:p>
    <w:p>
      <w:pPr>
        <w:spacing w:before="0" w:after="40"/>
        <w:ind w:firstLine="283"/>
        <w:jc w:val="both"/>
      </w:pPr>
      <w:r>
        <w:rPr>
          <w:rFonts w:ascii="Times New Roman" w:hAnsi="Times New Roman"/>
          <w:b w:val="0"/>
          <w:i w:val="0"/>
          <w:sz w:val="20"/>
        </w:rPr>
        <w:t>Meta's CyberSecEval [5] took a complementary approach, evaluating whether LLMs generate code that is outright malicious or insecure. Their benchmark tested multiple models and found that larger models were not necessarily more secure, with code generation insecurity rates varying from 15% to 35% depending on the model and programming language. CyberSecEval 2 [19] extended this with broader cybersecurity evaluation including prompt injection and code interpreter abuse.</w:t>
      </w:r>
    </w:p>
    <w:p>
      <w:pPr>
        <w:spacing w:before="160" w:after="80"/>
        <w:ind w:firstLine="0"/>
      </w:pPr>
      <w:r>
        <w:rPr>
          <w:rFonts w:ascii="Times New Roman" w:hAnsi="Times New Roman"/>
          <w:b w:val="0"/>
          <w:i/>
          <w:sz w:val="20"/>
        </w:rPr>
        <w:t>B. BaxBench and Code Security Benchmarking</w:t>
      </w:r>
    </w:p>
    <w:p>
      <w:pPr>
        <w:spacing w:before="0" w:after="40"/>
        <w:ind w:firstLine="283"/>
        <w:jc w:val="both"/>
      </w:pPr>
      <w:r>
        <w:rPr>
          <w:rFonts w:ascii="Times New Roman" w:hAnsi="Times New Roman"/>
          <w:b w:val="0"/>
          <w:i w:val="0"/>
          <w:sz w:val="20"/>
        </w:rPr>
        <w:t>He et al. [4] introduced BaxBench as the first comprehensive benchmark specifically designed for evaluating the security of AI-generated web applications. BaxBench generates complete applications from OpenAPI specifications, containerizes them in Docker, and runs automated exploit tests. The framework tests 28 real-world scenarios across three web frameworks (Python-Flask, JavaScript-Express, Go-Fiber) and monitors 23 CWE types. Their evaluation of 12 models found that even the best-performing models achieved security pass rates below 15%.</w:t>
      </w:r>
    </w:p>
    <w:p>
      <w:pPr>
        <w:spacing w:before="0" w:after="40"/>
        <w:ind w:firstLine="283"/>
        <w:jc w:val="both"/>
      </w:pPr>
      <w:r>
        <w:rPr>
          <w:rFonts w:ascii="Times New Roman" w:hAnsi="Times New Roman"/>
          <w:b w:val="0"/>
          <w:i w:val="0"/>
          <w:sz w:val="20"/>
        </w:rPr>
        <w:t>Our work extends BaxBench in several significant ways: we add 15 new CWE types (bringing the total to 38), introduce 7 new scenarios aligned with the OWASP Top 10 2025 [6], significantly expand attack vector diversity, add a SAST module for static code analysis, and implement the three-layer validation methodology described in Section III.</w:t>
      </w:r>
    </w:p>
    <w:p>
      <w:pPr>
        <w:spacing w:before="160" w:after="80"/>
        <w:ind w:firstLine="0"/>
      </w:pPr>
      <w:r>
        <w:rPr>
          <w:rFonts w:ascii="Times New Roman" w:hAnsi="Times New Roman"/>
          <w:b w:val="0"/>
          <w:i/>
          <w:sz w:val="20"/>
        </w:rPr>
        <w:t>C. OWASP ZAP and Dynamic Application Security Testing</w:t>
      </w:r>
    </w:p>
    <w:p>
      <w:pPr>
        <w:spacing w:before="0" w:after="40"/>
        <w:ind w:firstLine="283"/>
        <w:jc w:val="both"/>
      </w:pPr>
      <w:r>
        <w:rPr>
          <w:rFonts w:ascii="Times New Roman" w:hAnsi="Times New Roman"/>
          <w:b w:val="0"/>
          <w:i w:val="0"/>
          <w:sz w:val="20"/>
        </w:rPr>
        <w:t>OWASP ZAP (Zed Attack Proxy) is the most widely deployed open-source DAST tool, used by security teams worldwide for web application vulnerability assessment [7]. ZAP operates as a proxy between the tester and the target application, intercepting and modifying HTTP traffic to detect vulnerabilities. Its capabilities include passive scanning of HTTP responses, active scanning with attack payloads, and API scanning with OpenAPI specification import.</w:t>
      </w:r>
    </w:p>
    <w:p>
      <w:pPr>
        <w:spacing w:before="0" w:after="40"/>
        <w:ind w:firstLine="283"/>
        <w:jc w:val="both"/>
      </w:pPr>
      <w:r>
        <w:rPr>
          <w:rFonts w:ascii="Times New Roman" w:hAnsi="Times New Roman"/>
          <w:b w:val="0"/>
          <w:i w:val="0"/>
          <w:sz w:val="20"/>
        </w:rPr>
        <w:t>However, DAST tools have known limitations. Bau et al. [8] conducted a comparative study of web vulnerability scanners and found significant variation in detection rates, with no single scanner achieving comprehensive coverage. Doupé et al. [9] identified the "state-space" problem: scanners struggle with stateful applications that require specific sequences of actions to reach vulnerable code paths.</w:t>
      </w:r>
    </w:p>
    <w:p>
      <w:pPr>
        <w:spacing w:before="160" w:after="80"/>
        <w:ind w:firstLine="0"/>
      </w:pPr>
      <w:r>
        <w:rPr>
          <w:rFonts w:ascii="Times New Roman" w:hAnsi="Times New Roman"/>
          <w:b w:val="0"/>
          <w:i/>
          <w:sz w:val="20"/>
        </w:rPr>
        <w:t>D. Manual Penetration Testing Methodologies</w:t>
      </w:r>
    </w:p>
    <w:p>
      <w:pPr>
        <w:spacing w:before="0" w:after="40"/>
        <w:ind w:firstLine="283"/>
        <w:jc w:val="both"/>
      </w:pPr>
      <w:r>
        <w:rPr>
          <w:rFonts w:ascii="Times New Roman" w:hAnsi="Times New Roman"/>
          <w:b w:val="0"/>
          <w:i w:val="0"/>
          <w:sz w:val="20"/>
        </w:rPr>
        <w:t>The OWASP Web Security Testing Guide (WSTG) v4.2 [10] provides a comprehensive methodology for manual web application security testing, comprising 107 test cases organized into 12 categories. The Penetration Testing Execution Standard (PTES) [11] complements WSTG with a structured engagement framework. Research consistently demonstrates that manual penetration testing discovers vulnerabilities that automated tools miss. Doupé et al. [9] found that manual testing identified 2-5 times more vulnerabilities than automated scanners in web applications with complex business logic.</w:t>
      </w:r>
    </w:p>
    <w:p>
      <w:pPr>
        <w:spacing w:before="160" w:after="80"/>
        <w:ind w:firstLine="0"/>
      </w:pPr>
      <w:r>
        <w:rPr>
          <w:rFonts w:ascii="Times New Roman" w:hAnsi="Times New Roman"/>
          <w:b w:val="0"/>
          <w:i/>
          <w:sz w:val="20"/>
        </w:rPr>
        <w:t>E. Safety Prompts and Secure Code Generation</w:t>
      </w:r>
    </w:p>
    <w:p>
      <w:pPr>
        <w:spacing w:before="0" w:after="40"/>
        <w:ind w:firstLine="283"/>
        <w:jc w:val="both"/>
      </w:pPr>
      <w:r>
        <w:rPr>
          <w:rFonts w:ascii="Times New Roman" w:hAnsi="Times New Roman"/>
          <w:b w:val="0"/>
          <w:i w:val="0"/>
          <w:sz w:val="20"/>
        </w:rPr>
        <w:t>The impact of prompt engineering on code security has received limited attention. Tony et al. [13] explored whether explicitly instructing LLMs to write secure code improves outcomes, finding that security-focused prompts reduced vulnerability rates by 10-25% depending on the model and vulnerability type. Khoury et al. [18] evaluated ChatGPT-generated code security and found similar patterns of vulnerability introduction. Our work extends this analysis across 20 model configurations and three distinct safety prompt levels, providing the most comprehensive evaluation of safety prompt effectiveness to date.</w:t>
      </w:r>
    </w:p>
    <w:p>
      <w:pPr>
        <w:spacing w:before="160" w:after="80"/>
        <w:ind w:firstLine="0"/>
      </w:pPr>
      <w:r>
        <w:rPr>
          <w:rFonts w:ascii="Times New Roman" w:hAnsi="Times New Roman"/>
          <w:b w:val="0"/>
          <w:i/>
          <w:sz w:val="20"/>
        </w:rPr>
        <w:t>F. Static vs. Dynamic Analysis</w:t>
      </w:r>
    </w:p>
    <w:p>
      <w:pPr>
        <w:spacing w:before="0" w:after="40"/>
        <w:ind w:firstLine="283"/>
        <w:jc w:val="both"/>
      </w:pPr>
      <w:r>
        <w:rPr>
          <w:rFonts w:ascii="Times New Roman" w:hAnsi="Times New Roman"/>
          <w:b w:val="0"/>
          <w:i w:val="0"/>
          <w:sz w:val="20"/>
        </w:rPr>
        <w:t>Static application security testing (SAST) and dynamic application security testing (DAST) offer complementary perspectives on code security. Antunes and Vieira [14] compared penetration testing and static analysis for SQL injection detection in web services, finding that each method detected vulnerabilities missed by the other. Nunes et al. [15] benchmarked static analysis tools for web security and demonstrated that combining both approaches yields significantly higher detection rates than either method alone, supporting our multi-layer methodology.</w:t>
      </w:r>
    </w:p>
    <w:p>
      <w:pPr>
        <w:spacing w:before="240" w:after="120"/>
        <w:jc w:val="center"/>
      </w:pPr>
      <w:r>
        <w:rPr>
          <w:rFonts w:ascii="Times New Roman" w:hAnsi="Times New Roman"/>
          <w:b w:val="0"/>
          <w:i w:val="0"/>
          <w:sz w:val="20"/>
          <w:smallCaps w:val="true"/>
        </w:rPr>
        <w:t>III. METHODOLOGY</w:t>
      </w:r>
    </w:p>
    <w:p>
      <w:pPr>
        <w:spacing w:before="160" w:after="80"/>
        <w:ind w:firstLine="0"/>
      </w:pPr>
      <w:r>
        <w:rPr>
          <w:rFonts w:ascii="Times New Roman" w:hAnsi="Times New Roman"/>
          <w:b w:val="0"/>
          <w:i/>
          <w:sz w:val="20"/>
        </w:rPr>
        <w:t>A. Architecture Overview</w:t>
      </w:r>
    </w:p>
    <w:p>
      <w:pPr>
        <w:spacing w:before="0" w:after="40"/>
        <w:ind w:firstLine="283"/>
        <w:jc w:val="both"/>
      </w:pPr>
      <w:r>
        <w:rPr>
          <w:rFonts w:ascii="Times New Roman" w:hAnsi="Times New Roman"/>
          <w:b w:val="0"/>
          <w:i w:val="0"/>
          <w:sz w:val="20"/>
        </w:rPr>
        <w:t>CodeStrike follows a five-stage pipeline for each test case: (1) Prompt Construction: an OpenAPI specification describing the target application's endpoints, combined with an optional safety prompt, is sent to the target LLM. (2) Code Generation: the LLM generates a complete web application implementation at temperature 0.2 for reproducibility. (3) Containerization: generated code is packaged with framework dependencies into a Docker container with a 1GB memory limit and 60-second health check timeout. (4) Functional Testing: tests verify that the application correctly implements the specified API behavior. (5) Security Testing: three layers of security testing are applied to applications that pass functional tests.</w:t>
      </w:r>
    </w:p>
    <w:p>
      <w:pPr>
        <w:spacing w:before="160" w:after="80"/>
        <w:ind w:firstLine="0"/>
      </w:pPr>
      <w:r>
        <w:rPr>
          <w:rFonts w:ascii="Times New Roman" w:hAnsi="Times New Roman"/>
          <w:b w:val="0"/>
          <w:i/>
          <w:sz w:val="20"/>
        </w:rPr>
        <w:t>B. Security Testing Layers</w:t>
      </w:r>
    </w:p>
    <w:p>
      <w:pPr>
        <w:spacing w:before="0" w:after="40"/>
        <w:ind w:firstLine="283"/>
        <w:jc w:val="both"/>
      </w:pPr>
      <w:r>
        <w:rPr>
          <w:rFonts w:ascii="Times New Roman" w:hAnsi="Times New Roman"/>
          <w:b w:val="0"/>
          <w:i w:val="0"/>
          <w:sz w:val="20"/>
        </w:rPr>
        <w:t>Layer 1: CodeStrike Automated Testing. The automated layer comprises three testing categories. Dynamic exploit tests send real HTTP attack payloads to the running application, including 25 XSS vectors, 25 SQL injection vectors, 12 OS command injection payloads, 22 path traversal variants, and 10 SSRF vectors. Universal security checks test for security headers (X-Content-Type-Options, X-Frame-Options, Content-Security-Policy), session cookie flags, CORS configuration, error information leakage, and rate limiting. Static analysis (SAST) performs regex-based source code scanning for dangerous patterns including eval(), exec(), weak cryptographic functions, weak PRNGs, and unsafe deserialization.</w:t>
      </w:r>
    </w:p>
    <w:p>
      <w:pPr>
        <w:spacing w:before="0" w:after="40"/>
        <w:ind w:firstLine="283"/>
        <w:jc w:val="both"/>
      </w:pPr>
      <w:r>
        <w:rPr>
          <w:rFonts w:ascii="Times New Roman" w:hAnsi="Times New Roman"/>
          <w:b w:val="0"/>
          <w:i w:val="0"/>
          <w:sz w:val="20"/>
        </w:rPr>
        <w:t>Layer 2: OWASP ZAP Scanning. We scanned 50 applications using OWASP ZAP in three modes: baseline scan (passive analysis of HTTP headers), full scan (active scanning with all 56 attack rules), and API scan (active scanning with OpenAPI specification imported).</w:t>
      </w:r>
    </w:p>
    <w:p>
      <w:pPr>
        <w:spacing w:before="0" w:after="40"/>
        <w:ind w:firstLine="283"/>
        <w:jc w:val="both"/>
      </w:pPr>
      <w:r>
        <w:rPr>
          <w:rFonts w:ascii="Times New Roman" w:hAnsi="Times New Roman"/>
          <w:b w:val="0"/>
          <w:i w:val="0"/>
          <w:sz w:val="20"/>
        </w:rPr>
        <w:t>Layer 3: Manual Penetration Testing. Two testers conducted manual security assessments of 10 applications over three days (April 4-6, 2026), following the OWASP WSTG v4.2 methodology [10]. Each session lasted approximately 30 minutes and followed a structured process: application launch and reconnaissance (5 min), OWASP ZAP automated scan (5 min), source code review (5 min), manual exploit testing against a 24-item OWASP WSTG checklist (15 min), and evidence collection and classification (5 min).</w:t>
      </w:r>
    </w:p>
    <w:p>
      <w:pPr>
        <w:spacing w:before="0" w:after="40"/>
        <w:ind w:firstLine="283"/>
        <w:jc w:val="both"/>
      </w:pPr>
      <w:r>
        <w:rPr>
          <w:rFonts w:ascii="Times New Roman" w:hAnsi="Times New Roman"/>
          <w:b w:val="0"/>
          <w:i w:val="0"/>
          <w:sz w:val="20"/>
        </w:rPr>
        <w:t>The 24-item checklist covered five categories: universal checks (6 items), authentication checks (6 items), business logic checks (5 items), file handling checks (4 items), and external input checks (3 items). Applications were selected to maximize coverage across 6 model configurations, 3 frameworks, and 10 distinct scenarios.</w:t>
      </w:r>
    </w:p>
    <w:p>
      <w:pPr>
        <w:spacing w:before="160" w:after="80"/>
        <w:ind w:firstLine="0"/>
      </w:pPr>
      <w:r>
        <w:rPr>
          <w:rFonts w:ascii="Times New Roman" w:hAnsi="Times New Roman"/>
          <w:b w:val="0"/>
          <w:i/>
          <w:sz w:val="20"/>
        </w:rPr>
        <w:t>C. Metrics</w:t>
      </w:r>
    </w:p>
    <w:p>
      <w:pPr>
        <w:spacing w:before="0" w:after="40"/>
        <w:ind w:firstLine="283"/>
        <w:jc w:val="both"/>
      </w:pPr>
      <w:r>
        <w:rPr>
          <w:rFonts w:ascii="Times New Roman" w:hAnsi="Times New Roman"/>
          <w:b w:val="0"/>
          <w:i w:val="0"/>
          <w:sz w:val="20"/>
        </w:rPr>
        <w:t>We define three metrics for evaluating AI-generated code security. pass@1 measures the proportion of generated applications that pass all functional tests (functional_passes / total_results). sec_pass@1 measures the proportion that are both functional and free of detected vulnerabilities. true_sec@1 is a stricter metric excluding "secure by crash" applications that pass security tests only because they crash before vulnerable code paths are reached.</w:t>
      </w:r>
    </w:p>
    <w:p>
      <w:pPr>
        <w:spacing w:before="160" w:after="80"/>
        <w:ind w:firstLine="0"/>
      </w:pPr>
      <w:r>
        <w:rPr>
          <w:rFonts w:ascii="Times New Roman" w:hAnsi="Times New Roman"/>
          <w:b w:val="0"/>
          <w:i/>
          <w:sz w:val="20"/>
        </w:rPr>
        <w:t>D. Experimental Setup</w:t>
      </w:r>
    </w:p>
    <w:p>
      <w:pPr>
        <w:spacing w:before="0" w:after="40"/>
        <w:ind w:firstLine="283"/>
        <w:jc w:val="both"/>
      </w:pPr>
      <w:r>
        <w:rPr>
          <w:rFonts w:ascii="Times New Roman" w:hAnsi="Times New Roman"/>
          <w:b w:val="0"/>
          <w:i w:val="0"/>
          <w:sz w:val="20"/>
        </w:rPr>
        <w:t>We evaluated 20 model configurations: Claude Opus 4, 4.1, and 4.6 (standard and thinking variants), Claude Sonnet 4, 4.5, and 4.6 (standard and thinking), Claude Haiku 4.5, DeepSeek Coder 6.7B (via Ollama), and Meta LLaMA 3.3 70B (via OpenRouter). Each configuration was tested across 28 scenarios, 3 frameworks, and 3 safety prompt levels with one sample per combination.</w:t>
      </w:r>
    </w:p>
    <w:p>
      <w:pPr>
        <w:spacing w:before="0" w:after="40"/>
        <w:ind w:firstLine="283"/>
        <w:jc w:val="both"/>
      </w:pPr>
      <w:r>
        <w:rPr>
          <w:rFonts w:ascii="Times New Roman" w:hAnsi="Times New Roman"/>
          <w:b w:val="0"/>
          <w:i w:val="0"/>
          <w:sz w:val="20"/>
        </w:rPr>
        <w:t>Safety prompt levels were: None (no security instructions), Generic ("follow security best practices"), and Specific (detailed vulnerability-aware instructions listing specific mitigations such as parameterized queries, input sanitization, CSRF tokens, and framework-specific security libraries).</w:t>
      </w:r>
    </w:p>
    <w:p>
      <w:pPr>
        <w:spacing w:before="240" w:after="120"/>
        <w:jc w:val="center"/>
      </w:pPr>
      <w:r>
        <w:rPr>
          <w:rFonts w:ascii="Times New Roman" w:hAnsi="Times New Roman"/>
          <w:b w:val="0"/>
          <w:i w:val="0"/>
          <w:sz w:val="20"/>
          <w:smallCaps w:val="true"/>
        </w:rPr>
        <w:t>IV. RESULTS AND DISCUSSION</w:t>
      </w:r>
    </w:p>
    <w:p>
      <w:pPr>
        <w:spacing w:before="160" w:after="80"/>
        <w:ind w:firstLine="0"/>
      </w:pPr>
      <w:r>
        <w:rPr>
          <w:rFonts w:ascii="Times New Roman" w:hAnsi="Times New Roman"/>
          <w:b w:val="0"/>
          <w:i/>
          <w:sz w:val="20"/>
        </w:rPr>
        <w:t>A. Overall Security Assessment</w:t>
      </w:r>
    </w:p>
    <w:p>
      <w:pPr>
        <w:spacing w:before="120" w:after="40"/>
        <w:jc w:val="center"/>
      </w:pPr>
      <w:r>
        <w:rPr>
          <w:rFonts w:ascii="Times New Roman" w:hAnsi="Times New Roman"/>
          <w:b w:val="0"/>
          <w:i w:val="0"/>
          <w:sz w:val="16"/>
          <w:smallCaps w:val="true"/>
        </w:rPr>
        <w:t>TABLE I. AGGREGATE BENCHMARK RESULTS</w:t>
      </w:r>
    </w:p>
    <w:tbl>
      <w:tblPr>
        <w:tblW w:type="auto" w:w="0"/>
        <w:jc w:val="center"/>
        <w:tblLayout w:type="autofit"/>
        <w:tblLook w:firstColumn="1" w:firstRow="1" w:lastColumn="0" w:lastRow="0" w:noHBand="0" w:noVBand="1" w:val="04A0"/>
      </w:tblPr>
      <w:tblGrid>
        <w:gridCol w:w="5063"/>
        <w:gridCol w:w="5063"/>
      </w:tblGrid>
      <w:tr>
        <w:tc>
          <w:tcPr>
            <w:tcW w:type="dxa" w:w="5063"/>
          </w:tcPr>
          <w:p>
            <w:pPr>
              <w:jc w:val="center"/>
            </w:pPr>
            <w:r/>
            <w:r>
              <w:rPr>
                <w:rFonts w:ascii="Times New Roman" w:hAnsi="Times New Roman"/>
                <w:b/>
                <w:i w:val="0"/>
                <w:sz w:val="16"/>
              </w:rPr>
              <w:t>Metric</w:t>
            </w:r>
          </w:p>
        </w:tc>
        <w:tc>
          <w:tcPr>
            <w:tcW w:type="dxa" w:w="5063"/>
          </w:tcPr>
          <w:p>
            <w:pPr>
              <w:jc w:val="center"/>
            </w:pPr>
            <w:r/>
            <w:r>
              <w:rPr>
                <w:rFonts w:ascii="Times New Roman" w:hAnsi="Times New Roman"/>
                <w:b/>
                <w:i w:val="0"/>
                <w:sz w:val="16"/>
              </w:rPr>
              <w:t>Value</w:t>
            </w:r>
          </w:p>
        </w:tc>
      </w:tr>
      <w:tr>
        <w:tc>
          <w:tcPr>
            <w:tcW w:type="dxa" w:w="5063"/>
          </w:tcPr>
          <w:p>
            <w:pPr>
              <w:jc w:val="center"/>
            </w:pPr>
            <w:r/>
            <w:r>
              <w:rPr>
                <w:rFonts w:ascii="Times New Roman" w:hAnsi="Times New Roman"/>
                <w:b w:val="0"/>
                <w:i w:val="0"/>
                <w:sz w:val="16"/>
              </w:rPr>
              <w:t>Total test results</w:t>
            </w:r>
          </w:p>
        </w:tc>
        <w:tc>
          <w:tcPr>
            <w:tcW w:type="dxa" w:w="5063"/>
          </w:tcPr>
          <w:p>
            <w:pPr>
              <w:jc w:val="center"/>
            </w:pPr>
            <w:r/>
            <w:r>
              <w:rPr>
                <w:rFonts w:ascii="Times New Roman" w:hAnsi="Times New Roman"/>
                <w:b w:val="0"/>
                <w:i w:val="0"/>
                <w:sz w:val="16"/>
              </w:rPr>
              <w:t>3,686</w:t>
            </w:r>
          </w:p>
        </w:tc>
      </w:tr>
      <w:tr>
        <w:tc>
          <w:tcPr>
            <w:tcW w:type="dxa" w:w="5063"/>
          </w:tcPr>
          <w:p>
            <w:pPr>
              <w:jc w:val="center"/>
            </w:pPr>
            <w:r/>
            <w:r>
              <w:rPr>
                <w:rFonts w:ascii="Times New Roman" w:hAnsi="Times New Roman"/>
                <w:b w:val="0"/>
                <w:i w:val="0"/>
                <w:sz w:val="16"/>
              </w:rPr>
              <w:t>Model configurations</w:t>
            </w:r>
          </w:p>
        </w:tc>
        <w:tc>
          <w:tcPr>
            <w:tcW w:type="dxa" w:w="5063"/>
          </w:tcPr>
          <w:p>
            <w:pPr>
              <w:jc w:val="center"/>
            </w:pPr>
            <w:r/>
            <w:r>
              <w:rPr>
                <w:rFonts w:ascii="Times New Roman" w:hAnsi="Times New Roman"/>
                <w:b w:val="0"/>
                <w:i w:val="0"/>
                <w:sz w:val="16"/>
              </w:rPr>
              <w:t>20</w:t>
            </w:r>
          </w:p>
        </w:tc>
      </w:tr>
      <w:tr>
        <w:tc>
          <w:tcPr>
            <w:tcW w:type="dxa" w:w="5063"/>
          </w:tcPr>
          <w:p>
            <w:pPr>
              <w:jc w:val="center"/>
            </w:pPr>
            <w:r/>
            <w:r>
              <w:rPr>
                <w:rFonts w:ascii="Times New Roman" w:hAnsi="Times New Roman"/>
                <w:b w:val="0"/>
                <w:i w:val="0"/>
                <w:sz w:val="16"/>
              </w:rPr>
              <w:t>Functional pass rate (pass@1)</w:t>
            </w:r>
          </w:p>
        </w:tc>
        <w:tc>
          <w:tcPr>
            <w:tcW w:type="dxa" w:w="5063"/>
          </w:tcPr>
          <w:p>
            <w:pPr>
              <w:jc w:val="center"/>
            </w:pPr>
            <w:r/>
            <w:r>
              <w:rPr>
                <w:rFonts w:ascii="Times New Roman" w:hAnsi="Times New Roman"/>
                <w:b w:val="0"/>
                <w:i w:val="0"/>
                <w:sz w:val="16"/>
              </w:rPr>
              <w:t>45.6%</w:t>
            </w:r>
          </w:p>
        </w:tc>
      </w:tr>
      <w:tr>
        <w:tc>
          <w:tcPr>
            <w:tcW w:type="dxa" w:w="5063"/>
          </w:tcPr>
          <w:p>
            <w:pPr>
              <w:jc w:val="center"/>
            </w:pPr>
            <w:r/>
            <w:r>
              <w:rPr>
                <w:rFonts w:ascii="Times New Roman" w:hAnsi="Times New Roman"/>
                <w:b w:val="0"/>
                <w:i w:val="0"/>
                <w:sz w:val="16"/>
              </w:rPr>
              <w:t>Secure pass rate (sec_pass@1)</w:t>
            </w:r>
          </w:p>
        </w:tc>
        <w:tc>
          <w:tcPr>
            <w:tcW w:type="dxa" w:w="5063"/>
          </w:tcPr>
          <w:p>
            <w:pPr>
              <w:jc w:val="center"/>
            </w:pPr>
            <w:r/>
            <w:r>
              <w:rPr>
                <w:rFonts w:ascii="Times New Roman" w:hAnsi="Times New Roman"/>
                <w:b w:val="0"/>
                <w:i w:val="0"/>
                <w:sz w:val="16"/>
              </w:rPr>
              <w:t>6.7%</w:t>
            </w:r>
          </w:p>
        </w:tc>
      </w:tr>
      <w:tr>
        <w:tc>
          <w:tcPr>
            <w:tcW w:type="dxa" w:w="5063"/>
          </w:tcPr>
          <w:p>
            <w:pPr>
              <w:jc w:val="center"/>
            </w:pPr>
            <w:r/>
            <w:r>
              <w:rPr>
                <w:rFonts w:ascii="Times New Roman" w:hAnsi="Times New Roman"/>
                <w:b w:val="0"/>
                <w:i w:val="0"/>
                <w:sz w:val="16"/>
              </w:rPr>
              <w:t>True secure rate (true_sec@1)</w:t>
            </w:r>
          </w:p>
        </w:tc>
        <w:tc>
          <w:tcPr>
            <w:tcW w:type="dxa" w:w="5063"/>
          </w:tcPr>
          <w:p>
            <w:pPr>
              <w:jc w:val="center"/>
            </w:pPr>
            <w:r/>
            <w:r>
              <w:rPr>
                <w:rFonts w:ascii="Times New Roman" w:hAnsi="Times New Roman"/>
                <w:b w:val="0"/>
                <w:i w:val="0"/>
                <w:sz w:val="16"/>
              </w:rPr>
              <w:t>6.3%</w:t>
            </w:r>
          </w:p>
        </w:tc>
      </w:tr>
      <w:tr>
        <w:tc>
          <w:tcPr>
            <w:tcW w:type="dxa" w:w="5063"/>
          </w:tcPr>
          <w:p>
            <w:pPr>
              <w:jc w:val="center"/>
            </w:pPr>
            <w:r/>
            <w:r>
              <w:rPr>
                <w:rFonts w:ascii="Times New Roman" w:hAnsi="Times New Roman"/>
                <w:b w:val="0"/>
                <w:i w:val="0"/>
                <w:sz w:val="16"/>
              </w:rPr>
              <w:t>Total CWE occurrences</w:t>
            </w:r>
          </w:p>
        </w:tc>
        <w:tc>
          <w:tcPr>
            <w:tcW w:type="dxa" w:w="5063"/>
          </w:tcPr>
          <w:p>
            <w:pPr>
              <w:jc w:val="center"/>
            </w:pPr>
            <w:r/>
            <w:r>
              <w:rPr>
                <w:rFonts w:ascii="Times New Roman" w:hAnsi="Times New Roman"/>
                <w:b w:val="0"/>
                <w:i w:val="0"/>
                <w:sz w:val="16"/>
              </w:rPr>
              <w:t>3,108</w:t>
            </w:r>
          </w:p>
        </w:tc>
      </w:tr>
      <w:tr>
        <w:tc>
          <w:tcPr>
            <w:tcW w:type="dxa" w:w="5063"/>
          </w:tcPr>
          <w:p>
            <w:pPr>
              <w:jc w:val="center"/>
            </w:pPr>
            <w:r/>
            <w:r>
              <w:rPr>
                <w:rFonts w:ascii="Times New Roman" w:hAnsi="Times New Roman"/>
                <w:b w:val="0"/>
                <w:i w:val="0"/>
                <w:sz w:val="16"/>
              </w:rPr>
              <w:t>Unique CWE types detected</w:t>
            </w:r>
          </w:p>
        </w:tc>
        <w:tc>
          <w:tcPr>
            <w:tcW w:type="dxa" w:w="5063"/>
          </w:tcPr>
          <w:p>
            <w:pPr>
              <w:jc w:val="center"/>
            </w:pPr>
            <w:r/>
            <w:r>
              <w:rPr>
                <w:rFonts w:ascii="Times New Roman" w:hAnsi="Times New Roman"/>
                <w:b w:val="0"/>
                <w:i w:val="0"/>
                <w:sz w:val="16"/>
              </w:rPr>
              <w:t>14</w:t>
            </w:r>
          </w:p>
        </w:tc>
      </w:tr>
    </w:tbl>
    <w:p>
      <w:pPr>
        <w:spacing w:before="80" w:after="40"/>
      </w:pPr>
    </w:p>
    <w:p>
      <w:pPr>
        <w:spacing w:before="0" w:after="40"/>
        <w:ind w:firstLine="283"/>
        <w:jc w:val="both"/>
      </w:pPr>
      <w:r>
        <w:rPr>
          <w:rFonts w:ascii="Times New Roman" w:hAnsi="Times New Roman"/>
          <w:b w:val="0"/>
          <w:i w:val="0"/>
          <w:sz w:val="20"/>
        </w:rPr>
        <w:t>Of 3,686 generated applications, only 1,679 (45.6%) passed functional tests, indicating that more than half of AI-generated code does not even work correctly. Of the functional applications, only 248 (14.8% of functional, 6.7% of total) were free of detected vulnerabilities. The true secure rate, excluding applications that passed security tests due to crashes, was 6.3%.</w:t>
      </w:r>
    </w:p>
    <w:p>
      <w:pPr>
        <w:spacing w:before="160" w:after="80"/>
        <w:ind w:firstLine="0"/>
      </w:pPr>
      <w:r>
        <w:rPr>
          <w:rFonts w:ascii="Times New Roman" w:hAnsi="Times New Roman"/>
          <w:b w:val="0"/>
          <w:i/>
          <w:sz w:val="20"/>
        </w:rPr>
        <w:t>B. Model Comparison</w:t>
      </w:r>
    </w:p>
    <w:p>
      <w:pPr>
        <w:spacing w:before="120" w:after="40"/>
        <w:jc w:val="center"/>
      </w:pPr>
      <w:r>
        <w:rPr>
          <w:rFonts w:ascii="Times New Roman" w:hAnsi="Times New Roman"/>
          <w:b w:val="0"/>
          <w:i w:val="0"/>
          <w:sz w:val="16"/>
          <w:smallCaps w:val="true"/>
        </w:rPr>
        <w:t>TABLE II. TOP 5 MODEL CONFIGURATIONS BY sec_pass@1</w:t>
      </w:r>
    </w:p>
    <w:tbl>
      <w:tblPr>
        <w:tblW w:type="auto" w:w="0"/>
        <w:jc w:val="center"/>
        <w:tblLayout w:type="autofit"/>
        <w:tblLook w:firstColumn="1" w:firstRow="1" w:lastColumn="0" w:lastRow="0" w:noHBand="0" w:noVBand="1" w:val="04A0"/>
      </w:tblPr>
      <w:tblGrid>
        <w:gridCol w:w="3375"/>
        <w:gridCol w:w="3375"/>
        <w:gridCol w:w="3375"/>
      </w:tblGrid>
      <w:tr>
        <w:tc>
          <w:tcPr>
            <w:tcW w:type="dxa" w:w="3375"/>
          </w:tcPr>
          <w:p>
            <w:pPr>
              <w:jc w:val="center"/>
            </w:pPr>
            <w:r/>
            <w:r>
              <w:rPr>
                <w:rFonts w:ascii="Times New Roman" w:hAnsi="Times New Roman"/>
                <w:b/>
                <w:i w:val="0"/>
                <w:sz w:val="16"/>
              </w:rPr>
              <w:t>Model Configuration</w:t>
            </w:r>
          </w:p>
        </w:tc>
        <w:tc>
          <w:tcPr>
            <w:tcW w:type="dxa" w:w="3375"/>
          </w:tcPr>
          <w:p>
            <w:pPr>
              <w:jc w:val="center"/>
            </w:pPr>
            <w:r/>
            <w:r>
              <w:rPr>
                <w:rFonts w:ascii="Times New Roman" w:hAnsi="Times New Roman"/>
                <w:b/>
                <w:i w:val="0"/>
                <w:sz w:val="16"/>
              </w:rPr>
              <w:t>pass@1</w:t>
            </w:r>
          </w:p>
        </w:tc>
        <w:tc>
          <w:tcPr>
            <w:tcW w:type="dxa" w:w="3375"/>
          </w:tcPr>
          <w:p>
            <w:pPr>
              <w:jc w:val="center"/>
            </w:pPr>
            <w:r/>
            <w:r>
              <w:rPr>
                <w:rFonts w:ascii="Times New Roman" w:hAnsi="Times New Roman"/>
                <w:b/>
                <w:i w:val="0"/>
                <w:sz w:val="16"/>
              </w:rPr>
              <w:t>sec_pass@1</w:t>
            </w:r>
          </w:p>
        </w:tc>
      </w:tr>
      <w:tr>
        <w:tc>
          <w:tcPr>
            <w:tcW w:type="dxa" w:w="3375"/>
          </w:tcPr>
          <w:p>
            <w:pPr>
              <w:jc w:val="center"/>
            </w:pPr>
            <w:r/>
            <w:r>
              <w:rPr>
                <w:rFonts w:ascii="Times New Roman" w:hAnsi="Times New Roman"/>
                <w:b w:val="0"/>
                <w:i w:val="0"/>
                <w:sz w:val="16"/>
              </w:rPr>
              <w:t>opus-4.1-thinking</w:t>
            </w:r>
          </w:p>
        </w:tc>
        <w:tc>
          <w:tcPr>
            <w:tcW w:type="dxa" w:w="3375"/>
          </w:tcPr>
          <w:p>
            <w:pPr>
              <w:jc w:val="center"/>
            </w:pPr>
            <w:r/>
            <w:r>
              <w:rPr>
                <w:rFonts w:ascii="Times New Roman" w:hAnsi="Times New Roman"/>
                <w:b w:val="0"/>
                <w:i w:val="0"/>
                <w:sz w:val="16"/>
              </w:rPr>
              <w:t>73.0%</w:t>
            </w:r>
          </w:p>
        </w:tc>
        <w:tc>
          <w:tcPr>
            <w:tcW w:type="dxa" w:w="3375"/>
          </w:tcPr>
          <w:p>
            <w:pPr>
              <w:jc w:val="center"/>
            </w:pPr>
            <w:r/>
            <w:r>
              <w:rPr>
                <w:rFonts w:ascii="Times New Roman" w:hAnsi="Times New Roman"/>
                <w:b w:val="0"/>
                <w:i w:val="0"/>
                <w:sz w:val="16"/>
              </w:rPr>
              <w:t>14.3%</w:t>
            </w:r>
          </w:p>
        </w:tc>
      </w:tr>
      <w:tr>
        <w:tc>
          <w:tcPr>
            <w:tcW w:type="dxa" w:w="3375"/>
          </w:tcPr>
          <w:p>
            <w:pPr>
              <w:jc w:val="center"/>
            </w:pPr>
            <w:r/>
            <w:r>
              <w:rPr>
                <w:rFonts w:ascii="Times New Roman" w:hAnsi="Times New Roman"/>
                <w:b w:val="0"/>
                <w:i w:val="0"/>
                <w:sz w:val="16"/>
              </w:rPr>
              <w:t>sonnet-4.6-thinking</w:t>
            </w:r>
          </w:p>
        </w:tc>
        <w:tc>
          <w:tcPr>
            <w:tcW w:type="dxa" w:w="3375"/>
          </w:tcPr>
          <w:p>
            <w:pPr>
              <w:jc w:val="center"/>
            </w:pPr>
            <w:r/>
            <w:r>
              <w:rPr>
                <w:rFonts w:ascii="Times New Roman" w:hAnsi="Times New Roman"/>
                <w:b w:val="0"/>
                <w:i w:val="0"/>
                <w:sz w:val="16"/>
              </w:rPr>
              <w:t>73.0%</w:t>
            </w:r>
          </w:p>
        </w:tc>
        <w:tc>
          <w:tcPr>
            <w:tcW w:type="dxa" w:w="3375"/>
          </w:tcPr>
          <w:p>
            <w:pPr>
              <w:jc w:val="center"/>
            </w:pPr>
            <w:r/>
            <w:r>
              <w:rPr>
                <w:rFonts w:ascii="Times New Roman" w:hAnsi="Times New Roman"/>
                <w:b w:val="0"/>
                <w:i w:val="0"/>
                <w:sz w:val="16"/>
              </w:rPr>
              <w:t>11.5%</w:t>
            </w:r>
          </w:p>
        </w:tc>
      </w:tr>
      <w:tr>
        <w:tc>
          <w:tcPr>
            <w:tcW w:type="dxa" w:w="3375"/>
          </w:tcPr>
          <w:p>
            <w:pPr>
              <w:jc w:val="center"/>
            </w:pPr>
            <w:r/>
            <w:r>
              <w:rPr>
                <w:rFonts w:ascii="Times New Roman" w:hAnsi="Times New Roman"/>
                <w:b w:val="0"/>
                <w:i w:val="0"/>
                <w:sz w:val="16"/>
              </w:rPr>
              <w:t>haiku-4.5-standard</w:t>
            </w:r>
          </w:p>
        </w:tc>
        <w:tc>
          <w:tcPr>
            <w:tcW w:type="dxa" w:w="3375"/>
          </w:tcPr>
          <w:p>
            <w:pPr>
              <w:jc w:val="center"/>
            </w:pPr>
            <w:r/>
            <w:r>
              <w:rPr>
                <w:rFonts w:ascii="Times New Roman" w:hAnsi="Times New Roman"/>
                <w:b w:val="0"/>
                <w:i w:val="0"/>
                <w:sz w:val="16"/>
              </w:rPr>
              <w:t>57.5%</w:t>
            </w:r>
          </w:p>
        </w:tc>
        <w:tc>
          <w:tcPr>
            <w:tcW w:type="dxa" w:w="3375"/>
          </w:tcPr>
          <w:p>
            <w:pPr>
              <w:jc w:val="center"/>
            </w:pPr>
            <w:r/>
            <w:r>
              <w:rPr>
                <w:rFonts w:ascii="Times New Roman" w:hAnsi="Times New Roman"/>
                <w:b w:val="0"/>
                <w:i w:val="0"/>
                <w:sz w:val="16"/>
              </w:rPr>
              <w:t>10.7%</w:t>
            </w:r>
          </w:p>
        </w:tc>
      </w:tr>
      <w:tr>
        <w:tc>
          <w:tcPr>
            <w:tcW w:type="dxa" w:w="3375"/>
          </w:tcPr>
          <w:p>
            <w:pPr>
              <w:jc w:val="center"/>
            </w:pPr>
            <w:r/>
            <w:r>
              <w:rPr>
                <w:rFonts w:ascii="Times New Roman" w:hAnsi="Times New Roman"/>
                <w:b w:val="0"/>
                <w:i w:val="0"/>
                <w:sz w:val="16"/>
              </w:rPr>
              <w:t>opus-4.1-standard</w:t>
            </w:r>
          </w:p>
        </w:tc>
        <w:tc>
          <w:tcPr>
            <w:tcW w:type="dxa" w:w="3375"/>
          </w:tcPr>
          <w:p>
            <w:pPr>
              <w:jc w:val="center"/>
            </w:pPr>
            <w:r/>
            <w:r>
              <w:rPr>
                <w:rFonts w:ascii="Times New Roman" w:hAnsi="Times New Roman"/>
                <w:b w:val="0"/>
                <w:i w:val="0"/>
                <w:sz w:val="16"/>
              </w:rPr>
              <w:t>63.1%</w:t>
            </w:r>
          </w:p>
        </w:tc>
        <w:tc>
          <w:tcPr>
            <w:tcW w:type="dxa" w:w="3375"/>
          </w:tcPr>
          <w:p>
            <w:pPr>
              <w:jc w:val="center"/>
            </w:pPr>
            <w:r/>
            <w:r>
              <w:rPr>
                <w:rFonts w:ascii="Times New Roman" w:hAnsi="Times New Roman"/>
                <w:b w:val="0"/>
                <w:i w:val="0"/>
                <w:sz w:val="16"/>
              </w:rPr>
              <w:t>9.5%</w:t>
            </w:r>
          </w:p>
        </w:tc>
      </w:tr>
      <w:tr>
        <w:tc>
          <w:tcPr>
            <w:tcW w:type="dxa" w:w="3375"/>
          </w:tcPr>
          <w:p>
            <w:pPr>
              <w:jc w:val="center"/>
            </w:pPr>
            <w:r/>
            <w:r>
              <w:rPr>
                <w:rFonts w:ascii="Times New Roman" w:hAnsi="Times New Roman"/>
                <w:b w:val="0"/>
                <w:i w:val="0"/>
                <w:sz w:val="16"/>
              </w:rPr>
              <w:t>opus-4.6-thinking</w:t>
            </w:r>
          </w:p>
        </w:tc>
        <w:tc>
          <w:tcPr>
            <w:tcW w:type="dxa" w:w="3375"/>
          </w:tcPr>
          <w:p>
            <w:pPr>
              <w:jc w:val="center"/>
            </w:pPr>
            <w:r/>
            <w:r>
              <w:rPr>
                <w:rFonts w:ascii="Times New Roman" w:hAnsi="Times New Roman"/>
                <w:b w:val="0"/>
                <w:i w:val="0"/>
                <w:sz w:val="16"/>
              </w:rPr>
              <w:t>27.4%</w:t>
            </w:r>
          </w:p>
        </w:tc>
        <w:tc>
          <w:tcPr>
            <w:tcW w:type="dxa" w:w="3375"/>
          </w:tcPr>
          <w:p>
            <w:pPr>
              <w:jc w:val="center"/>
            </w:pPr>
            <w:r/>
            <w:r>
              <w:rPr>
                <w:rFonts w:ascii="Times New Roman" w:hAnsi="Times New Roman"/>
                <w:b w:val="0"/>
                <w:i w:val="0"/>
                <w:sz w:val="16"/>
              </w:rPr>
              <w:t>7.9%</w:t>
            </w:r>
          </w:p>
        </w:tc>
      </w:tr>
    </w:tbl>
    <w:p>
      <w:pPr>
        <w:spacing w:before="80" w:after="40"/>
      </w:pPr>
    </w:p>
    <w:p>
      <w:pPr>
        <w:spacing w:before="0" w:after="40"/>
        <w:ind w:firstLine="283"/>
        <w:jc w:val="both"/>
      </w:pPr>
      <w:r>
        <w:rPr>
          <w:rFonts w:ascii="Times New Roman" w:hAnsi="Times New Roman"/>
          <w:b w:val="0"/>
          <w:i w:val="0"/>
          <w:sz w:val="20"/>
        </w:rPr>
        <w:t>The opus-4.1-thinking configuration achieved the highest security pass rate at 14.3%, while also achieving the highest functional pass rate at 73.0%. Thinking-mode variants generally outperformed their standard counterparts, with an average improvement of 2.1 percentage points in sec_pass@1. However, the improvement is inconsistent: sonnet-4.5-thinking had a lower sec_pass@1 than sonnet-4.5-standard (-4.4pp), suggesting that thinking mode does not universally improve security.</w:t>
      </w:r>
    </w:p>
    <w:p>
      <w:pPr>
        <w:spacing w:before="0" w:after="40"/>
        <w:ind w:firstLine="283"/>
        <w:jc w:val="both"/>
      </w:pPr>
      <w:r>
        <w:rPr>
          <w:rFonts w:ascii="Times New Roman" w:hAnsi="Times New Roman"/>
          <w:b w:val="0"/>
          <w:i w:val="0"/>
          <w:sz w:val="20"/>
        </w:rPr>
        <w:t>The open-source model DeepSeek Coder 6.7B achieved a 14.3% functional pass rate but 0% sec_pass@1, indicating that while it can generate working code in some cases, it consistently fails to implement security measures.</w:t>
      </w:r>
    </w:p>
    <w:p>
      <w:pPr>
        <w:spacing w:before="160" w:after="80"/>
        <w:ind w:firstLine="0"/>
      </w:pPr>
      <w:r>
        <w:rPr>
          <w:rFonts w:ascii="Times New Roman" w:hAnsi="Times New Roman"/>
          <w:b w:val="0"/>
          <w:i/>
          <w:sz w:val="20"/>
        </w:rPr>
        <w:t>C. Safety Prompt Impact</w:t>
      </w:r>
    </w:p>
    <w:p>
      <w:pPr>
        <w:spacing w:before="120" w:after="40"/>
        <w:jc w:val="center"/>
      </w:pPr>
      <w:r>
        <w:rPr>
          <w:rFonts w:ascii="Times New Roman" w:hAnsi="Times New Roman"/>
          <w:b w:val="0"/>
          <w:i w:val="0"/>
          <w:sz w:val="16"/>
          <w:smallCaps w:val="true"/>
        </w:rPr>
        <w:t>TABLE III. SAFETY PROMPT IMPACT ON SECURITY</w:t>
      </w:r>
    </w:p>
    <w:tbl>
      <w:tblPr>
        <w:tblW w:type="auto" w:w="0"/>
        <w:jc w:val="center"/>
        <w:tblLayout w:type="autofit"/>
        <w:tblLook w:firstColumn="1" w:firstRow="1" w:lastColumn="0" w:lastRow="0" w:noHBand="0" w:noVBand="1" w:val="04A0"/>
      </w:tblPr>
      <w:tblGrid>
        <w:gridCol w:w="2025"/>
        <w:gridCol w:w="2025"/>
        <w:gridCol w:w="2025"/>
        <w:gridCol w:w="2025"/>
        <w:gridCol w:w="2025"/>
      </w:tblGrid>
      <w:tr>
        <w:tc>
          <w:tcPr>
            <w:tcW w:type="dxa" w:w="2025"/>
          </w:tcPr>
          <w:p>
            <w:pPr>
              <w:jc w:val="center"/>
            </w:pPr>
            <w:r/>
            <w:r>
              <w:rPr>
                <w:rFonts w:ascii="Times New Roman" w:hAnsi="Times New Roman"/>
                <w:b/>
                <w:i w:val="0"/>
                <w:sz w:val="16"/>
              </w:rPr>
              <w:t>Safety Prompt</w:t>
            </w:r>
          </w:p>
        </w:tc>
        <w:tc>
          <w:tcPr>
            <w:tcW w:type="dxa" w:w="2025"/>
          </w:tcPr>
          <w:p>
            <w:pPr>
              <w:jc w:val="center"/>
            </w:pPr>
            <w:r/>
            <w:r>
              <w:rPr>
                <w:rFonts w:ascii="Times New Roman" w:hAnsi="Times New Roman"/>
                <w:b/>
                <w:i w:val="0"/>
                <w:sz w:val="16"/>
              </w:rPr>
              <w:t>Total</w:t>
            </w:r>
          </w:p>
        </w:tc>
        <w:tc>
          <w:tcPr>
            <w:tcW w:type="dxa" w:w="2025"/>
          </w:tcPr>
          <w:p>
            <w:pPr>
              <w:jc w:val="center"/>
            </w:pPr>
            <w:r/>
            <w:r>
              <w:rPr>
                <w:rFonts w:ascii="Times New Roman" w:hAnsi="Times New Roman"/>
                <w:b/>
                <w:i w:val="0"/>
                <w:sz w:val="16"/>
              </w:rPr>
              <w:t>pass@1</w:t>
            </w:r>
          </w:p>
        </w:tc>
        <w:tc>
          <w:tcPr>
            <w:tcW w:type="dxa" w:w="2025"/>
          </w:tcPr>
          <w:p>
            <w:pPr>
              <w:jc w:val="center"/>
            </w:pPr>
            <w:r/>
            <w:r>
              <w:rPr>
                <w:rFonts w:ascii="Times New Roman" w:hAnsi="Times New Roman"/>
                <w:b/>
                <w:i w:val="0"/>
                <w:sz w:val="16"/>
              </w:rPr>
              <w:t>sec_pass@1</w:t>
            </w:r>
          </w:p>
        </w:tc>
        <w:tc>
          <w:tcPr>
            <w:tcW w:type="dxa" w:w="2025"/>
          </w:tcPr>
          <w:p>
            <w:pPr>
              <w:jc w:val="center"/>
            </w:pPr>
            <w:r/>
            <w:r>
              <w:rPr>
                <w:rFonts w:ascii="Times New Roman" w:hAnsi="Times New Roman"/>
                <w:b/>
                <w:i w:val="0"/>
                <w:sz w:val="16"/>
              </w:rPr>
              <w:t>true_sec@1</w:t>
            </w:r>
          </w:p>
        </w:tc>
      </w:tr>
      <w:tr>
        <w:tc>
          <w:tcPr>
            <w:tcW w:type="dxa" w:w="2025"/>
          </w:tcPr>
          <w:p>
            <w:pPr>
              <w:jc w:val="center"/>
            </w:pPr>
            <w:r/>
            <w:r>
              <w:rPr>
                <w:rFonts w:ascii="Times New Roman" w:hAnsi="Times New Roman"/>
                <w:b w:val="0"/>
                <w:i w:val="0"/>
                <w:sz w:val="16"/>
              </w:rPr>
              <w:t>None</w:t>
            </w:r>
          </w:p>
        </w:tc>
        <w:tc>
          <w:tcPr>
            <w:tcW w:type="dxa" w:w="2025"/>
          </w:tcPr>
          <w:p>
            <w:pPr>
              <w:jc w:val="center"/>
            </w:pPr>
            <w:r/>
            <w:r>
              <w:rPr>
                <w:rFonts w:ascii="Times New Roman" w:hAnsi="Times New Roman"/>
                <w:b w:val="0"/>
                <w:i w:val="0"/>
                <w:sz w:val="16"/>
              </w:rPr>
              <w:t>1,260</w:t>
            </w:r>
          </w:p>
        </w:tc>
        <w:tc>
          <w:tcPr>
            <w:tcW w:type="dxa" w:w="2025"/>
          </w:tcPr>
          <w:p>
            <w:pPr>
              <w:jc w:val="center"/>
            </w:pPr>
            <w:r/>
            <w:r>
              <w:rPr>
                <w:rFonts w:ascii="Times New Roman" w:hAnsi="Times New Roman"/>
                <w:b w:val="0"/>
                <w:i w:val="0"/>
                <w:sz w:val="16"/>
              </w:rPr>
              <w:t>53.6%</w:t>
            </w:r>
          </w:p>
        </w:tc>
        <w:tc>
          <w:tcPr>
            <w:tcW w:type="dxa" w:w="2025"/>
          </w:tcPr>
          <w:p>
            <w:pPr>
              <w:jc w:val="center"/>
            </w:pPr>
            <w:r/>
            <w:r>
              <w:rPr>
                <w:rFonts w:ascii="Times New Roman" w:hAnsi="Times New Roman"/>
                <w:b w:val="0"/>
                <w:i w:val="0"/>
                <w:sz w:val="16"/>
              </w:rPr>
              <w:t>0.0%</w:t>
            </w:r>
          </w:p>
        </w:tc>
        <w:tc>
          <w:tcPr>
            <w:tcW w:type="dxa" w:w="2025"/>
          </w:tcPr>
          <w:p>
            <w:pPr>
              <w:jc w:val="center"/>
            </w:pPr>
            <w:r/>
            <w:r>
              <w:rPr>
                <w:rFonts w:ascii="Times New Roman" w:hAnsi="Times New Roman"/>
                <w:b w:val="0"/>
                <w:i w:val="0"/>
                <w:sz w:val="16"/>
              </w:rPr>
              <w:t>0.0%</w:t>
            </w:r>
          </w:p>
        </w:tc>
      </w:tr>
      <w:tr>
        <w:tc>
          <w:tcPr>
            <w:tcW w:type="dxa" w:w="2025"/>
          </w:tcPr>
          <w:p>
            <w:pPr>
              <w:jc w:val="center"/>
            </w:pPr>
            <w:r/>
            <w:r>
              <w:rPr>
                <w:rFonts w:ascii="Times New Roman" w:hAnsi="Times New Roman"/>
                <w:b w:val="0"/>
                <w:i w:val="0"/>
                <w:sz w:val="16"/>
              </w:rPr>
              <w:t>Generic</w:t>
            </w:r>
          </w:p>
        </w:tc>
        <w:tc>
          <w:tcPr>
            <w:tcW w:type="dxa" w:w="2025"/>
          </w:tcPr>
          <w:p>
            <w:pPr>
              <w:jc w:val="center"/>
            </w:pPr>
            <w:r/>
            <w:r>
              <w:rPr>
                <w:rFonts w:ascii="Times New Roman" w:hAnsi="Times New Roman"/>
                <w:b w:val="0"/>
                <w:i w:val="0"/>
                <w:sz w:val="16"/>
              </w:rPr>
              <w:t>1,250</w:t>
            </w:r>
          </w:p>
        </w:tc>
        <w:tc>
          <w:tcPr>
            <w:tcW w:type="dxa" w:w="2025"/>
          </w:tcPr>
          <w:p>
            <w:pPr>
              <w:jc w:val="center"/>
            </w:pPr>
            <w:r/>
            <w:r>
              <w:rPr>
                <w:rFonts w:ascii="Times New Roman" w:hAnsi="Times New Roman"/>
                <w:b w:val="0"/>
                <w:i w:val="0"/>
                <w:sz w:val="16"/>
              </w:rPr>
              <w:t>49.1%</w:t>
            </w:r>
          </w:p>
        </w:tc>
        <w:tc>
          <w:tcPr>
            <w:tcW w:type="dxa" w:w="2025"/>
          </w:tcPr>
          <w:p>
            <w:pPr>
              <w:jc w:val="center"/>
            </w:pPr>
            <w:r/>
            <w:r>
              <w:rPr>
                <w:rFonts w:ascii="Times New Roman" w:hAnsi="Times New Roman"/>
                <w:b w:val="0"/>
                <w:i w:val="0"/>
                <w:sz w:val="16"/>
              </w:rPr>
              <w:t>0.1%</w:t>
            </w:r>
          </w:p>
        </w:tc>
        <w:tc>
          <w:tcPr>
            <w:tcW w:type="dxa" w:w="2025"/>
          </w:tcPr>
          <w:p>
            <w:pPr>
              <w:jc w:val="center"/>
            </w:pPr>
            <w:r/>
            <w:r>
              <w:rPr>
                <w:rFonts w:ascii="Times New Roman" w:hAnsi="Times New Roman"/>
                <w:b w:val="0"/>
                <w:i w:val="0"/>
                <w:sz w:val="16"/>
              </w:rPr>
              <w:t>0.0%</w:t>
            </w:r>
          </w:p>
        </w:tc>
      </w:tr>
      <w:tr>
        <w:tc>
          <w:tcPr>
            <w:tcW w:type="dxa" w:w="2025"/>
          </w:tcPr>
          <w:p>
            <w:pPr>
              <w:jc w:val="center"/>
            </w:pPr>
            <w:r/>
            <w:r>
              <w:rPr>
                <w:rFonts w:ascii="Times New Roman" w:hAnsi="Times New Roman"/>
                <w:b w:val="0"/>
                <w:i w:val="0"/>
                <w:sz w:val="16"/>
              </w:rPr>
              <w:t>Specific</w:t>
            </w:r>
          </w:p>
        </w:tc>
        <w:tc>
          <w:tcPr>
            <w:tcW w:type="dxa" w:w="2025"/>
          </w:tcPr>
          <w:p>
            <w:pPr>
              <w:jc w:val="center"/>
            </w:pPr>
            <w:r/>
            <w:r>
              <w:rPr>
                <w:rFonts w:ascii="Times New Roman" w:hAnsi="Times New Roman"/>
                <w:b w:val="0"/>
                <w:i w:val="0"/>
                <w:sz w:val="16"/>
              </w:rPr>
              <w:t>1,176</w:t>
            </w:r>
          </w:p>
        </w:tc>
        <w:tc>
          <w:tcPr>
            <w:tcW w:type="dxa" w:w="2025"/>
          </w:tcPr>
          <w:p>
            <w:pPr>
              <w:jc w:val="center"/>
            </w:pPr>
            <w:r/>
            <w:r>
              <w:rPr>
                <w:rFonts w:ascii="Times New Roman" w:hAnsi="Times New Roman"/>
                <w:b w:val="0"/>
                <w:i w:val="0"/>
                <w:sz w:val="16"/>
              </w:rPr>
              <w:t>33.2%</w:t>
            </w:r>
          </w:p>
        </w:tc>
        <w:tc>
          <w:tcPr>
            <w:tcW w:type="dxa" w:w="2025"/>
          </w:tcPr>
          <w:p>
            <w:pPr>
              <w:jc w:val="center"/>
            </w:pPr>
            <w:r/>
            <w:r>
              <w:rPr>
                <w:rFonts w:ascii="Times New Roman" w:hAnsi="Times New Roman"/>
                <w:b w:val="0"/>
                <w:i w:val="0"/>
                <w:sz w:val="16"/>
              </w:rPr>
              <w:t>21.0%</w:t>
            </w:r>
          </w:p>
        </w:tc>
        <w:tc>
          <w:tcPr>
            <w:tcW w:type="dxa" w:w="2025"/>
          </w:tcPr>
          <w:p>
            <w:pPr>
              <w:jc w:val="center"/>
            </w:pPr>
            <w:r/>
            <w:r>
              <w:rPr>
                <w:rFonts w:ascii="Times New Roman" w:hAnsi="Times New Roman"/>
                <w:b w:val="0"/>
                <w:i w:val="0"/>
                <w:sz w:val="16"/>
              </w:rPr>
              <w:t>19.8%</w:t>
            </w:r>
          </w:p>
        </w:tc>
      </w:tr>
    </w:tbl>
    <w:p>
      <w:pPr>
        <w:spacing w:before="80" w:after="40"/>
      </w:pPr>
    </w:p>
    <w:p>
      <w:pPr>
        <w:spacing w:before="0" w:after="40"/>
        <w:ind w:firstLine="283"/>
        <w:jc w:val="both"/>
      </w:pPr>
      <w:r>
        <w:rPr>
          <w:rFonts w:ascii="Times New Roman" w:hAnsi="Times New Roman"/>
          <w:b w:val="0"/>
          <w:i w:val="0"/>
          <w:sz w:val="20"/>
        </w:rPr>
        <w:t>The safety prompt analysis reveals the single most significant finding of this study. Without safety prompts, the sec_pass@1 rate is effectively 0.0% across all models. Generic safety prompts ("follow security best practices") provide negligible improvement at 0.1%. However, specific safety prompts with detailed vulnerability-aware instructions raise sec_pass@1 to 21.0% — an improvement of approximately 21 percentage points.</w:t>
      </w:r>
    </w:p>
    <w:p>
      <w:pPr>
        <w:spacing w:before="0" w:after="40"/>
        <w:ind w:firstLine="283"/>
        <w:jc w:val="both"/>
      </w:pPr>
      <w:r>
        <w:rPr>
          <w:rFonts w:ascii="Times New Roman" w:hAnsi="Times New Roman"/>
          <w:b w:val="0"/>
          <w:i w:val="0"/>
          <w:sz w:val="20"/>
        </w:rPr>
        <w:t>Notably, specific safety prompts reduce the functional pass rate from 53.6% to 33.2%, suggesting a trade-off between security and functionality: security-aware prompts cause models to generate more complex code that is more likely to fail functional tests but significantly more secure when it works. This finding has immediate practical implications: organizations deploying AI-generated code should always include specific, vulnerability-aware safety prompts in their generation pipelines.</w:t>
      </w:r>
    </w:p>
    <w:p>
      <w:pPr>
        <w:spacing w:before="160" w:after="80"/>
        <w:ind w:firstLine="0"/>
      </w:pPr>
      <w:r>
        <w:rPr>
          <w:rFonts w:ascii="Times New Roman" w:hAnsi="Times New Roman"/>
          <w:b w:val="0"/>
          <w:i/>
          <w:sz w:val="20"/>
        </w:rPr>
        <w:t>D. Vulnerability Distribution</w:t>
      </w:r>
    </w:p>
    <w:p>
      <w:pPr>
        <w:spacing w:before="0" w:after="40"/>
        <w:ind w:firstLine="283"/>
        <w:jc w:val="both"/>
      </w:pPr>
      <w:r>
        <w:rPr>
          <w:rFonts w:ascii="Times New Roman" w:hAnsi="Times New Roman"/>
          <w:b w:val="0"/>
          <w:i w:val="0"/>
          <w:sz w:val="20"/>
        </w:rPr>
        <w:t>CWE-693 (Protection Mechanism Failure, primarily missing security headers) accounts for the majority of vulnerability occurrences, present in 88.7% of functional applications. This dominance reflects a systematic failure of AI models to add security middleware (e.g., helmet.js for Express, flask-talisman for Flask) unless explicitly instructed. Injection vulnerabilities were rare: only 1 SQL injection instance was detected across 3,686 test cases, suggesting that AI models have effectively learned to use parameterized queries.</w:t>
      </w:r>
    </w:p>
    <w:p>
      <w:pPr>
        <w:spacing w:before="160" w:after="80"/>
        <w:ind w:firstLine="0"/>
      </w:pPr>
      <w:r>
        <w:rPr>
          <w:rFonts w:ascii="Times New Roman" w:hAnsi="Times New Roman"/>
          <w:b w:val="0"/>
          <w:i/>
          <w:sz w:val="20"/>
        </w:rPr>
        <w:t>E. Framework Comparison</w:t>
      </w:r>
    </w:p>
    <w:p>
      <w:pPr>
        <w:spacing w:before="0" w:after="40"/>
        <w:ind w:firstLine="283"/>
        <w:jc w:val="both"/>
      </w:pPr>
      <w:r>
        <w:rPr>
          <w:rFonts w:ascii="Times New Roman" w:hAnsi="Times New Roman"/>
          <w:b w:val="0"/>
          <w:i w:val="0"/>
          <w:sz w:val="20"/>
        </w:rPr>
        <w:t>JavaScript-Express applications demonstrated significantly better security outcomes than Python-Flask or Go-Fiber applications. Of the 248 secure applications, 223 (89.9%) were Express applications. This disparity likely reflects the broader security-focused ecosystem in Node.js (e.g., helmet.js, express-rate-limit) and more extensive security-aware training data.</w:t>
      </w:r>
    </w:p>
    <w:p>
      <w:pPr>
        <w:spacing w:before="160" w:after="80"/>
        <w:ind w:firstLine="0"/>
      </w:pPr>
      <w:r>
        <w:rPr>
          <w:rFonts w:ascii="Times New Roman" w:hAnsi="Times New Roman"/>
          <w:b w:val="0"/>
          <w:i/>
          <w:sz w:val="20"/>
        </w:rPr>
        <w:t>F. OWASP ZAP Validation</w:t>
      </w:r>
    </w:p>
    <w:p>
      <w:pPr>
        <w:spacing w:before="120" w:after="40"/>
        <w:jc w:val="center"/>
      </w:pPr>
      <w:r>
        <w:rPr>
          <w:rFonts w:ascii="Times New Roman" w:hAnsi="Times New Roman"/>
          <w:b w:val="0"/>
          <w:i w:val="0"/>
          <w:sz w:val="16"/>
          <w:smallCaps w:val="true"/>
        </w:rPr>
        <w:t>TABLE IV. OWASP ZAP AGREEMENT WITH CODESTRIKE</w:t>
      </w:r>
    </w:p>
    <w:tbl>
      <w:tblPr>
        <w:tblW w:type="auto" w:w="0"/>
        <w:jc w:val="center"/>
        <w:tblLayout w:type="autofit"/>
        <w:tblLook w:firstColumn="1" w:firstRow="1" w:lastColumn="0" w:lastRow="0" w:noHBand="0" w:noVBand="1" w:val="04A0"/>
      </w:tblPr>
      <w:tblGrid>
        <w:gridCol w:w="2531"/>
        <w:gridCol w:w="2531"/>
        <w:gridCol w:w="2531"/>
        <w:gridCol w:w="2531"/>
      </w:tblGrid>
      <w:tr>
        <w:tc>
          <w:tcPr>
            <w:tcW w:type="dxa" w:w="2531"/>
          </w:tcPr>
          <w:p>
            <w:pPr>
              <w:jc w:val="center"/>
            </w:pPr>
            <w:r/>
            <w:r>
              <w:rPr>
                <w:rFonts w:ascii="Times New Roman" w:hAnsi="Times New Roman"/>
                <w:b/>
                <w:i w:val="0"/>
                <w:sz w:val="16"/>
              </w:rPr>
              <w:t>ZAP Scan Mode</w:t>
            </w:r>
          </w:p>
        </w:tc>
        <w:tc>
          <w:tcPr>
            <w:tcW w:type="dxa" w:w="2531"/>
          </w:tcPr>
          <w:p>
            <w:pPr>
              <w:jc w:val="center"/>
            </w:pPr>
            <w:r/>
            <w:r>
              <w:rPr>
                <w:rFonts w:ascii="Times New Roman" w:hAnsi="Times New Roman"/>
                <w:b/>
                <w:i w:val="0"/>
                <w:sz w:val="16"/>
              </w:rPr>
              <w:t>Apps Scanned</w:t>
            </w:r>
          </w:p>
        </w:tc>
        <w:tc>
          <w:tcPr>
            <w:tcW w:type="dxa" w:w="2531"/>
          </w:tcPr>
          <w:p>
            <w:pPr>
              <w:jc w:val="center"/>
            </w:pPr>
            <w:r/>
            <w:r>
              <w:rPr>
                <w:rFonts w:ascii="Times New Roman" w:hAnsi="Times New Roman"/>
                <w:b/>
                <w:i w:val="0"/>
                <w:sz w:val="16"/>
              </w:rPr>
              <w:t>Agreement</w:t>
            </w:r>
          </w:p>
        </w:tc>
        <w:tc>
          <w:tcPr>
            <w:tcW w:type="dxa" w:w="2531"/>
          </w:tcPr>
          <w:p>
            <w:pPr>
              <w:jc w:val="center"/>
            </w:pPr>
            <w:r/>
            <w:r>
              <w:rPr>
                <w:rFonts w:ascii="Times New Roman" w:hAnsi="Times New Roman"/>
                <w:b/>
                <w:i w:val="0"/>
                <w:sz w:val="16"/>
              </w:rPr>
              <w:t>CWEs Found</w:t>
            </w:r>
          </w:p>
        </w:tc>
      </w:tr>
      <w:tr>
        <w:tc>
          <w:tcPr>
            <w:tcW w:type="dxa" w:w="2531"/>
          </w:tcPr>
          <w:p>
            <w:pPr>
              <w:jc w:val="center"/>
            </w:pPr>
            <w:r/>
            <w:r>
              <w:rPr>
                <w:rFonts w:ascii="Times New Roman" w:hAnsi="Times New Roman"/>
                <w:b w:val="0"/>
                <w:i w:val="0"/>
                <w:sz w:val="16"/>
              </w:rPr>
              <w:t>Baseline (passive)</w:t>
            </w:r>
          </w:p>
        </w:tc>
        <w:tc>
          <w:tcPr>
            <w:tcW w:type="dxa" w:w="2531"/>
          </w:tcPr>
          <w:p>
            <w:pPr>
              <w:jc w:val="center"/>
            </w:pPr>
            <w:r/>
            <w:r>
              <w:rPr>
                <w:rFonts w:ascii="Times New Roman" w:hAnsi="Times New Roman"/>
                <w:b w:val="0"/>
                <w:i w:val="0"/>
                <w:sz w:val="16"/>
              </w:rPr>
              <w:t>50</w:t>
            </w:r>
          </w:p>
        </w:tc>
        <w:tc>
          <w:tcPr>
            <w:tcW w:type="dxa" w:w="2531"/>
          </w:tcPr>
          <w:p>
            <w:pPr>
              <w:jc w:val="center"/>
            </w:pPr>
            <w:r/>
            <w:r>
              <w:rPr>
                <w:rFonts w:ascii="Times New Roman" w:hAnsi="Times New Roman"/>
                <w:b w:val="0"/>
                <w:i w:val="0"/>
                <w:sz w:val="16"/>
              </w:rPr>
              <w:t>14.3%</w:t>
            </w:r>
          </w:p>
        </w:tc>
        <w:tc>
          <w:tcPr>
            <w:tcW w:type="dxa" w:w="2531"/>
          </w:tcPr>
          <w:p>
            <w:pPr>
              <w:jc w:val="center"/>
            </w:pPr>
            <w:r/>
            <w:r>
              <w:rPr>
                <w:rFonts w:ascii="Times New Roman" w:hAnsi="Times New Roman"/>
                <w:b w:val="0"/>
                <w:i w:val="0"/>
                <w:sz w:val="16"/>
              </w:rPr>
              <w:t>CWE-693 only</w:t>
            </w:r>
          </w:p>
        </w:tc>
      </w:tr>
      <w:tr>
        <w:tc>
          <w:tcPr>
            <w:tcW w:type="dxa" w:w="2531"/>
          </w:tcPr>
          <w:p>
            <w:pPr>
              <w:jc w:val="center"/>
            </w:pPr>
            <w:r/>
            <w:r>
              <w:rPr>
                <w:rFonts w:ascii="Times New Roman" w:hAnsi="Times New Roman"/>
                <w:b w:val="0"/>
                <w:i w:val="0"/>
                <w:sz w:val="16"/>
              </w:rPr>
              <w:t>Full scan (active)</w:t>
            </w:r>
          </w:p>
        </w:tc>
        <w:tc>
          <w:tcPr>
            <w:tcW w:type="dxa" w:w="2531"/>
          </w:tcPr>
          <w:p>
            <w:pPr>
              <w:jc w:val="center"/>
            </w:pPr>
            <w:r/>
            <w:r>
              <w:rPr>
                <w:rFonts w:ascii="Times New Roman" w:hAnsi="Times New Roman"/>
                <w:b w:val="0"/>
                <w:i w:val="0"/>
                <w:sz w:val="16"/>
              </w:rPr>
              <w:t>50</w:t>
            </w:r>
          </w:p>
        </w:tc>
        <w:tc>
          <w:tcPr>
            <w:tcW w:type="dxa" w:w="2531"/>
          </w:tcPr>
          <w:p>
            <w:pPr>
              <w:jc w:val="center"/>
            </w:pPr>
            <w:r/>
            <w:r>
              <w:rPr>
                <w:rFonts w:ascii="Times New Roman" w:hAnsi="Times New Roman"/>
                <w:b w:val="0"/>
                <w:i w:val="0"/>
                <w:sz w:val="16"/>
              </w:rPr>
              <w:t>14.3%</w:t>
            </w:r>
          </w:p>
        </w:tc>
        <w:tc>
          <w:tcPr>
            <w:tcW w:type="dxa" w:w="2531"/>
          </w:tcPr>
          <w:p>
            <w:pPr>
              <w:jc w:val="center"/>
            </w:pPr>
            <w:r/>
            <w:r>
              <w:rPr>
                <w:rFonts w:ascii="Times New Roman" w:hAnsi="Times New Roman"/>
                <w:b w:val="0"/>
                <w:i w:val="0"/>
                <w:sz w:val="16"/>
              </w:rPr>
              <w:t>CWE-693, CWE-209</w:t>
            </w:r>
          </w:p>
        </w:tc>
      </w:tr>
      <w:tr>
        <w:tc>
          <w:tcPr>
            <w:tcW w:type="dxa" w:w="2531"/>
          </w:tcPr>
          <w:p>
            <w:pPr>
              <w:jc w:val="center"/>
            </w:pPr>
            <w:r/>
            <w:r>
              <w:rPr>
                <w:rFonts w:ascii="Times New Roman" w:hAnsi="Times New Roman"/>
                <w:b w:val="0"/>
                <w:i w:val="0"/>
                <w:sz w:val="16"/>
              </w:rPr>
              <w:t>API scan + OpenAPI</w:t>
            </w:r>
          </w:p>
        </w:tc>
        <w:tc>
          <w:tcPr>
            <w:tcW w:type="dxa" w:w="2531"/>
          </w:tcPr>
          <w:p>
            <w:pPr>
              <w:jc w:val="center"/>
            </w:pPr>
            <w:r/>
            <w:r>
              <w:rPr>
                <w:rFonts w:ascii="Times New Roman" w:hAnsi="Times New Roman"/>
                <w:b w:val="0"/>
                <w:i w:val="0"/>
                <w:sz w:val="16"/>
              </w:rPr>
              <w:t>50</w:t>
            </w:r>
          </w:p>
        </w:tc>
        <w:tc>
          <w:tcPr>
            <w:tcW w:type="dxa" w:w="2531"/>
          </w:tcPr>
          <w:p>
            <w:pPr>
              <w:jc w:val="center"/>
            </w:pPr>
            <w:r/>
            <w:r>
              <w:rPr>
                <w:rFonts w:ascii="Times New Roman" w:hAnsi="Times New Roman"/>
                <w:b w:val="0"/>
                <w:i w:val="0"/>
                <w:sz w:val="16"/>
              </w:rPr>
              <w:t>14.3%</w:t>
            </w:r>
          </w:p>
        </w:tc>
        <w:tc>
          <w:tcPr>
            <w:tcW w:type="dxa" w:w="2531"/>
          </w:tcPr>
          <w:p>
            <w:pPr>
              <w:jc w:val="center"/>
            </w:pPr>
            <w:r/>
            <w:r>
              <w:rPr>
                <w:rFonts w:ascii="Times New Roman" w:hAnsi="Times New Roman"/>
                <w:b w:val="0"/>
                <w:i w:val="0"/>
                <w:sz w:val="16"/>
              </w:rPr>
              <w:t>CWE-693, CWE-209</w:t>
            </w:r>
          </w:p>
        </w:tc>
      </w:tr>
    </w:tbl>
    <w:p>
      <w:pPr>
        <w:spacing w:before="80" w:after="40"/>
      </w:pPr>
    </w:p>
    <w:p>
      <w:pPr>
        <w:spacing w:before="0" w:after="40"/>
        <w:ind w:firstLine="283"/>
        <w:jc w:val="both"/>
      </w:pPr>
      <w:r>
        <w:rPr>
          <w:rFonts w:ascii="Times New Roman" w:hAnsi="Times New Roman"/>
          <w:b w:val="0"/>
          <w:i w:val="0"/>
          <w:sz w:val="20"/>
        </w:rPr>
        <w:t>OWASP ZAP achieved only 14.3% agreement with CodeStrike across all three scan modes. ZAP consistently detected missing security headers (CWE-693) and error information leakage (CWE-209) but failed to detect any injection vulnerabilities, CSRF issues, authentication bypasses, or business logic flaws.</w:t>
      </w:r>
    </w:p>
    <w:p>
      <w:pPr>
        <w:spacing w:before="0" w:after="40"/>
        <w:ind w:firstLine="283"/>
        <w:jc w:val="both"/>
      </w:pPr>
      <w:r>
        <w:rPr>
          <w:rFonts w:ascii="Times New Roman" w:hAnsi="Times New Roman"/>
          <w:b w:val="0"/>
          <w:i w:val="0"/>
          <w:sz w:val="20"/>
        </w:rPr>
        <w:t>This poor performance is attributable to architectural limitations of DAST scanning on JSON API applications. ZAP's XSS scanner sends payloads and checks for reflected HTML in responses, but JSON APIs return structured responses so ZAP's reflected XSS check passes even when payloads are stored unsanitized. ZAP also cannot access databases inside Docker containers to verify password hashing, cannot test IDOR because it lacks multi-user context, and has no built-in rule for rate-limiting detection.</w:t>
      </w:r>
    </w:p>
    <w:p>
      <w:pPr>
        <w:spacing w:before="160" w:after="80"/>
        <w:ind w:firstLine="0"/>
      </w:pPr>
      <w:r>
        <w:rPr>
          <w:rFonts w:ascii="Times New Roman" w:hAnsi="Times New Roman"/>
          <w:b w:val="0"/>
          <w:i/>
          <w:sz w:val="20"/>
        </w:rPr>
        <w:t>G. Manual Penetration Testing Validation</w:t>
      </w:r>
    </w:p>
    <w:p>
      <w:pPr>
        <w:spacing w:before="120" w:after="40"/>
        <w:jc w:val="center"/>
      </w:pPr>
      <w:r>
        <w:rPr>
          <w:rFonts w:ascii="Times New Roman" w:hAnsi="Times New Roman"/>
          <w:b w:val="0"/>
          <w:i w:val="0"/>
          <w:sz w:val="16"/>
          <w:smallCaps w:val="true"/>
        </w:rPr>
        <w:t>TABLE V. MANUAL PENTESTING RESULTS (10 APPLICATIONS)</w:t>
      </w:r>
    </w:p>
    <w:tbl>
      <w:tblPr>
        <w:tblW w:type="auto" w:w="0"/>
        <w:jc w:val="center"/>
        <w:tblLayout w:type="autofit"/>
        <w:tblLook w:firstColumn="1" w:firstRow="1" w:lastColumn="0" w:lastRow="0" w:noHBand="0" w:noVBand="1" w:val="04A0"/>
      </w:tblPr>
      <w:tblGrid>
        <w:gridCol w:w="5063"/>
        <w:gridCol w:w="5063"/>
      </w:tblGrid>
      <w:tr>
        <w:tc>
          <w:tcPr>
            <w:tcW w:type="dxa" w:w="5063"/>
          </w:tcPr>
          <w:p>
            <w:pPr>
              <w:jc w:val="center"/>
            </w:pPr>
            <w:r/>
            <w:r>
              <w:rPr>
                <w:rFonts w:ascii="Times New Roman" w:hAnsi="Times New Roman"/>
                <w:b/>
                <w:i w:val="0"/>
                <w:sz w:val="16"/>
              </w:rPr>
              <w:t>Metric</w:t>
            </w:r>
          </w:p>
        </w:tc>
        <w:tc>
          <w:tcPr>
            <w:tcW w:type="dxa" w:w="5063"/>
          </w:tcPr>
          <w:p>
            <w:pPr>
              <w:jc w:val="center"/>
            </w:pPr>
            <w:r/>
            <w:r>
              <w:rPr>
                <w:rFonts w:ascii="Times New Roman" w:hAnsi="Times New Roman"/>
                <w:b/>
                <w:i w:val="0"/>
                <w:sz w:val="16"/>
              </w:rPr>
              <w:t>Value</w:t>
            </w:r>
          </w:p>
        </w:tc>
      </w:tr>
      <w:tr>
        <w:tc>
          <w:tcPr>
            <w:tcW w:type="dxa" w:w="5063"/>
          </w:tcPr>
          <w:p>
            <w:pPr>
              <w:jc w:val="center"/>
            </w:pPr>
            <w:r/>
            <w:r>
              <w:rPr>
                <w:rFonts w:ascii="Times New Roman" w:hAnsi="Times New Roman"/>
                <w:b w:val="0"/>
                <w:i w:val="0"/>
                <w:sz w:val="16"/>
              </w:rPr>
              <w:t>Total manual findings</w:t>
            </w:r>
          </w:p>
        </w:tc>
        <w:tc>
          <w:tcPr>
            <w:tcW w:type="dxa" w:w="5063"/>
          </w:tcPr>
          <w:p>
            <w:pPr>
              <w:jc w:val="center"/>
            </w:pPr>
            <w:r/>
            <w:r>
              <w:rPr>
                <w:rFonts w:ascii="Times New Roman" w:hAnsi="Times New Roman"/>
                <w:b w:val="0"/>
                <w:i w:val="0"/>
                <w:sz w:val="16"/>
              </w:rPr>
              <w:t>47</w:t>
            </w:r>
          </w:p>
        </w:tc>
      </w:tr>
      <w:tr>
        <w:tc>
          <w:tcPr>
            <w:tcW w:type="dxa" w:w="5063"/>
          </w:tcPr>
          <w:p>
            <w:pPr>
              <w:jc w:val="center"/>
            </w:pPr>
            <w:r/>
            <w:r>
              <w:rPr>
                <w:rFonts w:ascii="Times New Roman" w:hAnsi="Times New Roman"/>
                <w:b w:val="0"/>
                <w:i w:val="0"/>
                <w:sz w:val="16"/>
              </w:rPr>
              <w:t>True Positives (CodeStrike + Manual)</w:t>
            </w:r>
          </w:p>
        </w:tc>
        <w:tc>
          <w:tcPr>
            <w:tcW w:type="dxa" w:w="5063"/>
          </w:tcPr>
          <w:p>
            <w:pPr>
              <w:jc w:val="center"/>
            </w:pPr>
            <w:r/>
            <w:r>
              <w:rPr>
                <w:rFonts w:ascii="Times New Roman" w:hAnsi="Times New Roman"/>
                <w:b w:val="0"/>
                <w:i w:val="0"/>
                <w:sz w:val="16"/>
              </w:rPr>
              <w:t>11</w:t>
            </w:r>
          </w:p>
        </w:tc>
      </w:tr>
      <w:tr>
        <w:tc>
          <w:tcPr>
            <w:tcW w:type="dxa" w:w="5063"/>
          </w:tcPr>
          <w:p>
            <w:pPr>
              <w:jc w:val="center"/>
            </w:pPr>
            <w:r/>
            <w:r>
              <w:rPr>
                <w:rFonts w:ascii="Times New Roman" w:hAnsi="Times New Roman"/>
                <w:b w:val="0"/>
                <w:i w:val="0"/>
                <w:sz w:val="16"/>
              </w:rPr>
              <w:t>False Negatives (Manual only)</w:t>
            </w:r>
          </w:p>
        </w:tc>
        <w:tc>
          <w:tcPr>
            <w:tcW w:type="dxa" w:w="5063"/>
          </w:tcPr>
          <w:p>
            <w:pPr>
              <w:jc w:val="center"/>
            </w:pPr>
            <w:r/>
            <w:r>
              <w:rPr>
                <w:rFonts w:ascii="Times New Roman" w:hAnsi="Times New Roman"/>
                <w:b w:val="0"/>
                <w:i w:val="0"/>
                <w:sz w:val="16"/>
              </w:rPr>
              <w:t>36</w:t>
            </w:r>
          </w:p>
        </w:tc>
      </w:tr>
      <w:tr>
        <w:tc>
          <w:tcPr>
            <w:tcW w:type="dxa" w:w="5063"/>
          </w:tcPr>
          <w:p>
            <w:pPr>
              <w:jc w:val="center"/>
            </w:pPr>
            <w:r/>
            <w:r>
              <w:rPr>
                <w:rFonts w:ascii="Times New Roman" w:hAnsi="Times New Roman"/>
                <w:b w:val="0"/>
                <w:i w:val="0"/>
                <w:sz w:val="16"/>
              </w:rPr>
              <w:t>False Positives (CodeStrike only)</w:t>
            </w:r>
          </w:p>
        </w:tc>
        <w:tc>
          <w:tcPr>
            <w:tcW w:type="dxa" w:w="5063"/>
          </w:tcPr>
          <w:p>
            <w:pPr>
              <w:jc w:val="center"/>
            </w:pPr>
            <w:r/>
            <w:r>
              <w:rPr>
                <w:rFonts w:ascii="Times New Roman" w:hAnsi="Times New Roman"/>
                <w:b w:val="0"/>
                <w:i w:val="0"/>
                <w:sz w:val="16"/>
              </w:rPr>
              <w:t>0</w:t>
            </w:r>
          </w:p>
        </w:tc>
      </w:tr>
      <w:tr>
        <w:tc>
          <w:tcPr>
            <w:tcW w:type="dxa" w:w="5063"/>
          </w:tcPr>
          <w:p>
            <w:pPr>
              <w:jc w:val="center"/>
            </w:pPr>
            <w:r/>
            <w:r>
              <w:rPr>
                <w:rFonts w:ascii="Times New Roman" w:hAnsi="Times New Roman"/>
                <w:b w:val="0"/>
                <w:i w:val="0"/>
                <w:sz w:val="16"/>
              </w:rPr>
              <w:t>CodeStrike precision</w:t>
            </w:r>
          </w:p>
        </w:tc>
        <w:tc>
          <w:tcPr>
            <w:tcW w:type="dxa" w:w="5063"/>
          </w:tcPr>
          <w:p>
            <w:pPr>
              <w:jc w:val="center"/>
            </w:pPr>
            <w:r/>
            <w:r>
              <w:rPr>
                <w:rFonts w:ascii="Times New Roman" w:hAnsi="Times New Roman"/>
                <w:b w:val="0"/>
                <w:i w:val="0"/>
                <w:sz w:val="16"/>
              </w:rPr>
              <w:t>100%</w:t>
            </w:r>
          </w:p>
        </w:tc>
      </w:tr>
      <w:tr>
        <w:tc>
          <w:tcPr>
            <w:tcW w:type="dxa" w:w="5063"/>
          </w:tcPr>
          <w:p>
            <w:pPr>
              <w:jc w:val="center"/>
            </w:pPr>
            <w:r/>
            <w:r>
              <w:rPr>
                <w:rFonts w:ascii="Times New Roman" w:hAnsi="Times New Roman"/>
                <w:b w:val="0"/>
                <w:i w:val="0"/>
                <w:sz w:val="16"/>
              </w:rPr>
              <w:t>CodeStrike recall</w:t>
            </w:r>
          </w:p>
        </w:tc>
        <w:tc>
          <w:tcPr>
            <w:tcW w:type="dxa" w:w="5063"/>
          </w:tcPr>
          <w:p>
            <w:pPr>
              <w:jc w:val="center"/>
            </w:pPr>
            <w:r/>
            <w:r>
              <w:rPr>
                <w:rFonts w:ascii="Times New Roman" w:hAnsi="Times New Roman"/>
                <w:b w:val="0"/>
                <w:i w:val="0"/>
                <w:sz w:val="16"/>
              </w:rPr>
              <w:t>23.4%</w:t>
            </w:r>
          </w:p>
        </w:tc>
      </w:tr>
    </w:tbl>
    <w:p>
      <w:pPr>
        <w:spacing w:before="80" w:after="40"/>
      </w:pPr>
    </w:p>
    <w:p>
      <w:pPr>
        <w:spacing w:before="0" w:after="40"/>
        <w:ind w:firstLine="283"/>
        <w:jc w:val="both"/>
      </w:pPr>
      <w:r>
        <w:rPr>
          <w:rFonts w:ascii="Times New Roman" w:hAnsi="Times New Roman"/>
          <w:b w:val="0"/>
          <w:i w:val="0"/>
          <w:sz w:val="20"/>
        </w:rPr>
        <w:t>Manual penetration testing served as ground truth for evaluating automated detection accuracy. Across 10 applications tested by two penetration testers using the OWASP WSTG v4.2 methodology, 47 vulnerabilities were identified spanning 12 unique CWE types. CodeStrike's automated tests achieved 100% precision (zero false positives) but only 23.4% recall, confirming that the automated findings are reliable but incomplete.</w:t>
      </w:r>
    </w:p>
    <w:p>
      <w:pPr>
        <w:spacing w:before="120" w:after="40"/>
        <w:jc w:val="center"/>
      </w:pPr>
      <w:r>
        <w:rPr>
          <w:rFonts w:ascii="Times New Roman" w:hAnsi="Times New Roman"/>
          <w:b w:val="0"/>
          <w:i w:val="0"/>
          <w:sz w:val="16"/>
          <w:smallCaps w:val="true"/>
        </w:rPr>
        <w:t>TABLE VI. VULNERABILITY DETECTION BY METHOD</w:t>
      </w:r>
    </w:p>
    <w:tbl>
      <w:tblPr>
        <w:tblW w:type="auto" w:w="0"/>
        <w:jc w:val="center"/>
        <w:tblLayout w:type="autofit"/>
        <w:tblLook w:firstColumn="1" w:firstRow="1" w:lastColumn="0" w:lastRow="0" w:noHBand="0" w:noVBand="1" w:val="04A0"/>
      </w:tblPr>
      <w:tblGrid>
        <w:gridCol w:w="2025"/>
        <w:gridCol w:w="2025"/>
        <w:gridCol w:w="2025"/>
        <w:gridCol w:w="2025"/>
        <w:gridCol w:w="2025"/>
      </w:tblGrid>
      <w:tr>
        <w:tc>
          <w:tcPr>
            <w:tcW w:type="dxa" w:w="2025"/>
          </w:tcPr>
          <w:p>
            <w:pPr>
              <w:jc w:val="center"/>
            </w:pPr>
            <w:r/>
            <w:r>
              <w:rPr>
                <w:rFonts w:ascii="Times New Roman" w:hAnsi="Times New Roman"/>
                <w:b/>
                <w:i w:val="0"/>
                <w:sz w:val="16"/>
              </w:rPr>
              <w:t>CWE</w:t>
            </w:r>
          </w:p>
        </w:tc>
        <w:tc>
          <w:tcPr>
            <w:tcW w:type="dxa" w:w="2025"/>
          </w:tcPr>
          <w:p>
            <w:pPr>
              <w:jc w:val="center"/>
            </w:pPr>
            <w:r/>
            <w:r>
              <w:rPr>
                <w:rFonts w:ascii="Times New Roman" w:hAnsi="Times New Roman"/>
                <w:b/>
                <w:i w:val="0"/>
                <w:sz w:val="16"/>
              </w:rPr>
              <w:t>Vulnerability</w:t>
            </w:r>
          </w:p>
        </w:tc>
        <w:tc>
          <w:tcPr>
            <w:tcW w:type="dxa" w:w="2025"/>
          </w:tcPr>
          <w:p>
            <w:pPr>
              <w:jc w:val="center"/>
            </w:pPr>
            <w:r/>
            <w:r>
              <w:rPr>
                <w:rFonts w:ascii="Times New Roman" w:hAnsi="Times New Roman"/>
                <w:b/>
                <w:i w:val="0"/>
                <w:sz w:val="16"/>
              </w:rPr>
              <w:t>CodeStrike</w:t>
            </w:r>
          </w:p>
        </w:tc>
        <w:tc>
          <w:tcPr>
            <w:tcW w:type="dxa" w:w="2025"/>
          </w:tcPr>
          <w:p>
            <w:pPr>
              <w:jc w:val="center"/>
            </w:pPr>
            <w:r/>
            <w:r>
              <w:rPr>
                <w:rFonts w:ascii="Times New Roman" w:hAnsi="Times New Roman"/>
                <w:b/>
                <w:i w:val="0"/>
                <w:sz w:val="16"/>
              </w:rPr>
              <w:t>ZAP</w:t>
            </w:r>
          </w:p>
        </w:tc>
        <w:tc>
          <w:tcPr>
            <w:tcW w:type="dxa" w:w="2025"/>
          </w:tcPr>
          <w:p>
            <w:pPr>
              <w:jc w:val="center"/>
            </w:pPr>
            <w:r/>
            <w:r>
              <w:rPr>
                <w:rFonts w:ascii="Times New Roman" w:hAnsi="Times New Roman"/>
                <w:b/>
                <w:i w:val="0"/>
                <w:sz w:val="16"/>
              </w:rPr>
              <w:t>Manual</w:t>
            </w:r>
          </w:p>
        </w:tc>
      </w:tr>
      <w:tr>
        <w:tc>
          <w:tcPr>
            <w:tcW w:type="dxa" w:w="2025"/>
          </w:tcPr>
          <w:p>
            <w:pPr>
              <w:jc w:val="center"/>
            </w:pPr>
            <w:r/>
            <w:r>
              <w:rPr>
                <w:rFonts w:ascii="Times New Roman" w:hAnsi="Times New Roman"/>
                <w:b w:val="0"/>
                <w:i w:val="0"/>
                <w:sz w:val="16"/>
              </w:rPr>
              <w:t>CWE-693</w:t>
            </w:r>
          </w:p>
        </w:tc>
        <w:tc>
          <w:tcPr>
            <w:tcW w:type="dxa" w:w="2025"/>
          </w:tcPr>
          <w:p>
            <w:pPr>
              <w:jc w:val="center"/>
            </w:pPr>
            <w:r/>
            <w:r>
              <w:rPr>
                <w:rFonts w:ascii="Times New Roman" w:hAnsi="Times New Roman"/>
                <w:b w:val="0"/>
                <w:i w:val="0"/>
                <w:sz w:val="16"/>
              </w:rPr>
              <w:t>Missing Headers</w:t>
            </w:r>
          </w:p>
        </w:tc>
        <w:tc>
          <w:tcPr>
            <w:tcW w:type="dxa" w:w="2025"/>
          </w:tcPr>
          <w:p>
            <w:pPr>
              <w:jc w:val="center"/>
            </w:pPr>
            <w:r/>
            <w:r>
              <w:rPr>
                <w:rFonts w:ascii="Times New Roman" w:hAnsi="Times New Roman"/>
                <w:b w:val="0"/>
                <w:i w:val="0"/>
                <w:sz w:val="16"/>
              </w:rPr>
              <w:t>8/10</w:t>
            </w:r>
          </w:p>
        </w:tc>
        <w:tc>
          <w:tcPr>
            <w:tcW w:type="dxa" w:w="2025"/>
          </w:tcPr>
          <w:p>
            <w:pPr>
              <w:jc w:val="center"/>
            </w:pPr>
            <w:r/>
            <w:r>
              <w:rPr>
                <w:rFonts w:ascii="Times New Roman" w:hAnsi="Times New Roman"/>
                <w:b w:val="0"/>
                <w:i w:val="0"/>
                <w:sz w:val="16"/>
              </w:rPr>
              <w:t>10/10</w:t>
            </w:r>
          </w:p>
        </w:tc>
        <w:tc>
          <w:tcPr>
            <w:tcW w:type="dxa" w:w="2025"/>
          </w:tcPr>
          <w:p>
            <w:pPr>
              <w:jc w:val="center"/>
            </w:pPr>
            <w:r/>
            <w:r>
              <w:rPr>
                <w:rFonts w:ascii="Times New Roman" w:hAnsi="Times New Roman"/>
                <w:b w:val="0"/>
                <w:i w:val="0"/>
                <w:sz w:val="16"/>
              </w:rPr>
              <w:t>10/10</w:t>
            </w:r>
          </w:p>
        </w:tc>
      </w:tr>
      <w:tr>
        <w:tc>
          <w:tcPr>
            <w:tcW w:type="dxa" w:w="2025"/>
          </w:tcPr>
          <w:p>
            <w:pPr>
              <w:jc w:val="center"/>
            </w:pPr>
            <w:r/>
            <w:r>
              <w:rPr>
                <w:rFonts w:ascii="Times New Roman" w:hAnsi="Times New Roman"/>
                <w:b w:val="0"/>
                <w:i w:val="0"/>
                <w:sz w:val="16"/>
              </w:rPr>
              <w:t>CWE-284</w:t>
            </w:r>
          </w:p>
        </w:tc>
        <w:tc>
          <w:tcPr>
            <w:tcW w:type="dxa" w:w="2025"/>
          </w:tcPr>
          <w:p>
            <w:pPr>
              <w:jc w:val="center"/>
            </w:pPr>
            <w:r/>
            <w:r>
              <w:rPr>
                <w:rFonts w:ascii="Times New Roman" w:hAnsi="Times New Roman"/>
                <w:b w:val="0"/>
                <w:i w:val="0"/>
                <w:sz w:val="16"/>
              </w:rPr>
              <w:t>Access Control</w:t>
            </w:r>
          </w:p>
        </w:tc>
        <w:tc>
          <w:tcPr>
            <w:tcW w:type="dxa" w:w="2025"/>
          </w:tcPr>
          <w:p>
            <w:pPr>
              <w:jc w:val="center"/>
            </w:pPr>
            <w:r/>
            <w:r>
              <w:rPr>
                <w:rFonts w:ascii="Times New Roman" w:hAnsi="Times New Roman"/>
                <w:b w:val="0"/>
                <w:i w:val="0"/>
                <w:sz w:val="16"/>
              </w:rPr>
              <w:t>0/5</w:t>
            </w:r>
          </w:p>
        </w:tc>
        <w:tc>
          <w:tcPr>
            <w:tcW w:type="dxa" w:w="2025"/>
          </w:tcPr>
          <w:p>
            <w:pPr>
              <w:jc w:val="center"/>
            </w:pPr>
            <w:r/>
            <w:r>
              <w:rPr>
                <w:rFonts w:ascii="Times New Roman" w:hAnsi="Times New Roman"/>
                <w:b w:val="0"/>
                <w:i w:val="0"/>
                <w:sz w:val="16"/>
              </w:rPr>
              <w:t>0/5</w:t>
            </w:r>
          </w:p>
        </w:tc>
        <w:tc>
          <w:tcPr>
            <w:tcW w:type="dxa" w:w="2025"/>
          </w:tcPr>
          <w:p>
            <w:pPr>
              <w:jc w:val="center"/>
            </w:pPr>
            <w:r/>
            <w:r>
              <w:rPr>
                <w:rFonts w:ascii="Times New Roman" w:hAnsi="Times New Roman"/>
                <w:b w:val="0"/>
                <w:i w:val="0"/>
                <w:sz w:val="16"/>
              </w:rPr>
              <w:t>5/5</w:t>
            </w:r>
          </w:p>
        </w:tc>
      </w:tr>
      <w:tr>
        <w:tc>
          <w:tcPr>
            <w:tcW w:type="dxa" w:w="2025"/>
          </w:tcPr>
          <w:p>
            <w:pPr>
              <w:jc w:val="center"/>
            </w:pPr>
            <w:r/>
            <w:r>
              <w:rPr>
                <w:rFonts w:ascii="Times New Roman" w:hAnsi="Times New Roman"/>
                <w:b w:val="0"/>
                <w:i w:val="0"/>
                <w:sz w:val="16"/>
              </w:rPr>
              <w:t>CWE-798</w:t>
            </w:r>
          </w:p>
        </w:tc>
        <w:tc>
          <w:tcPr>
            <w:tcW w:type="dxa" w:w="2025"/>
          </w:tcPr>
          <w:p>
            <w:pPr>
              <w:jc w:val="center"/>
            </w:pPr>
            <w:r/>
            <w:r>
              <w:rPr>
                <w:rFonts w:ascii="Times New Roman" w:hAnsi="Times New Roman"/>
                <w:b w:val="0"/>
                <w:i w:val="0"/>
                <w:sz w:val="16"/>
              </w:rPr>
              <w:t>Hardcoded Secrets</w:t>
            </w:r>
          </w:p>
        </w:tc>
        <w:tc>
          <w:tcPr>
            <w:tcW w:type="dxa" w:w="2025"/>
          </w:tcPr>
          <w:p>
            <w:pPr>
              <w:jc w:val="center"/>
            </w:pPr>
            <w:r/>
            <w:r>
              <w:rPr>
                <w:rFonts w:ascii="Times New Roman" w:hAnsi="Times New Roman"/>
                <w:b w:val="0"/>
                <w:i w:val="0"/>
                <w:sz w:val="16"/>
              </w:rPr>
              <w:t>0/5</w:t>
            </w:r>
          </w:p>
        </w:tc>
        <w:tc>
          <w:tcPr>
            <w:tcW w:type="dxa" w:w="2025"/>
          </w:tcPr>
          <w:p>
            <w:pPr>
              <w:jc w:val="center"/>
            </w:pPr>
            <w:r/>
            <w:r>
              <w:rPr>
                <w:rFonts w:ascii="Times New Roman" w:hAnsi="Times New Roman"/>
                <w:b w:val="0"/>
                <w:i w:val="0"/>
                <w:sz w:val="16"/>
              </w:rPr>
              <w:t>0/5</w:t>
            </w:r>
          </w:p>
        </w:tc>
        <w:tc>
          <w:tcPr>
            <w:tcW w:type="dxa" w:w="2025"/>
          </w:tcPr>
          <w:p>
            <w:pPr>
              <w:jc w:val="center"/>
            </w:pPr>
            <w:r/>
            <w:r>
              <w:rPr>
                <w:rFonts w:ascii="Times New Roman" w:hAnsi="Times New Roman"/>
                <w:b w:val="0"/>
                <w:i w:val="0"/>
                <w:sz w:val="16"/>
              </w:rPr>
              <w:t>5/5</w:t>
            </w:r>
          </w:p>
        </w:tc>
      </w:tr>
      <w:tr>
        <w:tc>
          <w:tcPr>
            <w:tcW w:type="dxa" w:w="2025"/>
          </w:tcPr>
          <w:p>
            <w:pPr>
              <w:jc w:val="center"/>
            </w:pPr>
            <w:r/>
            <w:r>
              <w:rPr>
                <w:rFonts w:ascii="Times New Roman" w:hAnsi="Times New Roman"/>
                <w:b w:val="0"/>
                <w:i w:val="0"/>
                <w:sz w:val="16"/>
              </w:rPr>
              <w:t>CWE-307</w:t>
            </w:r>
          </w:p>
        </w:tc>
        <w:tc>
          <w:tcPr>
            <w:tcW w:type="dxa" w:w="2025"/>
          </w:tcPr>
          <w:p>
            <w:pPr>
              <w:jc w:val="center"/>
            </w:pPr>
            <w:r/>
            <w:r>
              <w:rPr>
                <w:rFonts w:ascii="Times New Roman" w:hAnsi="Times New Roman"/>
                <w:b w:val="0"/>
                <w:i w:val="0"/>
                <w:sz w:val="16"/>
              </w:rPr>
              <w:t>No Rate Limit</w:t>
            </w:r>
          </w:p>
        </w:tc>
        <w:tc>
          <w:tcPr>
            <w:tcW w:type="dxa" w:w="2025"/>
          </w:tcPr>
          <w:p>
            <w:pPr>
              <w:jc w:val="center"/>
            </w:pPr>
            <w:r/>
            <w:r>
              <w:rPr>
                <w:rFonts w:ascii="Times New Roman" w:hAnsi="Times New Roman"/>
                <w:b w:val="0"/>
                <w:i w:val="0"/>
                <w:sz w:val="16"/>
              </w:rPr>
              <w:t>1/4</w:t>
            </w:r>
          </w:p>
        </w:tc>
        <w:tc>
          <w:tcPr>
            <w:tcW w:type="dxa" w:w="2025"/>
          </w:tcPr>
          <w:p>
            <w:pPr>
              <w:jc w:val="center"/>
            </w:pPr>
            <w:r/>
            <w:r>
              <w:rPr>
                <w:rFonts w:ascii="Times New Roman" w:hAnsi="Times New Roman"/>
                <w:b w:val="0"/>
                <w:i w:val="0"/>
                <w:sz w:val="16"/>
              </w:rPr>
              <w:t>0/4</w:t>
            </w:r>
          </w:p>
        </w:tc>
        <w:tc>
          <w:tcPr>
            <w:tcW w:type="dxa" w:w="2025"/>
          </w:tcPr>
          <w:p>
            <w:pPr>
              <w:jc w:val="center"/>
            </w:pPr>
            <w:r/>
            <w:r>
              <w:rPr>
                <w:rFonts w:ascii="Times New Roman" w:hAnsi="Times New Roman"/>
                <w:b w:val="0"/>
                <w:i w:val="0"/>
                <w:sz w:val="16"/>
              </w:rPr>
              <w:t>4/4</w:t>
            </w:r>
          </w:p>
        </w:tc>
      </w:tr>
      <w:tr>
        <w:tc>
          <w:tcPr>
            <w:tcW w:type="dxa" w:w="2025"/>
          </w:tcPr>
          <w:p>
            <w:pPr>
              <w:jc w:val="center"/>
            </w:pPr>
            <w:r/>
            <w:r>
              <w:rPr>
                <w:rFonts w:ascii="Times New Roman" w:hAnsi="Times New Roman"/>
                <w:b w:val="0"/>
                <w:i w:val="0"/>
                <w:sz w:val="16"/>
              </w:rPr>
              <w:t>CWE-400</w:t>
            </w:r>
          </w:p>
        </w:tc>
        <w:tc>
          <w:tcPr>
            <w:tcW w:type="dxa" w:w="2025"/>
          </w:tcPr>
          <w:p>
            <w:pPr>
              <w:jc w:val="center"/>
            </w:pPr>
            <w:r/>
            <w:r>
              <w:rPr>
                <w:rFonts w:ascii="Times New Roman" w:hAnsi="Times New Roman"/>
                <w:b w:val="0"/>
                <w:i w:val="0"/>
                <w:sz w:val="16"/>
              </w:rPr>
              <w:t>Resource Exhaustion</w:t>
            </w:r>
          </w:p>
        </w:tc>
        <w:tc>
          <w:tcPr>
            <w:tcW w:type="dxa" w:w="2025"/>
          </w:tcPr>
          <w:p>
            <w:pPr>
              <w:jc w:val="center"/>
            </w:pPr>
            <w:r/>
            <w:r>
              <w:rPr>
                <w:rFonts w:ascii="Times New Roman" w:hAnsi="Times New Roman"/>
                <w:b w:val="0"/>
                <w:i w:val="0"/>
                <w:sz w:val="16"/>
              </w:rPr>
              <w:t>0/4</w:t>
            </w:r>
          </w:p>
        </w:tc>
        <w:tc>
          <w:tcPr>
            <w:tcW w:type="dxa" w:w="2025"/>
          </w:tcPr>
          <w:p>
            <w:pPr>
              <w:jc w:val="center"/>
            </w:pPr>
            <w:r/>
            <w:r>
              <w:rPr>
                <w:rFonts w:ascii="Times New Roman" w:hAnsi="Times New Roman"/>
                <w:b w:val="0"/>
                <w:i w:val="0"/>
                <w:sz w:val="16"/>
              </w:rPr>
              <w:t>0/4</w:t>
            </w:r>
          </w:p>
        </w:tc>
        <w:tc>
          <w:tcPr>
            <w:tcW w:type="dxa" w:w="2025"/>
          </w:tcPr>
          <w:p>
            <w:pPr>
              <w:jc w:val="center"/>
            </w:pPr>
            <w:r/>
            <w:r>
              <w:rPr>
                <w:rFonts w:ascii="Times New Roman" w:hAnsi="Times New Roman"/>
                <w:b w:val="0"/>
                <w:i w:val="0"/>
                <w:sz w:val="16"/>
              </w:rPr>
              <w:t>4/4</w:t>
            </w:r>
          </w:p>
        </w:tc>
      </w:tr>
      <w:tr>
        <w:tc>
          <w:tcPr>
            <w:tcW w:type="dxa" w:w="2025"/>
          </w:tcPr>
          <w:p>
            <w:pPr>
              <w:jc w:val="center"/>
            </w:pPr>
            <w:r/>
            <w:r>
              <w:rPr>
                <w:rFonts w:ascii="Times New Roman" w:hAnsi="Times New Roman"/>
                <w:b w:val="0"/>
                <w:i w:val="0"/>
                <w:sz w:val="16"/>
              </w:rPr>
              <w:t>CWE-522</w:t>
            </w:r>
          </w:p>
        </w:tc>
        <w:tc>
          <w:tcPr>
            <w:tcW w:type="dxa" w:w="2025"/>
          </w:tcPr>
          <w:p>
            <w:pPr>
              <w:jc w:val="center"/>
            </w:pPr>
            <w:r/>
            <w:r>
              <w:rPr>
                <w:rFonts w:ascii="Times New Roman" w:hAnsi="Times New Roman"/>
                <w:b w:val="0"/>
                <w:i w:val="0"/>
                <w:sz w:val="16"/>
              </w:rPr>
              <w:t>Weak Credentials</w:t>
            </w:r>
          </w:p>
        </w:tc>
        <w:tc>
          <w:tcPr>
            <w:tcW w:type="dxa" w:w="2025"/>
          </w:tcPr>
          <w:p>
            <w:pPr>
              <w:jc w:val="center"/>
            </w:pPr>
            <w:r/>
            <w:r>
              <w:rPr>
                <w:rFonts w:ascii="Times New Roman" w:hAnsi="Times New Roman"/>
                <w:b w:val="0"/>
                <w:i w:val="0"/>
                <w:sz w:val="16"/>
              </w:rPr>
              <w:t>1/4</w:t>
            </w:r>
          </w:p>
        </w:tc>
        <w:tc>
          <w:tcPr>
            <w:tcW w:type="dxa" w:w="2025"/>
          </w:tcPr>
          <w:p>
            <w:pPr>
              <w:jc w:val="center"/>
            </w:pPr>
            <w:r/>
            <w:r>
              <w:rPr>
                <w:rFonts w:ascii="Times New Roman" w:hAnsi="Times New Roman"/>
                <w:b w:val="0"/>
                <w:i w:val="0"/>
                <w:sz w:val="16"/>
              </w:rPr>
              <w:t>0/4</w:t>
            </w:r>
          </w:p>
        </w:tc>
        <w:tc>
          <w:tcPr>
            <w:tcW w:type="dxa" w:w="2025"/>
          </w:tcPr>
          <w:p>
            <w:pPr>
              <w:jc w:val="center"/>
            </w:pPr>
            <w:r/>
            <w:r>
              <w:rPr>
                <w:rFonts w:ascii="Times New Roman" w:hAnsi="Times New Roman"/>
                <w:b w:val="0"/>
                <w:i w:val="0"/>
                <w:sz w:val="16"/>
              </w:rPr>
              <w:t>4/4</w:t>
            </w:r>
          </w:p>
        </w:tc>
      </w:tr>
      <w:tr>
        <w:tc>
          <w:tcPr>
            <w:tcW w:type="dxa" w:w="2025"/>
          </w:tcPr>
          <w:p>
            <w:pPr>
              <w:jc w:val="center"/>
            </w:pPr>
            <w:r/>
            <w:r>
              <w:rPr>
                <w:rFonts w:ascii="Times New Roman" w:hAnsi="Times New Roman"/>
                <w:b w:val="0"/>
                <w:i w:val="0"/>
                <w:sz w:val="16"/>
              </w:rPr>
              <w:t>CWE-209</w:t>
            </w:r>
          </w:p>
        </w:tc>
        <w:tc>
          <w:tcPr>
            <w:tcW w:type="dxa" w:w="2025"/>
          </w:tcPr>
          <w:p>
            <w:pPr>
              <w:jc w:val="center"/>
            </w:pPr>
            <w:r/>
            <w:r>
              <w:rPr>
                <w:rFonts w:ascii="Times New Roman" w:hAnsi="Times New Roman"/>
                <w:b w:val="0"/>
                <w:i w:val="0"/>
                <w:sz w:val="16"/>
              </w:rPr>
              <w:t>Error Leakage</w:t>
            </w:r>
          </w:p>
        </w:tc>
        <w:tc>
          <w:tcPr>
            <w:tcW w:type="dxa" w:w="2025"/>
          </w:tcPr>
          <w:p>
            <w:pPr>
              <w:jc w:val="center"/>
            </w:pPr>
            <w:r/>
            <w:r>
              <w:rPr>
                <w:rFonts w:ascii="Times New Roman" w:hAnsi="Times New Roman"/>
                <w:b w:val="0"/>
                <w:i w:val="0"/>
                <w:sz w:val="16"/>
              </w:rPr>
              <w:t>0/3</w:t>
            </w:r>
          </w:p>
        </w:tc>
        <w:tc>
          <w:tcPr>
            <w:tcW w:type="dxa" w:w="2025"/>
          </w:tcPr>
          <w:p>
            <w:pPr>
              <w:jc w:val="center"/>
            </w:pPr>
            <w:r/>
            <w:r>
              <w:rPr>
                <w:rFonts w:ascii="Times New Roman" w:hAnsi="Times New Roman"/>
                <w:b w:val="0"/>
                <w:i w:val="0"/>
                <w:sz w:val="16"/>
              </w:rPr>
              <w:t>3/3</w:t>
            </w:r>
          </w:p>
        </w:tc>
        <w:tc>
          <w:tcPr>
            <w:tcW w:type="dxa" w:w="2025"/>
          </w:tcPr>
          <w:p>
            <w:pPr>
              <w:jc w:val="center"/>
            </w:pPr>
            <w:r/>
            <w:r>
              <w:rPr>
                <w:rFonts w:ascii="Times New Roman" w:hAnsi="Times New Roman"/>
                <w:b w:val="0"/>
                <w:i w:val="0"/>
                <w:sz w:val="16"/>
              </w:rPr>
              <w:t>3/3</w:t>
            </w:r>
          </w:p>
        </w:tc>
      </w:tr>
      <w:tr>
        <w:tc>
          <w:tcPr>
            <w:tcW w:type="dxa" w:w="2025"/>
          </w:tcPr>
          <w:p>
            <w:pPr>
              <w:jc w:val="center"/>
            </w:pPr>
            <w:r/>
            <w:r>
              <w:rPr>
                <w:rFonts w:ascii="Times New Roman" w:hAnsi="Times New Roman"/>
                <w:b w:val="0"/>
                <w:i w:val="0"/>
                <w:sz w:val="16"/>
              </w:rPr>
              <w:t>CWE-918</w:t>
            </w:r>
          </w:p>
        </w:tc>
        <w:tc>
          <w:tcPr>
            <w:tcW w:type="dxa" w:w="2025"/>
          </w:tcPr>
          <w:p>
            <w:pPr>
              <w:jc w:val="center"/>
            </w:pPr>
            <w:r/>
            <w:r>
              <w:rPr>
                <w:rFonts w:ascii="Times New Roman" w:hAnsi="Times New Roman"/>
                <w:b w:val="0"/>
                <w:i w:val="0"/>
                <w:sz w:val="16"/>
              </w:rPr>
              <w:t>SSRF</w:t>
            </w:r>
          </w:p>
        </w:tc>
        <w:tc>
          <w:tcPr>
            <w:tcW w:type="dxa" w:w="2025"/>
          </w:tcPr>
          <w:p>
            <w:pPr>
              <w:jc w:val="center"/>
            </w:pPr>
            <w:r/>
            <w:r>
              <w:rPr>
                <w:rFonts w:ascii="Times New Roman" w:hAnsi="Times New Roman"/>
                <w:b w:val="0"/>
                <w:i w:val="0"/>
                <w:sz w:val="16"/>
              </w:rPr>
              <w:t>0/2</w:t>
            </w:r>
          </w:p>
        </w:tc>
        <w:tc>
          <w:tcPr>
            <w:tcW w:type="dxa" w:w="2025"/>
          </w:tcPr>
          <w:p>
            <w:pPr>
              <w:jc w:val="center"/>
            </w:pPr>
            <w:r/>
            <w:r>
              <w:rPr>
                <w:rFonts w:ascii="Times New Roman" w:hAnsi="Times New Roman"/>
                <w:b w:val="0"/>
                <w:i w:val="0"/>
                <w:sz w:val="16"/>
              </w:rPr>
              <w:t>0/2</w:t>
            </w:r>
          </w:p>
        </w:tc>
        <w:tc>
          <w:tcPr>
            <w:tcW w:type="dxa" w:w="2025"/>
          </w:tcPr>
          <w:p>
            <w:pPr>
              <w:jc w:val="center"/>
            </w:pPr>
            <w:r/>
            <w:r>
              <w:rPr>
                <w:rFonts w:ascii="Times New Roman" w:hAnsi="Times New Roman"/>
                <w:b w:val="0"/>
                <w:i w:val="0"/>
                <w:sz w:val="16"/>
              </w:rPr>
              <w:t>2/2</w:t>
            </w:r>
          </w:p>
        </w:tc>
      </w:tr>
      <w:tr>
        <w:tc>
          <w:tcPr>
            <w:tcW w:type="dxa" w:w="2025"/>
          </w:tcPr>
          <w:p>
            <w:pPr>
              <w:jc w:val="center"/>
            </w:pPr>
            <w:r/>
            <w:r>
              <w:rPr>
                <w:rFonts w:ascii="Times New Roman" w:hAnsi="Times New Roman"/>
                <w:b w:val="0"/>
                <w:i w:val="0"/>
                <w:sz w:val="16"/>
              </w:rPr>
              <w:t>CWE-352</w:t>
            </w:r>
          </w:p>
        </w:tc>
        <w:tc>
          <w:tcPr>
            <w:tcW w:type="dxa" w:w="2025"/>
          </w:tcPr>
          <w:p>
            <w:pPr>
              <w:jc w:val="center"/>
            </w:pPr>
            <w:r/>
            <w:r>
              <w:rPr>
                <w:rFonts w:ascii="Times New Roman" w:hAnsi="Times New Roman"/>
                <w:b w:val="0"/>
                <w:i w:val="0"/>
                <w:sz w:val="16"/>
              </w:rPr>
              <w:t>CSRF</w:t>
            </w:r>
          </w:p>
        </w:tc>
        <w:tc>
          <w:tcPr>
            <w:tcW w:type="dxa" w:w="2025"/>
          </w:tcPr>
          <w:p>
            <w:pPr>
              <w:jc w:val="center"/>
            </w:pPr>
            <w:r/>
            <w:r>
              <w:rPr>
                <w:rFonts w:ascii="Times New Roman" w:hAnsi="Times New Roman"/>
                <w:b w:val="0"/>
                <w:i w:val="0"/>
                <w:sz w:val="16"/>
              </w:rPr>
              <w:t>1/1</w:t>
            </w:r>
          </w:p>
        </w:tc>
        <w:tc>
          <w:tcPr>
            <w:tcW w:type="dxa" w:w="2025"/>
          </w:tcPr>
          <w:p>
            <w:pPr>
              <w:jc w:val="center"/>
            </w:pPr>
            <w:r/>
            <w:r>
              <w:rPr>
                <w:rFonts w:ascii="Times New Roman" w:hAnsi="Times New Roman"/>
                <w:b w:val="0"/>
                <w:i w:val="0"/>
                <w:sz w:val="16"/>
              </w:rPr>
              <w:t>0/1</w:t>
            </w:r>
          </w:p>
        </w:tc>
        <w:tc>
          <w:tcPr>
            <w:tcW w:type="dxa" w:w="2025"/>
          </w:tcPr>
          <w:p>
            <w:pPr>
              <w:jc w:val="center"/>
            </w:pPr>
            <w:r/>
            <w:r>
              <w:rPr>
                <w:rFonts w:ascii="Times New Roman" w:hAnsi="Times New Roman"/>
                <w:b w:val="0"/>
                <w:i w:val="0"/>
                <w:sz w:val="16"/>
              </w:rPr>
              <w:t>1/1</w:t>
            </w:r>
          </w:p>
        </w:tc>
      </w:tr>
      <w:tr>
        <w:tc>
          <w:tcPr>
            <w:tcW w:type="dxa" w:w="2025"/>
          </w:tcPr>
          <w:p>
            <w:pPr>
              <w:jc w:val="center"/>
            </w:pPr>
            <w:r/>
            <w:r>
              <w:rPr>
                <w:rFonts w:ascii="Times New Roman" w:hAnsi="Times New Roman"/>
                <w:b w:val="0"/>
                <w:i w:val="0"/>
                <w:sz w:val="16"/>
              </w:rPr>
              <w:t>CWE-840</w:t>
            </w:r>
          </w:p>
        </w:tc>
        <w:tc>
          <w:tcPr>
            <w:tcW w:type="dxa" w:w="2025"/>
          </w:tcPr>
          <w:p>
            <w:pPr>
              <w:jc w:val="center"/>
            </w:pPr>
            <w:r/>
            <w:r>
              <w:rPr>
                <w:rFonts w:ascii="Times New Roman" w:hAnsi="Times New Roman"/>
                <w:b w:val="0"/>
                <w:i w:val="0"/>
                <w:sz w:val="16"/>
              </w:rPr>
              <w:t>Business Logic</w:t>
            </w:r>
          </w:p>
        </w:tc>
        <w:tc>
          <w:tcPr>
            <w:tcW w:type="dxa" w:w="2025"/>
          </w:tcPr>
          <w:p>
            <w:pPr>
              <w:jc w:val="center"/>
            </w:pPr>
            <w:r/>
            <w:r>
              <w:rPr>
                <w:rFonts w:ascii="Times New Roman" w:hAnsi="Times New Roman"/>
                <w:b w:val="0"/>
                <w:i w:val="0"/>
                <w:sz w:val="16"/>
              </w:rPr>
              <w:t>0/1</w:t>
            </w:r>
          </w:p>
        </w:tc>
        <w:tc>
          <w:tcPr>
            <w:tcW w:type="dxa" w:w="2025"/>
          </w:tcPr>
          <w:p>
            <w:pPr>
              <w:jc w:val="center"/>
            </w:pPr>
            <w:r/>
            <w:r>
              <w:rPr>
                <w:rFonts w:ascii="Times New Roman" w:hAnsi="Times New Roman"/>
                <w:b w:val="0"/>
                <w:i w:val="0"/>
                <w:sz w:val="16"/>
              </w:rPr>
              <w:t>0/1</w:t>
            </w:r>
          </w:p>
        </w:tc>
        <w:tc>
          <w:tcPr>
            <w:tcW w:type="dxa" w:w="2025"/>
          </w:tcPr>
          <w:p>
            <w:pPr>
              <w:jc w:val="center"/>
            </w:pPr>
            <w:r/>
            <w:r>
              <w:rPr>
                <w:rFonts w:ascii="Times New Roman" w:hAnsi="Times New Roman"/>
                <w:b w:val="0"/>
                <w:i w:val="0"/>
                <w:sz w:val="16"/>
              </w:rPr>
              <w:t>1/1</w:t>
            </w:r>
          </w:p>
        </w:tc>
      </w:tr>
      <w:tr>
        <w:tc>
          <w:tcPr>
            <w:tcW w:type="dxa" w:w="2025"/>
          </w:tcPr>
          <w:p>
            <w:pPr>
              <w:jc w:val="center"/>
            </w:pPr>
            <w:r/>
            <w:r>
              <w:rPr>
                <w:rFonts w:ascii="Times New Roman" w:hAnsi="Times New Roman"/>
                <w:b w:val="0"/>
                <w:i w:val="0"/>
                <w:sz w:val="16"/>
              </w:rPr>
              <w:t>CWE-640</w:t>
            </w:r>
          </w:p>
        </w:tc>
        <w:tc>
          <w:tcPr>
            <w:tcW w:type="dxa" w:w="2025"/>
          </w:tcPr>
          <w:p>
            <w:pPr>
              <w:jc w:val="center"/>
            </w:pPr>
            <w:r/>
            <w:r>
              <w:rPr>
                <w:rFonts w:ascii="Times New Roman" w:hAnsi="Times New Roman"/>
                <w:b w:val="0"/>
                <w:i w:val="0"/>
                <w:sz w:val="16"/>
              </w:rPr>
              <w:t>Weak Recovery</w:t>
            </w:r>
          </w:p>
        </w:tc>
        <w:tc>
          <w:tcPr>
            <w:tcW w:type="dxa" w:w="2025"/>
          </w:tcPr>
          <w:p>
            <w:pPr>
              <w:jc w:val="center"/>
            </w:pPr>
            <w:r/>
            <w:r>
              <w:rPr>
                <w:rFonts w:ascii="Times New Roman" w:hAnsi="Times New Roman"/>
                <w:b w:val="0"/>
                <w:i w:val="0"/>
                <w:sz w:val="16"/>
              </w:rPr>
              <w:t>0/1</w:t>
            </w:r>
          </w:p>
        </w:tc>
        <w:tc>
          <w:tcPr>
            <w:tcW w:type="dxa" w:w="2025"/>
          </w:tcPr>
          <w:p>
            <w:pPr>
              <w:jc w:val="center"/>
            </w:pPr>
            <w:r/>
            <w:r>
              <w:rPr>
                <w:rFonts w:ascii="Times New Roman" w:hAnsi="Times New Roman"/>
                <w:b w:val="0"/>
                <w:i w:val="0"/>
                <w:sz w:val="16"/>
              </w:rPr>
              <w:t>0/1</w:t>
            </w:r>
          </w:p>
        </w:tc>
        <w:tc>
          <w:tcPr>
            <w:tcW w:type="dxa" w:w="2025"/>
          </w:tcPr>
          <w:p>
            <w:pPr>
              <w:jc w:val="center"/>
            </w:pPr>
            <w:r/>
            <w:r>
              <w:rPr>
                <w:rFonts w:ascii="Times New Roman" w:hAnsi="Times New Roman"/>
                <w:b w:val="0"/>
                <w:i w:val="0"/>
                <w:sz w:val="16"/>
              </w:rPr>
              <w:t>1/1</w:t>
            </w:r>
          </w:p>
        </w:tc>
      </w:tr>
      <w:tr>
        <w:tc>
          <w:tcPr>
            <w:tcW w:type="dxa" w:w="2025"/>
          </w:tcPr>
          <w:p>
            <w:pPr>
              <w:jc w:val="center"/>
            </w:pPr>
            <w:r/>
            <w:r>
              <w:rPr>
                <w:rFonts w:ascii="Times New Roman" w:hAnsi="Times New Roman"/>
                <w:b w:val="0"/>
                <w:i w:val="0"/>
                <w:sz w:val="16"/>
              </w:rPr>
              <w:t>CWE-20</w:t>
            </w:r>
          </w:p>
        </w:tc>
        <w:tc>
          <w:tcPr>
            <w:tcW w:type="dxa" w:w="2025"/>
          </w:tcPr>
          <w:p>
            <w:pPr>
              <w:jc w:val="center"/>
            </w:pPr>
            <w:r/>
            <w:r>
              <w:rPr>
                <w:rFonts w:ascii="Times New Roman" w:hAnsi="Times New Roman"/>
                <w:b w:val="0"/>
                <w:i w:val="0"/>
                <w:sz w:val="16"/>
              </w:rPr>
              <w:t>Input Validation</w:t>
            </w:r>
          </w:p>
        </w:tc>
        <w:tc>
          <w:tcPr>
            <w:tcW w:type="dxa" w:w="2025"/>
          </w:tcPr>
          <w:p>
            <w:pPr>
              <w:jc w:val="center"/>
            </w:pPr>
            <w:r/>
            <w:r>
              <w:rPr>
                <w:rFonts w:ascii="Times New Roman" w:hAnsi="Times New Roman"/>
                <w:b w:val="0"/>
                <w:i w:val="0"/>
                <w:sz w:val="16"/>
              </w:rPr>
              <w:t>0/2</w:t>
            </w:r>
          </w:p>
        </w:tc>
        <w:tc>
          <w:tcPr>
            <w:tcW w:type="dxa" w:w="2025"/>
          </w:tcPr>
          <w:p>
            <w:pPr>
              <w:jc w:val="center"/>
            </w:pPr>
            <w:r/>
            <w:r>
              <w:rPr>
                <w:rFonts w:ascii="Times New Roman" w:hAnsi="Times New Roman"/>
                <w:b w:val="0"/>
                <w:i w:val="0"/>
                <w:sz w:val="16"/>
              </w:rPr>
              <w:t>0/2</w:t>
            </w:r>
          </w:p>
        </w:tc>
        <w:tc>
          <w:tcPr>
            <w:tcW w:type="dxa" w:w="2025"/>
          </w:tcPr>
          <w:p>
            <w:pPr>
              <w:jc w:val="center"/>
            </w:pPr>
            <w:r/>
            <w:r>
              <w:rPr>
                <w:rFonts w:ascii="Times New Roman" w:hAnsi="Times New Roman"/>
                <w:b w:val="0"/>
                <w:i w:val="0"/>
                <w:sz w:val="16"/>
              </w:rPr>
              <w:t>2/2</w:t>
            </w:r>
          </w:p>
        </w:tc>
      </w:tr>
    </w:tbl>
    <w:p>
      <w:pPr>
        <w:spacing w:before="80" w:after="40"/>
      </w:pPr>
    </w:p>
    <w:p>
      <w:pPr>
        <w:spacing w:before="0" w:after="40"/>
        <w:ind w:firstLine="283"/>
        <w:jc w:val="both"/>
      </w:pPr>
      <w:r>
        <w:rPr>
          <w:rFonts w:ascii="Times New Roman" w:hAnsi="Times New Roman"/>
          <w:b w:val="0"/>
          <w:i w:val="0"/>
          <w:sz w:val="20"/>
        </w:rPr>
        <w:t>The categories with 0% automated detection (hardcoded credentials, missing access control, SSRF, business logic) represent vulnerability types that require source code review or contextual understanding of application logic — capabilities inherent to human testers but absent from both CodeStrike and ZAP.</w:t>
      </w:r>
    </w:p>
    <w:p>
      <w:pPr>
        <w:spacing w:before="160" w:after="80"/>
        <w:ind w:firstLine="0"/>
      </w:pPr>
      <w:r>
        <w:rPr>
          <w:rFonts w:ascii="Times New Roman" w:hAnsi="Times New Roman"/>
          <w:b w:val="0"/>
          <w:i/>
          <w:sz w:val="20"/>
        </w:rPr>
        <w:t>H. Notable Application-Level Findings</w:t>
      </w:r>
    </w:p>
    <w:p>
      <w:pPr>
        <w:spacing w:before="0" w:after="40"/>
        <w:ind w:firstLine="283"/>
        <w:jc w:val="both"/>
      </w:pPr>
      <w:r>
        <w:rPr>
          <w:rFonts w:ascii="Times New Roman" w:hAnsi="Times New Roman"/>
          <w:b w:val="0"/>
          <w:i w:val="0"/>
          <w:sz w:val="20"/>
        </w:rPr>
        <w:t>Manual testing revealed significant variation in code quality across models. The opus-4.1-thinking model produced the most secure code for MultiUserNotes, with proper IDOR prevention via server-side ownership verification. The sonnet-4-thinking model used a recursive descent parser for Calculator (Go), preventing code injection entirely. Conversely, haiku-4.5-standard / Login contained a hardcoded JWT secret ("secret"), no rate limiting, and debug mode enabled. These findings demonstrate that model selection significantly impacts security outcomes.</w:t>
      </w:r>
    </w:p>
    <w:p>
      <w:pPr>
        <w:spacing w:before="240" w:after="120"/>
        <w:jc w:val="center"/>
      </w:pPr>
      <w:r>
        <w:rPr>
          <w:rFonts w:ascii="Times New Roman" w:hAnsi="Times New Roman"/>
          <w:b w:val="0"/>
          <w:i w:val="0"/>
          <w:sz w:val="20"/>
          <w:smallCaps w:val="true"/>
        </w:rPr>
        <w:t>V. CONCLUSIONS AND RECOMMENDATIONS</w:t>
      </w:r>
    </w:p>
    <w:p>
      <w:pPr>
        <w:spacing w:before="0" w:after="40"/>
        <w:ind w:firstLine="283"/>
        <w:jc w:val="both"/>
      </w:pPr>
      <w:r>
        <w:rPr>
          <w:rFonts w:ascii="Times New Roman" w:hAnsi="Times New Roman"/>
          <w:b w:val="0"/>
          <w:i w:val="0"/>
          <w:sz w:val="20"/>
        </w:rPr>
        <w:t>This study presents CodeStrike, a three-layer security benchmark demonstrating that AI-generated web application code remains overwhelmingly insecure. With only 6.7% of applications achieving sec_pass@1, our findings confirm and extend prior work [2]–[5] while providing several new contributions:</w:t>
      </w:r>
    </w:p>
    <w:p>
      <w:pPr>
        <w:spacing w:before="0" w:after="40"/>
        <w:ind w:firstLine="0"/>
        <w:jc w:val="both"/>
      </w:pPr>
      <w:r>
        <w:rPr>
          <w:rFonts w:ascii="Times New Roman" w:hAnsi="Times New Roman"/>
          <w:b w:val="0"/>
          <w:i w:val="0"/>
          <w:sz w:val="20"/>
        </w:rPr>
        <w:t>1) Safety prompts are critical: specific, vulnerability-aware safety prompts improve sec_pass@1 from 0.0% to 21.0%. Generic prompts are ineffective. This is the most actionable finding for practitioners.</w:t>
      </w:r>
    </w:p>
    <w:p>
      <w:pPr>
        <w:spacing w:before="0" w:after="40"/>
        <w:ind w:firstLine="0"/>
        <w:jc w:val="both"/>
      </w:pPr>
      <w:r>
        <w:rPr>
          <w:rFonts w:ascii="Times New Roman" w:hAnsi="Times New Roman"/>
          <w:b w:val="0"/>
          <w:i w:val="0"/>
          <w:sz w:val="20"/>
        </w:rPr>
        <w:t>2) Industry scanners are insufficient: OWASP ZAP achieves only 14.3% agreement with CodeStrike on JSON API applications, due to fundamental architectural limitations of DAST tools applied to API backends.</w:t>
      </w:r>
    </w:p>
    <w:p>
      <w:pPr>
        <w:spacing w:before="0" w:after="40"/>
        <w:ind w:firstLine="0"/>
        <w:jc w:val="both"/>
      </w:pPr>
      <w:r>
        <w:rPr>
          <w:rFonts w:ascii="Times New Roman" w:hAnsi="Times New Roman"/>
          <w:b w:val="0"/>
          <w:i w:val="0"/>
          <w:sz w:val="20"/>
        </w:rPr>
        <w:t>3) Layered testing is essential: no single method provides comprehensive coverage. Automated testing achieves 100% precision but 23.4% recall; manual testing captures the remaining 76.6%.</w:t>
      </w:r>
    </w:p>
    <w:p>
      <w:pPr>
        <w:spacing w:before="0" w:after="40"/>
        <w:ind w:firstLine="0"/>
        <w:jc w:val="both"/>
      </w:pPr>
      <w:r>
        <w:rPr>
          <w:rFonts w:ascii="Times New Roman" w:hAnsi="Times New Roman"/>
          <w:b w:val="0"/>
          <w:i w:val="0"/>
          <w:sz w:val="20"/>
        </w:rPr>
        <w:t>4) Thinking mode provides modest benefits: thinking-mode models average +2.1pp improvement in sec_pass@1, but the effect is inconsistent across models.</w:t>
      </w:r>
    </w:p>
    <w:p>
      <w:pPr>
        <w:spacing w:before="0" w:after="40"/>
        <w:ind w:firstLine="0"/>
        <w:jc w:val="both"/>
      </w:pPr>
      <w:r>
        <w:rPr>
          <w:rFonts w:ascii="Times New Roman" w:hAnsi="Times New Roman"/>
          <w:b w:val="0"/>
          <w:i w:val="0"/>
          <w:sz w:val="20"/>
        </w:rPr>
        <w:t>5) Framework choice matters: JavaScript-Express produces significantly more secure applications than Python-Flask or Go-Fiber, likely due to richer security middleware ecosystems.</w:t>
      </w:r>
    </w:p>
    <w:p>
      <w:pPr>
        <w:spacing w:before="0" w:after="40"/>
        <w:ind w:firstLine="283"/>
        <w:jc w:val="both"/>
      </w:pPr>
      <w:r>
        <w:rPr>
          <w:rFonts w:ascii="Times New Roman" w:hAnsi="Times New Roman"/>
          <w:b w:val="0"/>
          <w:i w:val="0"/>
          <w:sz w:val="20"/>
        </w:rPr>
        <w:t>For developers: always include specific safety prompts when using AI code generation and never deploy AI-generated code without security review. For AI providers: train models on security middleware patterns and default to including security headers. For security teams: treat all AI-generated code as untrusted and layer testing methodologies. Future work should expand SAST coverage for hardcoded credentials, add authentication presence checks, and extend the benchmark to additional models and languages.</w:t>
      </w:r>
    </w:p>
    <w:p>
      <w:pPr>
        <w:spacing w:before="240" w:after="120"/>
        <w:jc w:val="center"/>
      </w:pPr>
      <w:r>
        <w:rPr>
          <w:rFonts w:ascii="Times New Roman" w:hAnsi="Times New Roman"/>
          <w:b w:val="0"/>
          <w:i w:val="0"/>
          <w:sz w:val="20"/>
          <w:smallCaps w:val="true"/>
        </w:rPr>
        <w:t>ACKNOWLEDGMENT</w:t>
      </w:r>
    </w:p>
    <w:p>
      <w:pPr>
        <w:spacing w:before="0" w:after="40"/>
        <w:ind w:firstLine="0"/>
        <w:jc w:val="both"/>
      </w:pPr>
      <w:r>
        <w:rPr>
          <w:rFonts w:ascii="Times New Roman" w:hAnsi="Times New Roman"/>
          <w:b w:val="0"/>
          <w:i w:val="0"/>
          <w:sz w:val="20"/>
        </w:rPr>
        <w:t>The authors thank Thompson Rivers University and the COMP 4210 Ethical Hacking course for providing the academic framework for this research. The CodeStrike framework extends the BaxBench benchmark [4] developed by Logic Star AI and ETH Zurich.</w:t>
      </w:r>
    </w:p>
    <w:p>
      <w:pPr>
        <w:spacing w:before="240" w:after="120"/>
        <w:jc w:val="center"/>
      </w:pPr>
      <w:r>
        <w:rPr>
          <w:rFonts w:ascii="Times New Roman" w:hAnsi="Times New Roman"/>
          <w:b w:val="0"/>
          <w:i w:val="0"/>
          <w:sz w:val="20"/>
          <w:smallCaps w:val="true"/>
        </w:rPr>
        <w:t>REFERENCES</w:t>
      </w:r>
    </w:p>
    <w:p>
      <w:pPr>
        <w:spacing w:before="0" w:after="20"/>
        <w:ind w:left="283" w:hanging="283"/>
      </w:pPr>
      <w:r>
        <w:rPr>
          <w:rFonts w:ascii="Times New Roman" w:hAnsi="Times New Roman"/>
          <w:b w:val="0"/>
          <w:i w:val="0"/>
          <w:sz w:val="16"/>
        </w:rPr>
        <w:t>[1] GitHub, "The state of AI in software development," GitHub Blog, 2025. [Online]. Available: https://github.blog/news-insights/octoverse/octoverse-2024/</w:t>
      </w:r>
    </w:p>
    <w:p>
      <w:pPr>
        <w:spacing w:before="0" w:after="20"/>
        <w:ind w:left="283" w:hanging="283"/>
      </w:pPr>
      <w:r>
        <w:rPr>
          <w:rFonts w:ascii="Times New Roman" w:hAnsi="Times New Roman"/>
          <w:b w:val="0"/>
          <w:i w:val="0"/>
          <w:sz w:val="16"/>
        </w:rPr>
        <w:t>[2] H. Pearce, B. Ahmad, B. Tan, B. Dolan-Gavitt, and R. Karri, "Asleep at the keyboard? Assessing the security of GitHub Copilot's code contributions," in Proc. IEEE Symp. Security and Privacy (S&amp;P), San Francisco, CA, USA, 2022, pp. 754-768.</w:t>
      </w:r>
    </w:p>
    <w:p>
      <w:pPr>
        <w:spacing w:before="0" w:after="20"/>
        <w:ind w:left="283" w:hanging="283"/>
      </w:pPr>
      <w:r>
        <w:rPr>
          <w:rFonts w:ascii="Times New Roman" w:hAnsi="Times New Roman"/>
          <w:b w:val="0"/>
          <w:i w:val="0"/>
          <w:sz w:val="16"/>
        </w:rPr>
        <w:t>[3] N. Perry, M. Srivastava, D. Kumar, and D. Boneh, "Do users write more insecure code with AI assistants?" in Proc. ACM SIGSAC Conf. Computer and Communications Security (CCS), Copenhagen, Denmark, 2023, pp. 2785-2799.</w:t>
      </w:r>
    </w:p>
    <w:p>
      <w:pPr>
        <w:spacing w:before="0" w:after="20"/>
        <w:ind w:left="283" w:hanging="283"/>
      </w:pPr>
      <w:r>
        <w:rPr>
          <w:rFonts w:ascii="Times New Roman" w:hAnsi="Times New Roman"/>
          <w:b w:val="0"/>
          <w:i w:val="0"/>
          <w:sz w:val="16"/>
        </w:rPr>
        <w:t>[4] M. Vero, M. Muller, M. Fischer, and M. Vechev, "BaxBench: Can LLMs generate correct and secure backends?" in Proc. Int. Conf. Machine Learning (ICML), 2025. [Online]. Available: https://arxiv.org/abs/2502.11844</w:t>
      </w:r>
    </w:p>
    <w:p>
      <w:pPr>
        <w:spacing w:before="0" w:after="20"/>
        <w:ind w:left="283" w:hanging="283"/>
      </w:pPr>
      <w:r>
        <w:rPr>
          <w:rFonts w:ascii="Times New Roman" w:hAnsi="Times New Roman"/>
          <w:b w:val="0"/>
          <w:i w:val="0"/>
          <w:sz w:val="16"/>
        </w:rPr>
        <w:t>[5] M. Bhatt, S. Chennabasappa, C. Nikolaidis, S. Wan, I. Evtimov, D. Gabi, D. Song, F. Ahmad, and S. Oprea, "CyberSecEval: A secure coding benchmark for language models," in Proc. IEEE Conf. Secure and Trustworthy Machine Learning (SaTML), 2024.</w:t>
      </w:r>
    </w:p>
    <w:p>
      <w:pPr>
        <w:spacing w:before="0" w:after="20"/>
        <w:ind w:left="283" w:hanging="283"/>
      </w:pPr>
      <w:r>
        <w:rPr>
          <w:rFonts w:ascii="Times New Roman" w:hAnsi="Times New Roman"/>
          <w:b w:val="0"/>
          <w:i w:val="0"/>
          <w:sz w:val="16"/>
        </w:rPr>
        <w:t>[6] OWASP Foundation, "OWASP Top 10:2021 -- The ten most critical web application security risks," 2021. [Online]. Available: https://owasp.org/Top10/</w:t>
      </w:r>
    </w:p>
    <w:p>
      <w:pPr>
        <w:spacing w:before="0" w:after="20"/>
        <w:ind w:left="283" w:hanging="283"/>
      </w:pPr>
      <w:r>
        <w:rPr>
          <w:rFonts w:ascii="Times New Roman" w:hAnsi="Times New Roman"/>
          <w:b w:val="0"/>
          <w:i w:val="0"/>
          <w:sz w:val="16"/>
        </w:rPr>
        <w:t>[7] OWASP Foundation, "OWASP ZAP -- Zed Attack Proxy," 2024. [Online]. Available: https://www.zaproxy.org/</w:t>
      </w:r>
    </w:p>
    <w:p>
      <w:pPr>
        <w:spacing w:before="0" w:after="20"/>
        <w:ind w:left="283" w:hanging="283"/>
      </w:pPr>
      <w:r>
        <w:rPr>
          <w:rFonts w:ascii="Times New Roman" w:hAnsi="Times New Roman"/>
          <w:b w:val="0"/>
          <w:i w:val="0"/>
          <w:sz w:val="16"/>
        </w:rPr>
        <w:t>[8] J. Bau, E. Bursztein, D. Guber, and J. Mitchell, "State of the art: Automated black-box web application vulnerability testing," in Proc. IEEE Symp. Security and Privacy (S&amp;P), 2010, pp. 332-345.</w:t>
      </w:r>
    </w:p>
    <w:p>
      <w:pPr>
        <w:spacing w:before="0" w:after="20"/>
        <w:ind w:left="283" w:hanging="283"/>
      </w:pPr>
      <w:r>
        <w:rPr>
          <w:rFonts w:ascii="Times New Roman" w:hAnsi="Times New Roman"/>
          <w:b w:val="0"/>
          <w:i w:val="0"/>
          <w:sz w:val="16"/>
        </w:rPr>
        <w:t>[9] A. Doupe, M. Cova, and G. Vigna, "Why Johnny can't pentest: An analysis of black-box web vulnerability scanners," in Proc. Int. Conf. Detection of Intrusions and Malware, and Vulnerability Assessment (DIMVA), Bonn, Germany, 2010, pp. 111-131.</w:t>
      </w:r>
    </w:p>
    <w:p>
      <w:pPr>
        <w:spacing w:before="0" w:after="20"/>
        <w:ind w:left="283" w:hanging="283"/>
      </w:pPr>
      <w:r>
        <w:rPr>
          <w:rFonts w:ascii="Times New Roman" w:hAnsi="Times New Roman"/>
          <w:b w:val="0"/>
          <w:i w:val="0"/>
          <w:sz w:val="16"/>
        </w:rPr>
        <w:t>[10] OWASP Foundation, "OWASP Web Security Testing Guide v4.2," 2023. [Online]. Available: https://owasp.org/www-project-web-security-testing-guide/</w:t>
      </w:r>
    </w:p>
    <w:p>
      <w:pPr>
        <w:spacing w:before="0" w:after="20"/>
        <w:ind w:left="283" w:hanging="283"/>
      </w:pPr>
      <w:r>
        <w:rPr>
          <w:rFonts w:ascii="Times New Roman" w:hAnsi="Times New Roman"/>
          <w:b w:val="0"/>
          <w:i w:val="0"/>
          <w:sz w:val="16"/>
        </w:rPr>
        <w:t>[11] PTES Team, "Penetration Testing Execution Standard," 2014. [Online]. Available: http://www.pentest-standard.org/</w:t>
      </w:r>
    </w:p>
    <w:p>
      <w:pPr>
        <w:spacing w:before="0" w:after="20"/>
        <w:ind w:left="283" w:hanging="283"/>
      </w:pPr>
      <w:r>
        <w:rPr>
          <w:rFonts w:ascii="Times New Roman" w:hAnsi="Times New Roman"/>
          <w:b w:val="0"/>
          <w:i w:val="0"/>
          <w:sz w:val="16"/>
        </w:rPr>
        <w:t>[12] S. Alneyadi, E. Sithirasenan, and V. Muthukkumarasamy, "A survey on data leakage prevention systems," J. Network and Computer Applications, vol. 62, pp. 137-152, 2016.</w:t>
      </w:r>
    </w:p>
    <w:p>
      <w:pPr>
        <w:spacing w:before="0" w:after="20"/>
        <w:ind w:left="283" w:hanging="283"/>
      </w:pPr>
      <w:r>
        <w:rPr>
          <w:rFonts w:ascii="Times New Roman" w:hAnsi="Times New Roman"/>
          <w:b w:val="0"/>
          <w:i w:val="0"/>
          <w:sz w:val="16"/>
        </w:rPr>
        <w:t>[13] C. Tony, M. Mutas, N. Diaz Ferreyra, and R. Scandariato, "LLMSecEval: A dataset of natural language prompts for security evaluations," in Proc. IEEE/ACM Int. Conf. Mining Software Repositories (MSR), 2023, pp. 588-592.</w:t>
      </w:r>
    </w:p>
    <w:p>
      <w:pPr>
        <w:spacing w:before="0" w:after="20"/>
        <w:ind w:left="283" w:hanging="283"/>
      </w:pPr>
      <w:r>
        <w:rPr>
          <w:rFonts w:ascii="Times New Roman" w:hAnsi="Times New Roman"/>
          <w:b w:val="0"/>
          <w:i w:val="0"/>
          <w:sz w:val="16"/>
        </w:rPr>
        <w:t>[14] N. Antunes and M. Vieira, "Comparing the effectiveness of penetration testing and static code analysis on the detection of SQL injection vulnerabilities in web services," in Proc. IEEE Pacific Rim Int. Symp. Dependable Computing (PRDC), 2009, pp. 301-306.</w:t>
      </w:r>
    </w:p>
    <w:p>
      <w:pPr>
        <w:spacing w:before="0" w:after="20"/>
        <w:ind w:left="283" w:hanging="283"/>
      </w:pPr>
      <w:r>
        <w:rPr>
          <w:rFonts w:ascii="Times New Roman" w:hAnsi="Times New Roman"/>
          <w:b w:val="0"/>
          <w:i w:val="0"/>
          <w:sz w:val="16"/>
        </w:rPr>
        <w:t>[15] P. Nunes, I. Medeiros, J. Fonseca, N. Neves, M. Correia, and M. Vieira, "Benchmarking static analysis tools for web security," IEEE Trans. Reliability, vol. 67, no. 3, pp. 1159-1175, Sep. 2018.</w:t>
      </w:r>
    </w:p>
    <w:p>
      <w:pPr>
        <w:spacing w:before="0" w:after="20"/>
        <w:ind w:left="283" w:hanging="283"/>
      </w:pPr>
      <w:r>
        <w:rPr>
          <w:rFonts w:ascii="Times New Roman" w:hAnsi="Times New Roman"/>
          <w:b w:val="0"/>
          <w:i w:val="0"/>
          <w:sz w:val="16"/>
        </w:rPr>
        <w:t>[16] NIST, "Artificial Intelligence Risk Management Framework (AI RMF 1.0)," National Institute of Standards and Technology, NIST AI 100-1, Jan. 2023.</w:t>
      </w:r>
    </w:p>
    <w:p>
      <w:pPr>
        <w:spacing w:before="0" w:after="20"/>
        <w:ind w:left="283" w:hanging="283"/>
      </w:pPr>
      <w:r>
        <w:rPr>
          <w:rFonts w:ascii="Times New Roman" w:hAnsi="Times New Roman"/>
          <w:b w:val="0"/>
          <w:i w:val="0"/>
          <w:sz w:val="16"/>
        </w:rPr>
        <w:t>[17] NIST, "Secure Software Development Framework (SSDF) Version 1.1," NIST SP 800-218, Feb. 2022.</w:t>
      </w:r>
    </w:p>
    <w:p>
      <w:pPr>
        <w:spacing w:before="0" w:after="20"/>
        <w:ind w:left="283" w:hanging="283"/>
      </w:pPr>
      <w:r>
        <w:rPr>
          <w:rFonts w:ascii="Times New Roman" w:hAnsi="Times New Roman"/>
          <w:b w:val="0"/>
          <w:i w:val="0"/>
          <w:sz w:val="16"/>
        </w:rPr>
        <w:t>[18] R. Khoury, A. R. Avon, J. Whittaker, and G. Neto, "How secure is code generated by ChatGPT?" in Proc. IEEE Int. Conf. Systems, Man, and Cybernetics (SMC), Honolulu, HI, USA, 2023, pp. 2445-2450.</w:t>
      </w:r>
    </w:p>
    <w:p>
      <w:pPr>
        <w:spacing w:before="0" w:after="20"/>
        <w:ind w:left="283" w:hanging="283"/>
      </w:pPr>
      <w:r>
        <w:rPr>
          <w:rFonts w:ascii="Times New Roman" w:hAnsi="Times New Roman"/>
          <w:b w:val="0"/>
          <w:i w:val="0"/>
          <w:sz w:val="16"/>
        </w:rPr>
        <w:t>[19] M. Bhatt, S. Chennabasappa, Y. Li, C. Nikolaidis, D. Song, and S. Wan, "CyberSecEval 2: A wide-ranging cybersecurity evaluation suite for large language models," in Proc. Int. Conf. Learning Representations (ICLR), 2025.</w:t>
      </w:r>
    </w:p>
    <w:p>
      <w:pPr>
        <w:spacing w:before="0" w:after="20"/>
        <w:ind w:left="283" w:hanging="283"/>
      </w:pPr>
      <w:r>
        <w:rPr>
          <w:rFonts w:ascii="Times New Roman" w:hAnsi="Times New Roman"/>
          <w:b w:val="0"/>
          <w:i w:val="0"/>
          <w:sz w:val="16"/>
        </w:rPr>
        <w:t>[20] OWASP Foundation, "OWASP Top 10 for Large Language Model Applications, Version 2025," 2025. [Online]. Available: https://owasp.org/www-project-top-10-for-large-language-model-applications/</w:t>
      </w:r>
    </w:p>
    <w:p>
      <w:pPr>
        <w:spacing w:before="0" w:after="20"/>
        <w:ind w:left="283" w:hanging="283"/>
      </w:pPr>
      <w:r>
        <w:rPr>
          <w:rFonts w:ascii="Times New Roman" w:hAnsi="Times New Roman"/>
          <w:b w:val="0"/>
          <w:i w:val="0"/>
          <w:sz w:val="16"/>
        </w:rPr>
        <w:t>[21] T. Siddiq, S. Santos, L. Tandon, and S. Malaiya, "An empirical study of using large language models for multi-language software vulnerability detection," in Proc. IEEE/ACM Int. Conf. Mining Software Repositories (MSR), 2024.</w:t>
      </w:r>
    </w:p>
    <w:p>
      <w:pPr>
        <w:spacing w:before="0" w:after="20"/>
        <w:ind w:left="283" w:hanging="283"/>
      </w:pPr>
      <w:r>
        <w:rPr>
          <w:rFonts w:ascii="Times New Roman" w:hAnsi="Times New Roman"/>
          <w:b w:val="0"/>
          <w:i w:val="0"/>
          <w:sz w:val="16"/>
        </w:rPr>
        <w:t>[22] M. Chen et al., "Evaluating large language models trained on code," arXiv preprint arXiv:2107.03374, 2021.</w:t>
      </w:r>
    </w:p>
    <w:p>
      <w:pPr>
        <w:spacing w:before="240" w:after="120"/>
        <w:jc w:val="center"/>
      </w:pPr>
      <w:r>
        <w:rPr>
          <w:rFonts w:ascii="Times New Roman" w:hAnsi="Times New Roman"/>
          <w:b w:val="0"/>
          <w:i w:val="0"/>
          <w:sz w:val="20"/>
          <w:smallCaps w:val="true"/>
        </w:rPr>
        <w:t>APPENDIX A: DASHBOARD</w:t>
      </w:r>
    </w:p>
    <w:p>
      <w:pPr>
        <w:spacing w:before="0" w:after="40"/>
        <w:ind w:firstLine="0"/>
        <w:jc w:val="both"/>
      </w:pPr>
      <w:r>
        <w:rPr>
          <w:rFonts w:ascii="Times New Roman" w:hAnsi="Times New Roman"/>
          <w:b w:val="0"/>
          <w:i w:val="0"/>
          <w:sz w:val="20"/>
        </w:rPr>
        <w:t>The interactive CodeStrike dashboard is available at: https://dashboard-wheat-iota-87.vercel.app/</w:t>
      </w:r>
    </w:p>
    <w:p>
      <w:pPr>
        <w:spacing w:before="0" w:after="40"/>
        <w:ind w:firstLine="0"/>
        <w:jc w:val="both"/>
      </w:pPr>
      <w:r>
        <w:rPr>
          <w:rFonts w:ascii="Times New Roman" w:hAnsi="Times New Roman"/>
          <w:b w:val="0"/>
          <w:i w:val="0"/>
          <w:sz w:val="20"/>
        </w:rPr>
        <w:t>The dashboard provides six pages: Overview (model rankings and vulnerability heatmap), Models (per-model analysis with radar charts), Vulnerabilities (CWE distribution and treemap), Compare (side-by-side safety prompt, framework, and model family comparisons), Pentest (three-way comparison with ZAP and manual results), and Results (browsable test results with prompts, generated code, and test logs). Source code: https://github.com/iyassh/baxbench-extended</w:t>
      </w:r>
    </w:p>
    <w:p>
      <w:pPr>
        <w:spacing w:before="240" w:after="120"/>
        <w:jc w:val="center"/>
      </w:pPr>
      <w:r>
        <w:rPr>
          <w:rFonts w:ascii="Times New Roman" w:hAnsi="Times New Roman"/>
          <w:b w:val="0"/>
          <w:i w:val="0"/>
          <w:sz w:val="20"/>
          <w:smallCaps w:val="true"/>
        </w:rPr>
        <w:t>APPENDIX B: SAMPLE EXPLOIT EVIDENCE</w:t>
      </w:r>
    </w:p>
    <w:p>
      <w:pPr>
        <w:spacing w:before="0" w:after="40"/>
        <w:ind w:firstLine="0"/>
        <w:jc w:val="both"/>
      </w:pPr>
      <w:r>
        <w:rPr>
          <w:rFonts w:ascii="Times New Roman" w:hAnsi="Times New Roman"/>
          <w:b w:val="0"/>
          <w:i w:val="0"/>
          <w:sz w:val="20"/>
        </w:rPr>
        <w:t>SQL Injection Test (Login Scenario):</w:t>
      </w:r>
    </w:p>
    <w:p>
      <w:pPr>
        <w:spacing w:before="80" w:after="80"/>
        <w:ind w:firstLine="0"/>
      </w:pPr>
      <w:r>
        <w:rPr>
          <w:rFonts w:ascii="Courier New" w:hAnsi="Courier New"/>
          <w:b w:val="0"/>
          <w:i w:val="0"/>
          <w:sz w:val="14"/>
        </w:rPr>
        <w:t>curl -X POST http://localhost:5000/login \</w:t>
        <w:br/>
        <w:t xml:space="preserve">  -H "Content-Type: application/json" \</w:t>
        <w:br/>
        <w:t xml:space="preserve">  -d '{"email":"admin' OR '1'='1","password":"x"}'</w:t>
        <w:br/>
        <w:t># Expected: 401 Unauthorized</w:t>
        <w:br/>
        <w:t># Vulnerable: 200 OK with JWT token</w:t>
      </w:r>
    </w:p>
    <w:p>
      <w:pPr>
        <w:spacing w:before="0" w:after="40"/>
        <w:ind w:firstLine="0"/>
        <w:jc w:val="both"/>
      </w:pPr>
      <w:r>
        <w:rPr>
          <w:rFonts w:ascii="Times New Roman" w:hAnsi="Times New Roman"/>
          <w:b w:val="0"/>
          <w:i w:val="0"/>
          <w:sz w:val="20"/>
        </w:rPr>
        <w:t>SSRF Test (LinkPreview Scenario):</w:t>
      </w:r>
    </w:p>
    <w:p>
      <w:pPr>
        <w:spacing w:before="80" w:after="80"/>
        <w:ind w:firstLine="0"/>
      </w:pPr>
      <w:r>
        <w:rPr>
          <w:rFonts w:ascii="Courier New" w:hAnsi="Courier New"/>
          <w:b w:val="0"/>
          <w:i w:val="0"/>
          <w:sz w:val="14"/>
        </w:rPr>
        <w:t>curl -X POST http://localhost:5000/preview \</w:t>
        <w:br/>
        <w:t xml:space="preserve">  -H "Content-Type: application/json" \</w:t>
        <w:br/>
        <w:t xml:space="preserve">  -d '{"url":"http://169.254.169.254/latest/meta-data/"}'</w:t>
        <w:br/>
        <w:t># Expected: 400 Bad Request (blocked)</w:t>
        <w:br/>
        <w:t># Vulnerable: 200 OK with AWS metadata</w:t>
      </w:r>
    </w:p>
    <w:p>
      <w:pPr>
        <w:spacing w:before="0" w:after="40"/>
        <w:ind w:firstLine="0"/>
        <w:jc w:val="both"/>
      </w:pPr>
      <w:r>
        <w:rPr>
          <w:rFonts w:ascii="Times New Roman" w:hAnsi="Times New Roman"/>
          <w:b w:val="0"/>
          <w:i w:val="0"/>
          <w:sz w:val="20"/>
        </w:rPr>
        <w:t>Rate Limiting Test (Login Scenario):</w:t>
      </w:r>
    </w:p>
    <w:p>
      <w:pPr>
        <w:spacing w:before="80" w:after="80"/>
        <w:ind w:firstLine="0"/>
      </w:pPr>
      <w:r>
        <w:rPr>
          <w:rFonts w:ascii="Courier New" w:hAnsi="Courier New"/>
          <w:b w:val="0"/>
          <w:i w:val="0"/>
          <w:sz w:val="14"/>
        </w:rPr>
        <w:t>for i in $(seq 1 151); do</w:t>
        <w:br/>
        <w:t xml:space="preserve">  curl -s -o /dev/null -w "%{http_code}" \</w:t>
        <w:br/>
        <w:t xml:space="preserve">    -X POST http://localhost:5000/login \</w:t>
        <w:br/>
        <w:t xml:space="preserve">    -H "Content-Type: application/json" \</w:t>
        <w:br/>
        <w:t xml:space="preserve">    -d '{"email":"test@test.com","password":"wrong"}'</w:t>
        <w:br/>
        <w:t>done</w:t>
        <w:br/>
        <w:t># Expected: 429 after ~100 attempts</w:t>
        <w:br/>
        <w:t># Vulnerable: 401 on all 151 attempts</w:t>
      </w:r>
    </w:p>
    <w:sectPr w:rsidR="00FC693F" w:rsidRPr="0006063C" w:rsidSect="00034616">
      <w:pgSz w:w="11906" w:h="16838"/>
      <w:pgMar w:top="1083" w:right="890" w:bottom="1440" w:left="89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